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5673" w14:textId="7DFE7C9E" w:rsidR="00EE4E5F" w:rsidRDefault="000873D9" w:rsidP="00EE4E5F">
      <w:r>
        <w:rPr>
          <w:noProof/>
        </w:rPr>
        <w:drawing>
          <wp:inline distT="0" distB="0" distL="0" distR="0" wp14:anchorId="4239BA70" wp14:editId="57106A01">
            <wp:extent cx="579120" cy="579120"/>
            <wp:effectExtent l="0" t="0" r="0" b="0"/>
            <wp:docPr id="12665659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p w14:paraId="61818CEE" w14:textId="77777777" w:rsidR="000873D9" w:rsidRPr="000873D9" w:rsidRDefault="00EE4E5F" w:rsidP="000873D9">
      <w:pPr>
        <w:rPr>
          <w:b/>
          <w:bCs/>
          <w:sz w:val="20"/>
          <w:szCs w:val="20"/>
          <w:u w:val="single"/>
        </w:rPr>
      </w:pPr>
      <w:r w:rsidRPr="000873D9">
        <w:rPr>
          <w:b/>
          <w:bCs/>
          <w:sz w:val="20"/>
          <w:szCs w:val="20"/>
        </w:rPr>
        <w:t>MARKET RESEARCH REPORT</w:t>
      </w:r>
      <w:r w:rsidR="000873D9">
        <w:rPr>
          <w:b/>
          <w:bCs/>
          <w:sz w:val="20"/>
          <w:szCs w:val="20"/>
        </w:rPr>
        <w:t xml:space="preserve"> - </w:t>
      </w:r>
      <w:r w:rsidR="000873D9" w:rsidRPr="000873D9">
        <w:rPr>
          <w:b/>
          <w:bCs/>
          <w:sz w:val="20"/>
          <w:szCs w:val="20"/>
          <w:u w:val="single"/>
        </w:rPr>
        <w:t>Visa Inc.</w:t>
      </w:r>
    </w:p>
    <w:p w14:paraId="0D291CF4" w14:textId="42087907" w:rsidR="00EE4E5F" w:rsidRPr="000873D9" w:rsidRDefault="00EE4E5F" w:rsidP="00EE4E5F">
      <w:pPr>
        <w:rPr>
          <w:b/>
          <w:bCs/>
          <w:sz w:val="20"/>
          <w:szCs w:val="20"/>
        </w:rPr>
      </w:pPr>
    </w:p>
    <w:p w14:paraId="5D1F164C" w14:textId="11AF168A" w:rsidR="00EE4E5F" w:rsidRPr="00EE4E5F" w:rsidRDefault="00EE4E5F" w:rsidP="00EE4E5F">
      <w:pPr>
        <w:spacing w:after="120"/>
        <w:rPr>
          <w:i/>
          <w:iCs/>
          <w:sz w:val="16"/>
          <w:szCs w:val="16"/>
        </w:rPr>
      </w:pPr>
      <w:r w:rsidRPr="00EE4E5F">
        <w:rPr>
          <w:i/>
          <w:iCs/>
          <w:sz w:val="16"/>
          <w:szCs w:val="16"/>
        </w:rPr>
        <w:t>Prepared Date:</w:t>
      </w:r>
      <w:r w:rsidR="000873D9">
        <w:rPr>
          <w:i/>
          <w:iCs/>
          <w:sz w:val="16"/>
          <w:szCs w:val="16"/>
        </w:rPr>
        <w:t xml:space="preserve"> </w:t>
      </w:r>
      <w:r w:rsidRPr="00EE4E5F">
        <w:rPr>
          <w:i/>
          <w:iCs/>
          <w:sz w:val="16"/>
          <w:szCs w:val="16"/>
        </w:rPr>
        <w:t xml:space="preserve"> January 5, 2025  </w:t>
      </w:r>
    </w:p>
    <w:p w14:paraId="735366FA" w14:textId="2CAC159D" w:rsidR="00EE4E5F" w:rsidRPr="00EE4E5F" w:rsidRDefault="00EE4E5F" w:rsidP="00EE4E5F">
      <w:pPr>
        <w:spacing w:after="120"/>
        <w:rPr>
          <w:i/>
          <w:iCs/>
          <w:sz w:val="16"/>
          <w:szCs w:val="16"/>
        </w:rPr>
      </w:pPr>
      <w:r w:rsidRPr="00EE4E5F">
        <w:rPr>
          <w:i/>
          <w:iCs/>
          <w:sz w:val="16"/>
          <w:szCs w:val="16"/>
        </w:rPr>
        <w:t>Prepared By:</w:t>
      </w:r>
      <w:r w:rsidR="000873D9">
        <w:rPr>
          <w:i/>
          <w:iCs/>
          <w:sz w:val="16"/>
          <w:szCs w:val="16"/>
        </w:rPr>
        <w:t xml:space="preserve"> </w:t>
      </w:r>
      <w:r w:rsidRPr="00EE4E5F">
        <w:rPr>
          <w:i/>
          <w:iCs/>
          <w:sz w:val="16"/>
          <w:szCs w:val="16"/>
        </w:rPr>
        <w:t xml:space="preserve"> </w:t>
      </w:r>
      <w:r w:rsidRPr="00EE4E5F">
        <w:rPr>
          <w:i/>
          <w:iCs/>
          <w:sz w:val="16"/>
          <w:szCs w:val="16"/>
        </w:rPr>
        <w:t>Mehul Goel</w:t>
      </w:r>
    </w:p>
    <w:p w14:paraId="61A280E6" w14:textId="77777777" w:rsidR="00EE4E5F" w:rsidRDefault="00EE4E5F" w:rsidP="00EE4E5F"/>
    <w:p w14:paraId="3237EFF7" w14:textId="46CAA41C" w:rsidR="00EE4E5F" w:rsidRDefault="00EE4E5F" w:rsidP="00EE4E5F">
      <w:r>
        <w:t xml:space="preserve"> </w:t>
      </w:r>
      <w:r w:rsidRPr="00EE4E5F">
        <w:rPr>
          <w:b/>
          <w:bCs/>
          <w:sz w:val="28"/>
          <w:szCs w:val="28"/>
        </w:rPr>
        <w:t>Executive Summary</w:t>
      </w:r>
    </w:p>
    <w:p w14:paraId="47A0175D" w14:textId="2B650ACC" w:rsidR="00EE4E5F" w:rsidRDefault="00EE4E5F" w:rsidP="000873D9">
      <w:r>
        <w:t>This comprehensive market research report analyzes Visa Inc.'s position in the global digital payments and financial technology industry. The report examines the competitive landscape, market dynamics, and strategic opportunities while providing detailed SWOT and PESTEL analyses</w:t>
      </w:r>
      <w:r w:rsidR="000873D9">
        <w:t>.</w:t>
      </w:r>
    </w:p>
    <w:p w14:paraId="63AD1676" w14:textId="7CCEAB9D" w:rsidR="00EE4E5F" w:rsidRDefault="00EE4E5F" w:rsidP="00EE4E5F"/>
    <w:p w14:paraId="0243983E" w14:textId="77777777" w:rsidR="00EE4E5F" w:rsidRDefault="00EE4E5F" w:rsidP="00EE4E5F"/>
    <w:p w14:paraId="76344129" w14:textId="09C03128" w:rsidR="00EE4E5F" w:rsidRDefault="00EE4E5F" w:rsidP="00EE4E5F">
      <w:r>
        <w:t xml:space="preserve"> 1. </w:t>
      </w:r>
      <w:r w:rsidRPr="00EE4E5F">
        <w:rPr>
          <w:b/>
          <w:bCs/>
        </w:rPr>
        <w:t>Industry Overview</w:t>
      </w:r>
    </w:p>
    <w:p w14:paraId="29ACAB96" w14:textId="5894EFE5" w:rsidR="00EE4E5F" w:rsidRDefault="00EE4E5F" w:rsidP="00EE4E5F">
      <w:r>
        <w:t xml:space="preserve">Visa Inc. operates in the global digital payments and financial technology (fintech) industry, specifically in the payment processing and technology sector. The company provides electronic payment solutions connecting consumers, merchants, financial institutions, businesses, and </w:t>
      </w:r>
      <w:r w:rsidR="000873D9">
        <w:t>governments</w:t>
      </w:r>
      <w:r>
        <w:t xml:space="preserve"> worldwide.</w:t>
      </w:r>
    </w:p>
    <w:p w14:paraId="603F701C" w14:textId="77777777" w:rsidR="00EE4E5F" w:rsidRDefault="00EE4E5F" w:rsidP="00EE4E5F"/>
    <w:p w14:paraId="7CBCBB1C" w14:textId="0AEDBC1E" w:rsidR="00EE4E5F" w:rsidRPr="00EE4E5F" w:rsidRDefault="00EE4E5F" w:rsidP="00EE4E5F">
      <w:pPr>
        <w:rPr>
          <w:b/>
          <w:bCs/>
        </w:rPr>
      </w:pPr>
      <w:r w:rsidRPr="00EE4E5F">
        <w:rPr>
          <w:b/>
          <w:bCs/>
        </w:rPr>
        <w:t xml:space="preserve"> 2. Competitive Landscape</w:t>
      </w:r>
    </w:p>
    <w:p w14:paraId="2BAA3D0B" w14:textId="286C913A" w:rsidR="00EE4E5F" w:rsidRPr="00EE4E5F" w:rsidRDefault="00EE4E5F" w:rsidP="00EE4E5F">
      <w:pPr>
        <w:spacing w:line="240" w:lineRule="auto"/>
        <w:rPr>
          <w:u w:val="single"/>
        </w:rPr>
      </w:pPr>
      <w:r w:rsidRPr="00EE4E5F">
        <w:rPr>
          <w:u w:val="single"/>
        </w:rPr>
        <w:t>2.1 Key Competitors</w:t>
      </w:r>
    </w:p>
    <w:p w14:paraId="3CF49D5F" w14:textId="451CB264" w:rsidR="00EE4E5F" w:rsidRDefault="00EE4E5F" w:rsidP="00EE4E5F">
      <w:pPr>
        <w:spacing w:line="240" w:lineRule="auto"/>
      </w:pPr>
      <w:r>
        <w:t xml:space="preserve"> </w:t>
      </w:r>
      <w:r w:rsidRPr="00EE4E5F">
        <w:rPr>
          <w:b/>
          <w:bCs/>
        </w:rPr>
        <w:t>Mastercard</w:t>
      </w:r>
    </w:p>
    <w:p w14:paraId="0F461F34" w14:textId="77777777" w:rsidR="00EE4E5F" w:rsidRDefault="00EE4E5F" w:rsidP="00EE4E5F">
      <w:r>
        <w:t>- Similar global presence and market position</w:t>
      </w:r>
    </w:p>
    <w:p w14:paraId="1027D1A1" w14:textId="77777777" w:rsidR="00EE4E5F" w:rsidRDefault="00EE4E5F" w:rsidP="00EE4E5F">
      <w:r>
        <w:t>- Comparable business model and technology infrastructure</w:t>
      </w:r>
    </w:p>
    <w:p w14:paraId="62A1C8C1" w14:textId="77777777" w:rsidR="00EE4E5F" w:rsidRDefault="00EE4E5F" w:rsidP="00EE4E5F">
      <w:r>
        <w:t xml:space="preserve">- Market Cap: </w:t>
      </w:r>
      <w:r w:rsidRPr="000873D9">
        <w:rPr>
          <w:b/>
          <w:bCs/>
        </w:rPr>
        <w:t>~$400 billion</w:t>
      </w:r>
    </w:p>
    <w:p w14:paraId="739F87F3" w14:textId="77777777" w:rsidR="00EE4E5F" w:rsidRDefault="00EE4E5F" w:rsidP="00EE4E5F"/>
    <w:p w14:paraId="4A2F6E70" w14:textId="56E4FFDB" w:rsidR="00EE4E5F" w:rsidRDefault="00EE4E5F" w:rsidP="00EE4E5F">
      <w:r>
        <w:t xml:space="preserve"> </w:t>
      </w:r>
      <w:r w:rsidRPr="00EE4E5F">
        <w:rPr>
          <w:b/>
          <w:bCs/>
        </w:rPr>
        <w:t>American Express</w:t>
      </w:r>
    </w:p>
    <w:p w14:paraId="18AC8D97" w14:textId="77777777" w:rsidR="00EE4E5F" w:rsidRDefault="00EE4E5F" w:rsidP="00EE4E5F">
      <w:r>
        <w:t>- Differentiated by closed-loop network</w:t>
      </w:r>
    </w:p>
    <w:p w14:paraId="2EC09799" w14:textId="77777777" w:rsidR="00EE4E5F" w:rsidRDefault="00EE4E5F" w:rsidP="00EE4E5F">
      <w:r>
        <w:t>- Focus on premium market segments</w:t>
      </w:r>
    </w:p>
    <w:p w14:paraId="2D8495D6" w14:textId="77777777" w:rsidR="00EE4E5F" w:rsidRDefault="00EE4E5F" w:rsidP="00EE4E5F">
      <w:r>
        <w:t>- Direct issuer of credit cards</w:t>
      </w:r>
    </w:p>
    <w:p w14:paraId="5274F0A2" w14:textId="77777777" w:rsidR="00EE4E5F" w:rsidRDefault="00EE4E5F" w:rsidP="00EE4E5F"/>
    <w:p w14:paraId="6B405209" w14:textId="6BCFC487" w:rsidR="00EE4E5F" w:rsidRPr="00EE4E5F" w:rsidRDefault="00EE4E5F" w:rsidP="00EE4E5F">
      <w:pPr>
        <w:rPr>
          <w:b/>
          <w:bCs/>
          <w:u w:val="single"/>
        </w:rPr>
      </w:pPr>
      <w:r w:rsidRPr="00EE4E5F">
        <w:rPr>
          <w:b/>
          <w:bCs/>
          <w:u w:val="single"/>
        </w:rPr>
        <w:lastRenderedPageBreak/>
        <w:t>2.2 Substitutes and New Markets</w:t>
      </w:r>
    </w:p>
    <w:p w14:paraId="1D9825A6" w14:textId="77777777" w:rsidR="00EE4E5F" w:rsidRDefault="00EE4E5F" w:rsidP="00EE4E5F"/>
    <w:p w14:paraId="70E906E0" w14:textId="1B32F404" w:rsidR="00EE4E5F" w:rsidRDefault="00EE4E5F" w:rsidP="00EE4E5F">
      <w:r>
        <w:t xml:space="preserve"> </w:t>
      </w:r>
      <w:r w:rsidRPr="000873D9">
        <w:rPr>
          <w:b/>
          <w:bCs/>
        </w:rPr>
        <w:t>Current Substitutes</w:t>
      </w:r>
    </w:p>
    <w:p w14:paraId="36B9BAB5" w14:textId="77777777" w:rsidR="00EE4E5F" w:rsidRDefault="00EE4E5F" w:rsidP="00EE4E5F">
      <w:r>
        <w:t>- Cash and traditional banking methods</w:t>
      </w:r>
    </w:p>
    <w:p w14:paraId="0E3C8AFF" w14:textId="77777777" w:rsidR="00EE4E5F" w:rsidRDefault="00EE4E5F" w:rsidP="00EE4E5F">
      <w:r>
        <w:t>- Digital wallets (PayPal, Apple Pay, Google Pay)</w:t>
      </w:r>
    </w:p>
    <w:p w14:paraId="43AD18ED" w14:textId="77777777" w:rsidR="00EE4E5F" w:rsidRDefault="00EE4E5F" w:rsidP="00EE4E5F">
      <w:r>
        <w:t>- Buy Now, Pay Later (BNPL) services</w:t>
      </w:r>
    </w:p>
    <w:p w14:paraId="62A21017" w14:textId="77777777" w:rsidR="00EE4E5F" w:rsidRDefault="00EE4E5F" w:rsidP="00EE4E5F">
      <w:r>
        <w:t>- Cryptocurrency payment solutions</w:t>
      </w:r>
    </w:p>
    <w:p w14:paraId="7E5033F1" w14:textId="77777777" w:rsidR="00EE4E5F" w:rsidRDefault="00EE4E5F" w:rsidP="00EE4E5F"/>
    <w:p w14:paraId="65E5B2D6" w14:textId="6991D8B1" w:rsidR="00EE4E5F" w:rsidRPr="000873D9" w:rsidRDefault="00EE4E5F" w:rsidP="00EE4E5F">
      <w:pPr>
        <w:rPr>
          <w:b/>
          <w:bCs/>
        </w:rPr>
      </w:pPr>
      <w:r w:rsidRPr="000873D9">
        <w:rPr>
          <w:b/>
          <w:bCs/>
        </w:rPr>
        <w:t>Emerging Markets and Opportunities</w:t>
      </w:r>
    </w:p>
    <w:p w14:paraId="380AB98C" w14:textId="77777777" w:rsidR="00EE4E5F" w:rsidRDefault="00EE4E5F" w:rsidP="00EE4E5F">
      <w:r>
        <w:t>- Real-time payment systems</w:t>
      </w:r>
    </w:p>
    <w:p w14:paraId="0E7D08BA" w14:textId="77777777" w:rsidR="00EE4E5F" w:rsidRDefault="00EE4E5F" w:rsidP="00EE4E5F">
      <w:r>
        <w:t>- Business-to-Business (B2B) payment solutions</w:t>
      </w:r>
    </w:p>
    <w:p w14:paraId="6DC48B61" w14:textId="77777777" w:rsidR="00EE4E5F" w:rsidRDefault="00EE4E5F" w:rsidP="00EE4E5F">
      <w:r>
        <w:t>- Cross-border payment services</w:t>
      </w:r>
    </w:p>
    <w:p w14:paraId="2823F0D7" w14:textId="77777777" w:rsidR="00EE4E5F" w:rsidRDefault="00EE4E5F" w:rsidP="00EE4E5F">
      <w:r>
        <w:t>- Digital banking infrastructure in developing markets</w:t>
      </w:r>
    </w:p>
    <w:p w14:paraId="05DB3177" w14:textId="77777777" w:rsidR="00EE4E5F" w:rsidRDefault="00EE4E5F" w:rsidP="00EE4E5F"/>
    <w:p w14:paraId="45054F0A" w14:textId="7D79A72E" w:rsidR="00EE4E5F" w:rsidRPr="00EE4E5F" w:rsidRDefault="00EE4E5F" w:rsidP="00EE4E5F">
      <w:pPr>
        <w:rPr>
          <w:b/>
          <w:bCs/>
          <w:u w:val="single"/>
        </w:rPr>
      </w:pPr>
      <w:r w:rsidRPr="00EE4E5F">
        <w:rPr>
          <w:b/>
          <w:bCs/>
          <w:u w:val="single"/>
        </w:rPr>
        <w:t>3. Revenue and Cost Drivers</w:t>
      </w:r>
    </w:p>
    <w:p w14:paraId="54E46E17" w14:textId="46E0F245" w:rsidR="00EE4E5F" w:rsidRPr="00EE4E5F" w:rsidRDefault="00EE4E5F" w:rsidP="00EE4E5F">
      <w:pPr>
        <w:rPr>
          <w:b/>
          <w:bCs/>
        </w:rPr>
      </w:pPr>
      <w:r w:rsidRPr="00EE4E5F">
        <w:rPr>
          <w:b/>
          <w:bCs/>
        </w:rPr>
        <w:t xml:space="preserve"> 3.1 Key Revenue Drivers</w:t>
      </w:r>
    </w:p>
    <w:p w14:paraId="5A603AA0" w14:textId="436698F8" w:rsidR="00EE4E5F" w:rsidRDefault="00EE4E5F" w:rsidP="00EE4E5F">
      <w:r>
        <w:t xml:space="preserve"> Transaction Processing Fees</w:t>
      </w:r>
    </w:p>
    <w:p w14:paraId="38B5F6E6" w14:textId="2FFD2345" w:rsidR="00EE4E5F" w:rsidRDefault="00EE4E5F" w:rsidP="000873D9">
      <w:pPr>
        <w:pStyle w:val="ListParagraph"/>
        <w:numPr>
          <w:ilvl w:val="0"/>
          <w:numId w:val="15"/>
        </w:numPr>
      </w:pPr>
      <w:r>
        <w:t>Volume of transactions processed</w:t>
      </w:r>
    </w:p>
    <w:p w14:paraId="37CDA92D" w14:textId="49F89CAC" w:rsidR="00EE4E5F" w:rsidRDefault="00EE4E5F" w:rsidP="000873D9">
      <w:pPr>
        <w:pStyle w:val="ListParagraph"/>
        <w:numPr>
          <w:ilvl w:val="0"/>
          <w:numId w:val="15"/>
        </w:numPr>
      </w:pPr>
      <w:r>
        <w:t>Cross-border transaction fees</w:t>
      </w:r>
    </w:p>
    <w:p w14:paraId="67DFF218" w14:textId="5EF934D8" w:rsidR="00EE4E5F" w:rsidRDefault="00EE4E5F" w:rsidP="000873D9">
      <w:pPr>
        <w:pStyle w:val="ListParagraph"/>
        <w:numPr>
          <w:ilvl w:val="0"/>
          <w:numId w:val="15"/>
        </w:numPr>
      </w:pPr>
      <w:r>
        <w:t>Data processing fees</w:t>
      </w:r>
    </w:p>
    <w:p w14:paraId="15577F41" w14:textId="77777777" w:rsidR="00EE4E5F" w:rsidRDefault="00EE4E5F" w:rsidP="00EE4E5F"/>
    <w:p w14:paraId="58B98FBE" w14:textId="52B8FF95" w:rsidR="00EE4E5F" w:rsidRDefault="00EE4E5F" w:rsidP="00EE4E5F">
      <w:r>
        <w:t xml:space="preserve"> Service Fees</w:t>
      </w:r>
    </w:p>
    <w:p w14:paraId="61CC4F87" w14:textId="24E17384" w:rsidR="00EE4E5F" w:rsidRDefault="00EE4E5F" w:rsidP="000873D9">
      <w:pPr>
        <w:pStyle w:val="ListParagraph"/>
        <w:numPr>
          <w:ilvl w:val="0"/>
          <w:numId w:val="15"/>
        </w:numPr>
      </w:pPr>
      <w:r>
        <w:t>Card issuance partnerships</w:t>
      </w:r>
    </w:p>
    <w:p w14:paraId="7613D045" w14:textId="56EBDF83" w:rsidR="00EE4E5F" w:rsidRDefault="00EE4E5F" w:rsidP="000873D9">
      <w:pPr>
        <w:pStyle w:val="ListParagraph"/>
        <w:numPr>
          <w:ilvl w:val="0"/>
          <w:numId w:val="15"/>
        </w:numPr>
      </w:pPr>
      <w:r>
        <w:t>Value-added services</w:t>
      </w:r>
    </w:p>
    <w:p w14:paraId="7129EC49" w14:textId="55EEA17A" w:rsidR="00EE4E5F" w:rsidRDefault="00EE4E5F" w:rsidP="000873D9">
      <w:pPr>
        <w:pStyle w:val="ListParagraph"/>
        <w:numPr>
          <w:ilvl w:val="0"/>
          <w:numId w:val="15"/>
        </w:numPr>
      </w:pPr>
      <w:r>
        <w:t>Consulting and analytics services</w:t>
      </w:r>
    </w:p>
    <w:p w14:paraId="705AAB38" w14:textId="77777777" w:rsidR="00EE4E5F" w:rsidRDefault="00EE4E5F" w:rsidP="00EE4E5F"/>
    <w:p w14:paraId="6167898A" w14:textId="2007766F" w:rsidR="00EE4E5F" w:rsidRPr="00EE4E5F" w:rsidRDefault="00EE4E5F" w:rsidP="00EE4E5F">
      <w:pPr>
        <w:rPr>
          <w:b/>
          <w:bCs/>
          <w:u w:val="single"/>
        </w:rPr>
      </w:pPr>
      <w:r w:rsidRPr="00EE4E5F">
        <w:rPr>
          <w:b/>
          <w:bCs/>
          <w:u w:val="single"/>
        </w:rPr>
        <w:t>3.2 Key Cost Drivers</w:t>
      </w:r>
    </w:p>
    <w:p w14:paraId="13B128EC" w14:textId="0D781F64" w:rsidR="00EE4E5F" w:rsidRPr="000873D9" w:rsidRDefault="00EE4E5F" w:rsidP="00EE4E5F">
      <w:pPr>
        <w:rPr>
          <w:b/>
          <w:bCs/>
        </w:rPr>
      </w:pPr>
      <w:r w:rsidRPr="000873D9">
        <w:rPr>
          <w:b/>
          <w:bCs/>
        </w:rPr>
        <w:t>Technology Infrastructure</w:t>
      </w:r>
    </w:p>
    <w:p w14:paraId="0E7BA773" w14:textId="5CA621F3" w:rsidR="00EE4E5F" w:rsidRDefault="00EE4E5F" w:rsidP="000873D9">
      <w:pPr>
        <w:pStyle w:val="ListParagraph"/>
        <w:numPr>
          <w:ilvl w:val="0"/>
          <w:numId w:val="12"/>
        </w:numPr>
      </w:pPr>
      <w:r>
        <w:t>Network maintenance and upgrades</w:t>
      </w:r>
    </w:p>
    <w:p w14:paraId="38D3A5B8" w14:textId="44FFB996" w:rsidR="00EE4E5F" w:rsidRDefault="00EE4E5F" w:rsidP="000873D9">
      <w:pPr>
        <w:pStyle w:val="ListParagraph"/>
        <w:numPr>
          <w:ilvl w:val="0"/>
          <w:numId w:val="12"/>
        </w:numPr>
      </w:pPr>
      <w:r>
        <w:t>Cybersecurity investments</w:t>
      </w:r>
    </w:p>
    <w:p w14:paraId="2A894D80" w14:textId="6552A771" w:rsidR="00EE4E5F" w:rsidRDefault="00EE4E5F" w:rsidP="000873D9">
      <w:pPr>
        <w:pStyle w:val="ListParagraph"/>
        <w:numPr>
          <w:ilvl w:val="0"/>
          <w:numId w:val="12"/>
        </w:numPr>
      </w:pPr>
      <w:r>
        <w:t>Innovation and R&amp;D</w:t>
      </w:r>
    </w:p>
    <w:p w14:paraId="706EF02E" w14:textId="77777777" w:rsidR="00EE4E5F" w:rsidRDefault="00EE4E5F" w:rsidP="00EE4E5F"/>
    <w:p w14:paraId="6B00F5E4" w14:textId="44B7EC23" w:rsidR="00EE4E5F" w:rsidRPr="000873D9" w:rsidRDefault="00EE4E5F" w:rsidP="00EE4E5F">
      <w:pPr>
        <w:rPr>
          <w:b/>
          <w:bCs/>
        </w:rPr>
      </w:pPr>
      <w:r w:rsidRPr="000873D9">
        <w:rPr>
          <w:b/>
          <w:bCs/>
        </w:rPr>
        <w:t xml:space="preserve"> Operating Expenses</w:t>
      </w:r>
    </w:p>
    <w:p w14:paraId="1EE61C4C" w14:textId="21BA0F2A" w:rsidR="00EE4E5F" w:rsidRDefault="00EE4E5F" w:rsidP="000873D9">
      <w:pPr>
        <w:pStyle w:val="ListParagraph"/>
        <w:numPr>
          <w:ilvl w:val="0"/>
          <w:numId w:val="12"/>
        </w:numPr>
      </w:pPr>
      <w:r>
        <w:t>Marketing and promotion</w:t>
      </w:r>
    </w:p>
    <w:p w14:paraId="7CD85BCF" w14:textId="5D1C8503" w:rsidR="00EE4E5F" w:rsidRDefault="00EE4E5F" w:rsidP="000873D9">
      <w:pPr>
        <w:pStyle w:val="ListParagraph"/>
        <w:numPr>
          <w:ilvl w:val="0"/>
          <w:numId w:val="12"/>
        </w:numPr>
      </w:pPr>
      <w:r>
        <w:t>Personnel costs</w:t>
      </w:r>
    </w:p>
    <w:p w14:paraId="134709FD" w14:textId="5C013B54" w:rsidR="00EE4E5F" w:rsidRDefault="00EE4E5F" w:rsidP="000873D9">
      <w:pPr>
        <w:pStyle w:val="ListParagraph"/>
        <w:numPr>
          <w:ilvl w:val="0"/>
          <w:numId w:val="12"/>
        </w:numPr>
      </w:pPr>
      <w:r>
        <w:t>Regulatory compliance</w:t>
      </w:r>
    </w:p>
    <w:p w14:paraId="2756F711" w14:textId="77777777" w:rsidR="00EE4E5F" w:rsidRDefault="00EE4E5F" w:rsidP="00EE4E5F"/>
    <w:p w14:paraId="5A2AA0E0" w14:textId="77777777" w:rsidR="00EE4E5F" w:rsidRDefault="00EE4E5F" w:rsidP="00EE4E5F"/>
    <w:p w14:paraId="4E511DF1" w14:textId="063722F2" w:rsidR="00EE4E5F" w:rsidRPr="00EE4E5F" w:rsidRDefault="00EE4E5F" w:rsidP="00EE4E5F">
      <w:pPr>
        <w:rPr>
          <w:b/>
          <w:bCs/>
          <w:u w:val="single"/>
        </w:rPr>
      </w:pPr>
      <w:r w:rsidRPr="00EE4E5F">
        <w:rPr>
          <w:b/>
          <w:bCs/>
          <w:u w:val="single"/>
        </w:rPr>
        <w:t xml:space="preserve"> 4. Current Industry Trends</w:t>
      </w:r>
    </w:p>
    <w:p w14:paraId="1EA1285E" w14:textId="205004D3" w:rsidR="00EE4E5F" w:rsidRDefault="00EE4E5F" w:rsidP="00EE4E5F">
      <w:r>
        <w:t xml:space="preserve">4.1 </w:t>
      </w:r>
      <w:r w:rsidRPr="00097C7F">
        <w:rPr>
          <w:b/>
          <w:bCs/>
        </w:rPr>
        <w:t>Revenue-Related Trends</w:t>
      </w:r>
    </w:p>
    <w:p w14:paraId="279660D6" w14:textId="109DEF39" w:rsidR="00EE4E5F" w:rsidRDefault="00EE4E5F" w:rsidP="00EE4E5F">
      <w:r>
        <w:t># Digital Payment Acceleration</w:t>
      </w:r>
    </w:p>
    <w:p w14:paraId="4F0DBE8B" w14:textId="31E2F12D" w:rsidR="00EE4E5F" w:rsidRDefault="00EE4E5F" w:rsidP="00097C7F">
      <w:pPr>
        <w:pStyle w:val="ListParagraph"/>
        <w:numPr>
          <w:ilvl w:val="0"/>
          <w:numId w:val="9"/>
        </w:numPr>
      </w:pPr>
      <w:r>
        <w:t>Continued shift from cash to digital payments</w:t>
      </w:r>
    </w:p>
    <w:p w14:paraId="5D53BB4D" w14:textId="004591FF" w:rsidR="00EE4E5F" w:rsidRDefault="00EE4E5F" w:rsidP="00097C7F">
      <w:pPr>
        <w:pStyle w:val="ListParagraph"/>
        <w:numPr>
          <w:ilvl w:val="0"/>
          <w:numId w:val="9"/>
        </w:numPr>
      </w:pPr>
      <w:r>
        <w:t>Growth in contactless payments</w:t>
      </w:r>
    </w:p>
    <w:p w14:paraId="70456CE2" w14:textId="2C934706" w:rsidR="00EE4E5F" w:rsidRDefault="00EE4E5F" w:rsidP="00097C7F">
      <w:pPr>
        <w:pStyle w:val="ListParagraph"/>
        <w:numPr>
          <w:ilvl w:val="0"/>
          <w:numId w:val="9"/>
        </w:numPr>
      </w:pPr>
      <w:r>
        <w:t>Expansion of e-commerce globally</w:t>
      </w:r>
    </w:p>
    <w:p w14:paraId="326F1A3B" w14:textId="77777777" w:rsidR="00EE4E5F" w:rsidRDefault="00EE4E5F" w:rsidP="00EE4E5F"/>
    <w:p w14:paraId="6B4E1449" w14:textId="23A4D6BD" w:rsidR="00EE4E5F" w:rsidRDefault="00EE4E5F" w:rsidP="00EE4E5F">
      <w:r>
        <w:t xml:space="preserve"> </w:t>
      </w:r>
      <w:r w:rsidRPr="00097C7F">
        <w:rPr>
          <w:b/>
          <w:bCs/>
        </w:rPr>
        <w:t>Emerging Payment Technologies</w:t>
      </w:r>
    </w:p>
    <w:p w14:paraId="2D6D1FF8" w14:textId="1471CEA4" w:rsidR="00EE4E5F" w:rsidRDefault="00EE4E5F" w:rsidP="00097C7F">
      <w:pPr>
        <w:pStyle w:val="ListParagraph"/>
        <w:numPr>
          <w:ilvl w:val="0"/>
          <w:numId w:val="9"/>
        </w:numPr>
      </w:pPr>
      <w:r>
        <w:t>Rise of real-time payments</w:t>
      </w:r>
    </w:p>
    <w:p w14:paraId="4E7032DA" w14:textId="5C6EAF79" w:rsidR="00EE4E5F" w:rsidRDefault="00EE4E5F" w:rsidP="00097C7F">
      <w:pPr>
        <w:pStyle w:val="ListParagraph"/>
        <w:numPr>
          <w:ilvl w:val="0"/>
          <w:numId w:val="9"/>
        </w:numPr>
      </w:pPr>
      <w:r>
        <w:t>Integration of AI and blockchain</w:t>
      </w:r>
    </w:p>
    <w:p w14:paraId="415BB328" w14:textId="4117B6FD" w:rsidR="00EE4E5F" w:rsidRDefault="00EE4E5F" w:rsidP="00097C7F">
      <w:pPr>
        <w:pStyle w:val="ListParagraph"/>
        <w:numPr>
          <w:ilvl w:val="0"/>
          <w:numId w:val="9"/>
        </w:numPr>
      </w:pPr>
      <w:r>
        <w:t>Growth in mobile payments</w:t>
      </w:r>
    </w:p>
    <w:p w14:paraId="75F4D6D3" w14:textId="77777777" w:rsidR="00EE4E5F" w:rsidRDefault="00EE4E5F" w:rsidP="00EE4E5F"/>
    <w:p w14:paraId="4CE25FED" w14:textId="7654F056" w:rsidR="00EE4E5F" w:rsidRPr="00EE4E5F" w:rsidRDefault="00EE4E5F" w:rsidP="00EE4E5F">
      <w:pPr>
        <w:rPr>
          <w:b/>
          <w:bCs/>
          <w:u w:val="single"/>
        </w:rPr>
      </w:pPr>
      <w:r w:rsidRPr="00EE4E5F">
        <w:rPr>
          <w:b/>
          <w:bCs/>
          <w:u w:val="single"/>
        </w:rPr>
        <w:t xml:space="preserve"> 4.2 Cost-Related Trends</w:t>
      </w:r>
    </w:p>
    <w:p w14:paraId="09C91958" w14:textId="3555E29D" w:rsidR="00EE4E5F" w:rsidRDefault="00EE4E5F" w:rsidP="00EE4E5F">
      <w:r>
        <w:t># Technology Investment</w:t>
      </w:r>
    </w:p>
    <w:p w14:paraId="02DDFC32" w14:textId="649B2775" w:rsidR="00EE4E5F" w:rsidRDefault="00EE4E5F" w:rsidP="00097C7F">
      <w:pPr>
        <w:pStyle w:val="ListParagraph"/>
        <w:numPr>
          <w:ilvl w:val="0"/>
          <w:numId w:val="4"/>
        </w:numPr>
      </w:pPr>
      <w:r>
        <w:t>Cloud infrastructure adoption</w:t>
      </w:r>
    </w:p>
    <w:p w14:paraId="1920B89F" w14:textId="783F6512" w:rsidR="00EE4E5F" w:rsidRDefault="00EE4E5F" w:rsidP="00097C7F">
      <w:pPr>
        <w:pStyle w:val="ListParagraph"/>
        <w:numPr>
          <w:ilvl w:val="0"/>
          <w:numId w:val="4"/>
        </w:numPr>
      </w:pPr>
      <w:r>
        <w:t>AI/ML implementation</w:t>
      </w:r>
    </w:p>
    <w:p w14:paraId="175776EC" w14:textId="042A18DD" w:rsidR="00EE4E5F" w:rsidRDefault="00EE4E5F" w:rsidP="00097C7F">
      <w:pPr>
        <w:pStyle w:val="ListParagraph"/>
        <w:numPr>
          <w:ilvl w:val="0"/>
          <w:numId w:val="4"/>
        </w:numPr>
      </w:pPr>
      <w:r>
        <w:t>Enhanced security measures</w:t>
      </w:r>
    </w:p>
    <w:p w14:paraId="1179E6F9" w14:textId="77777777" w:rsidR="00EE4E5F" w:rsidRDefault="00EE4E5F" w:rsidP="00EE4E5F"/>
    <w:p w14:paraId="0C9E8A85" w14:textId="4446D10A" w:rsidR="00EE4E5F" w:rsidRDefault="00EE4E5F" w:rsidP="00EE4E5F">
      <w:r>
        <w:t>## Regulatory Environment</w:t>
      </w:r>
    </w:p>
    <w:p w14:paraId="3934BC4D" w14:textId="3210C0C4" w:rsidR="00EE4E5F" w:rsidRDefault="00EE4E5F" w:rsidP="00097C7F">
      <w:pPr>
        <w:pStyle w:val="ListParagraph"/>
        <w:numPr>
          <w:ilvl w:val="0"/>
          <w:numId w:val="7"/>
        </w:numPr>
      </w:pPr>
      <w:r>
        <w:t>Increasing compliance requirements</w:t>
      </w:r>
    </w:p>
    <w:p w14:paraId="3728A15A" w14:textId="2F66C959" w:rsidR="00EE4E5F" w:rsidRDefault="00EE4E5F" w:rsidP="00097C7F">
      <w:pPr>
        <w:pStyle w:val="ListParagraph"/>
        <w:numPr>
          <w:ilvl w:val="0"/>
          <w:numId w:val="7"/>
        </w:numPr>
      </w:pPr>
      <w:r>
        <w:t>Data privacy regulations</w:t>
      </w:r>
    </w:p>
    <w:p w14:paraId="2CC2C932" w14:textId="18E5DEFB" w:rsidR="00EE4E5F" w:rsidRDefault="00EE4E5F" w:rsidP="00097C7F">
      <w:pPr>
        <w:pStyle w:val="ListParagraph"/>
        <w:numPr>
          <w:ilvl w:val="0"/>
          <w:numId w:val="7"/>
        </w:numPr>
      </w:pPr>
      <w:r>
        <w:t>Open banking initiatives</w:t>
      </w:r>
    </w:p>
    <w:p w14:paraId="47AD524A" w14:textId="77777777" w:rsidR="00EE4E5F" w:rsidRDefault="00EE4E5F" w:rsidP="00EE4E5F"/>
    <w:p w14:paraId="617B5842" w14:textId="77777777" w:rsidR="00EE4E5F" w:rsidRDefault="00EE4E5F" w:rsidP="00EE4E5F"/>
    <w:p w14:paraId="18D6305A" w14:textId="77777777" w:rsidR="00EE4E5F" w:rsidRDefault="00EE4E5F" w:rsidP="00EE4E5F"/>
    <w:p w14:paraId="4BB6A299" w14:textId="77777777" w:rsidR="00EE4E5F" w:rsidRDefault="00EE4E5F" w:rsidP="00EE4E5F"/>
    <w:p w14:paraId="6FCA59B1" w14:textId="77777777" w:rsidR="00EE4E5F" w:rsidRDefault="00EE4E5F" w:rsidP="00EE4E5F"/>
    <w:p w14:paraId="5F3AB387" w14:textId="64B903A5" w:rsidR="00EE4E5F" w:rsidRPr="00EE4E5F" w:rsidRDefault="00EE4E5F" w:rsidP="00EE4E5F">
      <w:pPr>
        <w:rPr>
          <w:b/>
          <w:bCs/>
          <w:sz w:val="24"/>
          <w:szCs w:val="24"/>
        </w:rPr>
      </w:pPr>
      <w:r w:rsidRPr="00EE4E5F">
        <w:rPr>
          <w:b/>
          <w:bCs/>
          <w:sz w:val="24"/>
          <w:szCs w:val="24"/>
        </w:rPr>
        <w:t xml:space="preserve"> SWOT Analysis</w:t>
      </w:r>
    </w:p>
    <w:p w14:paraId="6A06294B" w14:textId="77777777" w:rsidR="00EE4E5F" w:rsidRDefault="00EE4E5F" w:rsidP="00EE4E5F"/>
    <w:p w14:paraId="6A1055BF" w14:textId="58E01F69" w:rsidR="00EE4E5F" w:rsidRDefault="00097C7F" w:rsidP="00EE4E5F">
      <w:r w:rsidRPr="00097C7F">
        <w:drawing>
          <wp:inline distT="0" distB="0" distL="0" distR="0" wp14:anchorId="2921D35E" wp14:editId="01FD3198">
            <wp:extent cx="4914900" cy="1128432"/>
            <wp:effectExtent l="0" t="0" r="0" b="0"/>
            <wp:docPr id="112129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93471" name=""/>
                    <pic:cNvPicPr/>
                  </pic:nvPicPr>
                  <pic:blipFill>
                    <a:blip r:embed="rId6"/>
                    <a:stretch>
                      <a:fillRect/>
                    </a:stretch>
                  </pic:blipFill>
                  <pic:spPr>
                    <a:xfrm>
                      <a:off x="0" y="0"/>
                      <a:ext cx="4926434" cy="1131080"/>
                    </a:xfrm>
                    <a:prstGeom prst="rect">
                      <a:avLst/>
                    </a:prstGeom>
                  </pic:spPr>
                </pic:pic>
              </a:graphicData>
            </a:graphic>
          </wp:inline>
        </w:drawing>
      </w:r>
    </w:p>
    <w:p w14:paraId="693890FA" w14:textId="77777777" w:rsidR="00097C7F" w:rsidRDefault="00097C7F" w:rsidP="00EE4E5F"/>
    <w:p w14:paraId="454B1674" w14:textId="41CAA500" w:rsidR="00097C7F" w:rsidRDefault="00097C7F" w:rsidP="00EE4E5F">
      <w:r w:rsidRPr="00097C7F">
        <w:drawing>
          <wp:inline distT="0" distB="0" distL="0" distR="0" wp14:anchorId="1628D88E" wp14:editId="2CE9D8E8">
            <wp:extent cx="4846320" cy="1146341"/>
            <wp:effectExtent l="0" t="0" r="0" b="0"/>
            <wp:docPr id="176799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94037" name=""/>
                    <pic:cNvPicPr/>
                  </pic:nvPicPr>
                  <pic:blipFill>
                    <a:blip r:embed="rId7"/>
                    <a:stretch>
                      <a:fillRect/>
                    </a:stretch>
                  </pic:blipFill>
                  <pic:spPr>
                    <a:xfrm>
                      <a:off x="0" y="0"/>
                      <a:ext cx="4865034" cy="1150768"/>
                    </a:xfrm>
                    <a:prstGeom prst="rect">
                      <a:avLst/>
                    </a:prstGeom>
                  </pic:spPr>
                </pic:pic>
              </a:graphicData>
            </a:graphic>
          </wp:inline>
        </w:drawing>
      </w:r>
    </w:p>
    <w:p w14:paraId="5566DA54" w14:textId="2C25E382" w:rsidR="00EE4E5F" w:rsidRDefault="00EE4E5F" w:rsidP="00EE4E5F"/>
    <w:p w14:paraId="5C01B65C" w14:textId="274A971B" w:rsidR="00EE4E5F" w:rsidRPr="00097C7F" w:rsidRDefault="00EE4E5F" w:rsidP="00EE4E5F">
      <w:pPr>
        <w:rPr>
          <w:b/>
          <w:bCs/>
          <w:sz w:val="28"/>
          <w:szCs w:val="28"/>
        </w:rPr>
      </w:pPr>
      <w:r w:rsidRPr="00097C7F">
        <w:rPr>
          <w:b/>
          <w:bCs/>
          <w:sz w:val="28"/>
          <w:szCs w:val="28"/>
        </w:rPr>
        <w:t>PESTEL Analysis</w:t>
      </w:r>
    </w:p>
    <w:p w14:paraId="48BDCDC6" w14:textId="77777777" w:rsidR="00EE4E5F" w:rsidRDefault="00EE4E5F" w:rsidP="00EE4E5F"/>
    <w:p w14:paraId="7A6BD538" w14:textId="380D3AFB" w:rsidR="00EE4E5F" w:rsidRDefault="00097C7F" w:rsidP="00EE4E5F">
      <w:r w:rsidRPr="00097C7F">
        <w:drawing>
          <wp:inline distT="0" distB="0" distL="0" distR="0" wp14:anchorId="6E9C8739" wp14:editId="3D93E0F5">
            <wp:extent cx="4411980" cy="3202456"/>
            <wp:effectExtent l="0" t="0" r="7620" b="0"/>
            <wp:docPr id="634417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17997" name=""/>
                    <pic:cNvPicPr/>
                  </pic:nvPicPr>
                  <pic:blipFill>
                    <a:blip r:embed="rId8"/>
                    <a:stretch>
                      <a:fillRect/>
                    </a:stretch>
                  </pic:blipFill>
                  <pic:spPr>
                    <a:xfrm>
                      <a:off x="0" y="0"/>
                      <a:ext cx="4413585" cy="3203621"/>
                    </a:xfrm>
                    <a:prstGeom prst="rect">
                      <a:avLst/>
                    </a:prstGeom>
                  </pic:spPr>
                </pic:pic>
              </a:graphicData>
            </a:graphic>
          </wp:inline>
        </w:drawing>
      </w:r>
    </w:p>
    <w:p w14:paraId="592EFB0A" w14:textId="17C3794D" w:rsidR="00097C7F" w:rsidRDefault="00097C7F" w:rsidP="00EE4E5F">
      <w:r w:rsidRPr="00097C7F">
        <w:lastRenderedPageBreak/>
        <w:drawing>
          <wp:inline distT="0" distB="0" distL="0" distR="0" wp14:anchorId="41113047" wp14:editId="06FED110">
            <wp:extent cx="4411980" cy="591092"/>
            <wp:effectExtent l="0" t="0" r="0" b="0"/>
            <wp:docPr id="118203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36187" name=""/>
                    <pic:cNvPicPr/>
                  </pic:nvPicPr>
                  <pic:blipFill>
                    <a:blip r:embed="rId9"/>
                    <a:stretch>
                      <a:fillRect/>
                    </a:stretch>
                  </pic:blipFill>
                  <pic:spPr>
                    <a:xfrm>
                      <a:off x="0" y="0"/>
                      <a:ext cx="4450538" cy="596258"/>
                    </a:xfrm>
                    <a:prstGeom prst="rect">
                      <a:avLst/>
                    </a:prstGeom>
                  </pic:spPr>
                </pic:pic>
              </a:graphicData>
            </a:graphic>
          </wp:inline>
        </w:drawing>
      </w:r>
    </w:p>
    <w:p w14:paraId="0E2461D5" w14:textId="77777777" w:rsidR="00097C7F" w:rsidRDefault="00097C7F" w:rsidP="00EE4E5F"/>
    <w:p w14:paraId="722BEDE3" w14:textId="77777777" w:rsidR="00097C7F" w:rsidRDefault="00097C7F" w:rsidP="00EE4E5F"/>
    <w:p w14:paraId="0345F881" w14:textId="25669429" w:rsidR="00EE4E5F" w:rsidRPr="00097C7F" w:rsidRDefault="00EE4E5F" w:rsidP="00EE4E5F">
      <w:pPr>
        <w:rPr>
          <w:b/>
          <w:bCs/>
        </w:rPr>
      </w:pPr>
      <w:r w:rsidRPr="00097C7F">
        <w:rPr>
          <w:b/>
          <w:bCs/>
        </w:rPr>
        <w:t xml:space="preserve"> Competitive Analysis</w:t>
      </w:r>
    </w:p>
    <w:p w14:paraId="766AD881" w14:textId="4578424E" w:rsidR="00EE4E5F" w:rsidRDefault="00EE4E5F" w:rsidP="00EE4E5F">
      <w:r>
        <w:t>7.1 Market Position</w:t>
      </w:r>
    </w:p>
    <w:p w14:paraId="45017FEC" w14:textId="77777777" w:rsidR="00EE4E5F" w:rsidRDefault="00EE4E5F" w:rsidP="00EE4E5F">
      <w:r>
        <w:t>Visa maintains its position as the largest payment processor globally, with superior transaction volume and network reach compared to peers. The company's competitive advantage stems from its established infrastructure, brand trust, and technological capabilities.</w:t>
      </w:r>
    </w:p>
    <w:p w14:paraId="65955194" w14:textId="77777777" w:rsidR="00EE4E5F" w:rsidRDefault="00EE4E5F" w:rsidP="00EE4E5F"/>
    <w:p w14:paraId="2C679A98" w14:textId="3696EA54" w:rsidR="00EE4E5F" w:rsidRDefault="00EE4E5F" w:rsidP="00EE4E5F">
      <w:r>
        <w:t xml:space="preserve"> 7.2 Strategic Initiatives</w:t>
      </w:r>
    </w:p>
    <w:p w14:paraId="003E4025" w14:textId="614D9C92" w:rsidR="00EE4E5F" w:rsidRPr="00097C7F" w:rsidRDefault="00EE4E5F" w:rsidP="00EE4E5F">
      <w:pPr>
        <w:rPr>
          <w:b/>
          <w:bCs/>
        </w:rPr>
      </w:pPr>
      <w:r w:rsidRPr="00097C7F">
        <w:rPr>
          <w:b/>
          <w:bCs/>
        </w:rPr>
        <w:t xml:space="preserve"> Visa</w:t>
      </w:r>
    </w:p>
    <w:p w14:paraId="6F2F716D" w14:textId="77777777" w:rsidR="00EE4E5F" w:rsidRDefault="00EE4E5F" w:rsidP="00EE4E5F">
      <w:r>
        <w:t>- Focus on digital payment innovation</w:t>
      </w:r>
    </w:p>
    <w:p w14:paraId="0A1F6654" w14:textId="77777777" w:rsidR="00EE4E5F" w:rsidRDefault="00EE4E5F" w:rsidP="00EE4E5F">
      <w:r>
        <w:t>- Expansion of B2B payment solutions</w:t>
      </w:r>
    </w:p>
    <w:p w14:paraId="71A54C73" w14:textId="77777777" w:rsidR="00EE4E5F" w:rsidRDefault="00EE4E5F" w:rsidP="00EE4E5F">
      <w:r>
        <w:t>- Investment in blockchain and cryptocurrency capabilities</w:t>
      </w:r>
    </w:p>
    <w:p w14:paraId="26E63D61" w14:textId="77777777" w:rsidR="00097C7F" w:rsidRDefault="00097C7F" w:rsidP="00EE4E5F"/>
    <w:p w14:paraId="5C891ECE" w14:textId="77777777" w:rsidR="00097C7F" w:rsidRPr="00097C7F" w:rsidRDefault="00097C7F" w:rsidP="00097C7F">
      <w:r w:rsidRPr="00097C7F">
        <w:rPr>
          <w:b/>
          <w:bCs/>
        </w:rPr>
        <w:t>American Express</w:t>
      </w:r>
      <w:r w:rsidRPr="00097C7F">
        <w:t xml:space="preserve"> </w:t>
      </w:r>
    </w:p>
    <w:p w14:paraId="136FB588" w14:textId="77777777" w:rsidR="00097C7F" w:rsidRPr="00097C7F" w:rsidRDefault="00097C7F" w:rsidP="000873D9">
      <w:pPr>
        <w:numPr>
          <w:ilvl w:val="0"/>
          <w:numId w:val="1"/>
        </w:numPr>
        <w:spacing w:after="0"/>
      </w:pPr>
      <w:r w:rsidRPr="00097C7F">
        <w:t>Premium customer segment focus</w:t>
      </w:r>
    </w:p>
    <w:p w14:paraId="3F93DD13" w14:textId="77777777" w:rsidR="00097C7F" w:rsidRPr="00097C7F" w:rsidRDefault="00097C7F" w:rsidP="000873D9">
      <w:pPr>
        <w:numPr>
          <w:ilvl w:val="0"/>
          <w:numId w:val="1"/>
        </w:numPr>
        <w:spacing w:after="0"/>
      </w:pPr>
      <w:r w:rsidRPr="00097C7F">
        <w:t>Expansion of merchant network</w:t>
      </w:r>
    </w:p>
    <w:p w14:paraId="2695045C" w14:textId="77777777" w:rsidR="00097C7F" w:rsidRPr="00097C7F" w:rsidRDefault="00097C7F" w:rsidP="000873D9">
      <w:pPr>
        <w:numPr>
          <w:ilvl w:val="0"/>
          <w:numId w:val="1"/>
        </w:numPr>
        <w:spacing w:after="0"/>
      </w:pPr>
      <w:r w:rsidRPr="00097C7F">
        <w:t>Enhanced rewards programs</w:t>
      </w:r>
    </w:p>
    <w:p w14:paraId="0AB50D46" w14:textId="77777777" w:rsidR="00097C7F" w:rsidRDefault="00097C7F" w:rsidP="00EE4E5F"/>
    <w:p w14:paraId="6D72D0DC" w14:textId="77777777" w:rsidR="00EE4E5F" w:rsidRDefault="00EE4E5F" w:rsidP="00EE4E5F"/>
    <w:p w14:paraId="3EDA9874" w14:textId="5977B15D" w:rsidR="00EE4E5F" w:rsidRPr="00097C7F" w:rsidRDefault="00EE4E5F" w:rsidP="00EE4E5F">
      <w:pPr>
        <w:rPr>
          <w:b/>
          <w:bCs/>
          <w:u w:val="single"/>
        </w:rPr>
      </w:pPr>
      <w:r>
        <w:t xml:space="preserve"> </w:t>
      </w:r>
      <w:r w:rsidRPr="00097C7F">
        <w:rPr>
          <w:b/>
          <w:bCs/>
          <w:u w:val="single"/>
        </w:rPr>
        <w:t xml:space="preserve"> Performance Metrics (FY 2024)</w:t>
      </w:r>
    </w:p>
    <w:p w14:paraId="63177135" w14:textId="4BC63CE9" w:rsidR="00EE4E5F" w:rsidRDefault="00EE4E5F" w:rsidP="00EE4E5F">
      <w:r w:rsidRPr="00097C7F">
        <w:rPr>
          <w:b/>
          <w:bCs/>
        </w:rPr>
        <w:t>Transaction Volume Growth</w:t>
      </w:r>
    </w:p>
    <w:p w14:paraId="155EDAA5" w14:textId="77777777" w:rsidR="00EE4E5F" w:rsidRDefault="00EE4E5F" w:rsidP="00EE4E5F">
      <w:r>
        <w:t>- Visa: ~</w:t>
      </w:r>
      <w:r w:rsidRPr="00097C7F">
        <w:rPr>
          <w:b/>
          <w:bCs/>
        </w:rPr>
        <w:t>10-12%</w:t>
      </w:r>
    </w:p>
    <w:p w14:paraId="72F69DFE" w14:textId="77777777" w:rsidR="00EE4E5F" w:rsidRDefault="00EE4E5F" w:rsidP="00EE4E5F">
      <w:r>
        <w:t>- Mastercard: ~</w:t>
      </w:r>
      <w:r w:rsidRPr="00097C7F">
        <w:rPr>
          <w:b/>
          <w:bCs/>
        </w:rPr>
        <w:t>8-10%</w:t>
      </w:r>
    </w:p>
    <w:p w14:paraId="7A17FFFF" w14:textId="77777777" w:rsidR="00EE4E5F" w:rsidRDefault="00EE4E5F" w:rsidP="00EE4E5F">
      <w:r>
        <w:t>- American Express: ~</w:t>
      </w:r>
      <w:r w:rsidRPr="00097C7F">
        <w:rPr>
          <w:b/>
          <w:bCs/>
        </w:rPr>
        <w:t>7-9%</w:t>
      </w:r>
    </w:p>
    <w:p w14:paraId="6C13DCC8" w14:textId="780D859A" w:rsidR="00EE4E5F" w:rsidRDefault="00EE4E5F" w:rsidP="00EE4E5F"/>
    <w:p w14:paraId="5109CFCE" w14:textId="77777777" w:rsidR="00EE4E5F" w:rsidRDefault="00EE4E5F" w:rsidP="00EE4E5F"/>
    <w:p w14:paraId="456F2E13" w14:textId="6AE6D44A" w:rsidR="00EE4E5F" w:rsidRPr="00097C7F" w:rsidRDefault="00EE4E5F" w:rsidP="00097C7F">
      <w:pPr>
        <w:spacing w:after="0"/>
        <w:rPr>
          <w:i/>
          <w:iCs/>
          <w:sz w:val="16"/>
          <w:szCs w:val="16"/>
        </w:rPr>
      </w:pPr>
      <w:r w:rsidRPr="00097C7F">
        <w:rPr>
          <w:i/>
          <w:iCs/>
          <w:sz w:val="16"/>
          <w:szCs w:val="16"/>
        </w:rPr>
        <w:t>Sources</w:t>
      </w:r>
    </w:p>
    <w:p w14:paraId="73770688" w14:textId="185A30D7" w:rsidR="007732B4" w:rsidRPr="000873D9" w:rsidRDefault="00EE4E5F" w:rsidP="000873D9">
      <w:pPr>
        <w:spacing w:after="0"/>
        <w:rPr>
          <w:i/>
          <w:iCs/>
          <w:sz w:val="16"/>
          <w:szCs w:val="16"/>
        </w:rPr>
      </w:pPr>
      <w:r w:rsidRPr="00097C7F">
        <w:rPr>
          <w:i/>
          <w:iCs/>
          <w:sz w:val="16"/>
          <w:szCs w:val="16"/>
        </w:rPr>
        <w:t>1. Visa Annual Reports and Financial Statements</w:t>
      </w:r>
    </w:p>
    <w:sectPr w:rsidR="007732B4" w:rsidRPr="0008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0A8"/>
    <w:multiLevelType w:val="hybridMultilevel"/>
    <w:tmpl w:val="A102660E"/>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0B09"/>
    <w:multiLevelType w:val="hybridMultilevel"/>
    <w:tmpl w:val="2F7C0054"/>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558BD"/>
    <w:multiLevelType w:val="hybridMultilevel"/>
    <w:tmpl w:val="1C4CFBA4"/>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5426"/>
    <w:multiLevelType w:val="hybridMultilevel"/>
    <w:tmpl w:val="01403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A52D05"/>
    <w:multiLevelType w:val="hybridMultilevel"/>
    <w:tmpl w:val="AE6C0154"/>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C7821"/>
    <w:multiLevelType w:val="hybridMultilevel"/>
    <w:tmpl w:val="927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C4D4C"/>
    <w:multiLevelType w:val="hybridMultilevel"/>
    <w:tmpl w:val="E4ECB592"/>
    <w:lvl w:ilvl="0" w:tplc="96E8C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C0CB6"/>
    <w:multiLevelType w:val="hybridMultilevel"/>
    <w:tmpl w:val="AA1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1557E"/>
    <w:multiLevelType w:val="hybridMultilevel"/>
    <w:tmpl w:val="B0AEB7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425191"/>
    <w:multiLevelType w:val="multilevel"/>
    <w:tmpl w:val="BF0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B5CE0"/>
    <w:multiLevelType w:val="hybridMultilevel"/>
    <w:tmpl w:val="98D498A0"/>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D1B0B"/>
    <w:multiLevelType w:val="hybridMultilevel"/>
    <w:tmpl w:val="52DAFC22"/>
    <w:lvl w:ilvl="0" w:tplc="14F2FC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15C04"/>
    <w:multiLevelType w:val="hybridMultilevel"/>
    <w:tmpl w:val="81005FD6"/>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17FA3"/>
    <w:multiLevelType w:val="hybridMultilevel"/>
    <w:tmpl w:val="BEA6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80DAE"/>
    <w:multiLevelType w:val="hybridMultilevel"/>
    <w:tmpl w:val="4D4CD362"/>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E0880"/>
    <w:multiLevelType w:val="hybridMultilevel"/>
    <w:tmpl w:val="CB2E3890"/>
    <w:lvl w:ilvl="0" w:tplc="AD6C7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902970">
    <w:abstractNumId w:val="9"/>
  </w:num>
  <w:num w:numId="2" w16cid:durableId="1801267990">
    <w:abstractNumId w:val="5"/>
  </w:num>
  <w:num w:numId="3" w16cid:durableId="555167792">
    <w:abstractNumId w:val="6"/>
  </w:num>
  <w:num w:numId="4" w16cid:durableId="2067098396">
    <w:abstractNumId w:val="8"/>
  </w:num>
  <w:num w:numId="5" w16cid:durableId="1898783518">
    <w:abstractNumId w:val="13"/>
  </w:num>
  <w:num w:numId="6" w16cid:durableId="674188433">
    <w:abstractNumId w:val="11"/>
  </w:num>
  <w:num w:numId="7" w16cid:durableId="429664054">
    <w:abstractNumId w:val="3"/>
  </w:num>
  <w:num w:numId="8" w16cid:durableId="990446065">
    <w:abstractNumId w:val="7"/>
  </w:num>
  <w:num w:numId="9" w16cid:durableId="1317220423">
    <w:abstractNumId w:val="14"/>
  </w:num>
  <w:num w:numId="10" w16cid:durableId="315691807">
    <w:abstractNumId w:val="12"/>
  </w:num>
  <w:num w:numId="11" w16cid:durableId="1775861628">
    <w:abstractNumId w:val="1"/>
  </w:num>
  <w:num w:numId="12" w16cid:durableId="1559315716">
    <w:abstractNumId w:val="15"/>
  </w:num>
  <w:num w:numId="13" w16cid:durableId="1068528271">
    <w:abstractNumId w:val="4"/>
  </w:num>
  <w:num w:numId="14" w16cid:durableId="879516385">
    <w:abstractNumId w:val="10"/>
  </w:num>
  <w:num w:numId="15" w16cid:durableId="1072242890">
    <w:abstractNumId w:val="2"/>
  </w:num>
  <w:num w:numId="16" w16cid:durableId="190094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5F"/>
    <w:rsid w:val="000133A5"/>
    <w:rsid w:val="000873D9"/>
    <w:rsid w:val="00097C7F"/>
    <w:rsid w:val="001E38CA"/>
    <w:rsid w:val="007732B4"/>
    <w:rsid w:val="00960194"/>
    <w:rsid w:val="00EB450B"/>
    <w:rsid w:val="00EE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6D65C"/>
  <w15:chartTrackingRefBased/>
  <w15:docId w15:val="{1BB86CC2-0510-4F55-9F3F-8FEBAF0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42213">
      <w:bodyDiv w:val="1"/>
      <w:marLeft w:val="0"/>
      <w:marRight w:val="0"/>
      <w:marTop w:val="0"/>
      <w:marBottom w:val="0"/>
      <w:divBdr>
        <w:top w:val="none" w:sz="0" w:space="0" w:color="auto"/>
        <w:left w:val="none" w:sz="0" w:space="0" w:color="auto"/>
        <w:bottom w:val="none" w:sz="0" w:space="0" w:color="auto"/>
        <w:right w:val="none" w:sz="0" w:space="0" w:color="auto"/>
      </w:divBdr>
    </w:div>
    <w:div w:id="228810844">
      <w:bodyDiv w:val="1"/>
      <w:marLeft w:val="0"/>
      <w:marRight w:val="0"/>
      <w:marTop w:val="0"/>
      <w:marBottom w:val="0"/>
      <w:divBdr>
        <w:top w:val="none" w:sz="0" w:space="0" w:color="auto"/>
        <w:left w:val="none" w:sz="0" w:space="0" w:color="auto"/>
        <w:bottom w:val="none" w:sz="0" w:space="0" w:color="auto"/>
        <w:right w:val="none" w:sz="0" w:space="0" w:color="auto"/>
      </w:divBdr>
    </w:div>
    <w:div w:id="273367588">
      <w:bodyDiv w:val="1"/>
      <w:marLeft w:val="0"/>
      <w:marRight w:val="0"/>
      <w:marTop w:val="0"/>
      <w:marBottom w:val="0"/>
      <w:divBdr>
        <w:top w:val="none" w:sz="0" w:space="0" w:color="auto"/>
        <w:left w:val="none" w:sz="0" w:space="0" w:color="auto"/>
        <w:bottom w:val="none" w:sz="0" w:space="0" w:color="auto"/>
        <w:right w:val="none" w:sz="0" w:space="0" w:color="auto"/>
      </w:divBdr>
    </w:div>
    <w:div w:id="1029526800">
      <w:bodyDiv w:val="1"/>
      <w:marLeft w:val="0"/>
      <w:marRight w:val="0"/>
      <w:marTop w:val="0"/>
      <w:marBottom w:val="0"/>
      <w:divBdr>
        <w:top w:val="none" w:sz="0" w:space="0" w:color="auto"/>
        <w:left w:val="none" w:sz="0" w:space="0" w:color="auto"/>
        <w:bottom w:val="none" w:sz="0" w:space="0" w:color="auto"/>
        <w:right w:val="none" w:sz="0" w:space="0" w:color="auto"/>
      </w:divBdr>
    </w:div>
    <w:div w:id="1774476768">
      <w:bodyDiv w:val="1"/>
      <w:marLeft w:val="0"/>
      <w:marRight w:val="0"/>
      <w:marTop w:val="0"/>
      <w:marBottom w:val="0"/>
      <w:divBdr>
        <w:top w:val="none" w:sz="0" w:space="0" w:color="auto"/>
        <w:left w:val="none" w:sz="0" w:space="0" w:color="auto"/>
        <w:bottom w:val="none" w:sz="0" w:space="0" w:color="auto"/>
        <w:right w:val="none" w:sz="0" w:space="0" w:color="auto"/>
      </w:divBdr>
    </w:div>
    <w:div w:id="19959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444</Words>
  <Characters>2853</Characters>
  <Application>Microsoft Office Word</Application>
  <DocSecurity>0</DocSecurity>
  <Lines>142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manager@2300frontier.com</dc:creator>
  <cp:keywords/>
  <dc:description/>
  <cp:lastModifiedBy>manager@2300frontier.com</cp:lastModifiedBy>
  <cp:revision>1</cp:revision>
  <dcterms:created xsi:type="dcterms:W3CDTF">2025-01-04T22:52:00Z</dcterms:created>
  <dcterms:modified xsi:type="dcterms:W3CDTF">2025-01-04T23:20:00Z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e14b4dab-4174-4c7f-8b1f-ab635b1934ec</vt:lpwstr>
  </property>
</Properties>
</file>