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30E4F" w14:textId="4F0C0DC4" w:rsidR="008F6B5C" w:rsidRDefault="008F6B5C" w:rsidP="008F6B5C">
      <w:pPr>
        <w:pStyle w:val="Heading1"/>
      </w:pPr>
      <w:r w:rsidRPr="008F6B5C">
        <w:t>Interpreting the Results of Apple Inc. (2020–2022)</w:t>
      </w:r>
    </w:p>
    <w:p w14:paraId="1CEA4D7E" w14:textId="301163D8" w:rsidR="00A756E3" w:rsidRDefault="007461B3" w:rsidP="00A756E3">
      <w:pPr>
        <w:pStyle w:val="Heading2"/>
      </w:pPr>
      <w:r>
        <w:t>Executive Summary</w:t>
      </w:r>
    </w:p>
    <w:p w14:paraId="73F7D688" w14:textId="671D7C59" w:rsidR="00A756E3" w:rsidRPr="00A756E3" w:rsidRDefault="00A756E3" w:rsidP="00A756E3">
      <w:pPr>
        <w:pStyle w:val="ListParagraph"/>
        <w:numPr>
          <w:ilvl w:val="0"/>
          <w:numId w:val="11"/>
        </w:numPr>
      </w:pPr>
      <w:r w:rsidRPr="00A756E3">
        <w:rPr>
          <w:b/>
          <w:bCs/>
        </w:rPr>
        <w:t>Financial Performance</w:t>
      </w:r>
      <w:r w:rsidRPr="00A756E3">
        <w:t xml:space="preserve">: From 2020 to 2022, </w:t>
      </w:r>
      <w:r w:rsidR="00F920B8" w:rsidRPr="00F920B8">
        <w:t>Apple Inc. demonstrated strong financial health across profitability, solvency, and asset utilisation metrics</w:t>
      </w:r>
      <w:r w:rsidRPr="00A756E3">
        <w:t>.</w:t>
      </w:r>
    </w:p>
    <w:p w14:paraId="05EE0995" w14:textId="1D3BFFDD" w:rsidR="00A756E3" w:rsidRPr="00A756E3" w:rsidRDefault="00A756E3" w:rsidP="00A756E3">
      <w:pPr>
        <w:pStyle w:val="ListParagraph"/>
        <w:numPr>
          <w:ilvl w:val="0"/>
          <w:numId w:val="11"/>
        </w:numPr>
      </w:pPr>
      <w:r w:rsidRPr="00A756E3">
        <w:rPr>
          <w:b/>
          <w:bCs/>
        </w:rPr>
        <w:t>Liquidity Challenges</w:t>
      </w:r>
      <w:r w:rsidRPr="00A756E3">
        <w:t>: A gradual decline in liquidity ratios due to increased current liabilities signals potential short-term financing challenges.</w:t>
      </w:r>
    </w:p>
    <w:p w14:paraId="68ECC4A1" w14:textId="77777777" w:rsidR="00A756E3" w:rsidRDefault="00A756E3" w:rsidP="00A756E3">
      <w:pPr>
        <w:pStyle w:val="ListParagraph"/>
        <w:numPr>
          <w:ilvl w:val="0"/>
          <w:numId w:val="11"/>
        </w:numPr>
      </w:pPr>
      <w:r w:rsidRPr="00A756E3">
        <w:rPr>
          <w:b/>
          <w:bCs/>
        </w:rPr>
        <w:t>Profitability Growth</w:t>
      </w:r>
      <w:r w:rsidRPr="00A756E3">
        <w:t>:</w:t>
      </w:r>
    </w:p>
    <w:p w14:paraId="0E9A129F" w14:textId="104E00C4" w:rsidR="00A756E3" w:rsidRDefault="00A756E3" w:rsidP="00A756E3">
      <w:pPr>
        <w:pStyle w:val="ListParagraph"/>
        <w:numPr>
          <w:ilvl w:val="1"/>
          <w:numId w:val="11"/>
        </w:numPr>
      </w:pPr>
      <w:r w:rsidRPr="00A756E3">
        <w:t xml:space="preserve">EBIT and EBITDA surged by approximately 80%, highlighting </w:t>
      </w:r>
      <w:r w:rsidR="00F920B8" w:rsidRPr="00F920B8">
        <w:t>Apple's effective revenue scaling and cost control</w:t>
      </w:r>
      <w:r w:rsidRPr="00A756E3">
        <w:t>.</w:t>
      </w:r>
    </w:p>
    <w:p w14:paraId="1FCE75CE" w14:textId="77777777" w:rsidR="00A756E3" w:rsidRDefault="00A756E3" w:rsidP="00A756E3">
      <w:pPr>
        <w:pStyle w:val="ListParagraph"/>
        <w:numPr>
          <w:ilvl w:val="1"/>
          <w:numId w:val="11"/>
        </w:numPr>
      </w:pPr>
      <w:r w:rsidRPr="00A756E3">
        <w:t>Asset efficiency, with improvements in total asset turnover and inventory turnover ratios, underscored Apple’s operational resilience.</w:t>
      </w:r>
    </w:p>
    <w:p w14:paraId="0E88DAC7" w14:textId="4E8A26CB" w:rsidR="00A756E3" w:rsidRPr="00A756E3" w:rsidRDefault="00A756E3" w:rsidP="00A756E3">
      <w:pPr>
        <w:pStyle w:val="ListParagraph"/>
        <w:numPr>
          <w:ilvl w:val="0"/>
          <w:numId w:val="11"/>
        </w:numPr>
      </w:pPr>
      <w:r w:rsidRPr="00A756E3">
        <w:rPr>
          <w:b/>
          <w:bCs/>
        </w:rPr>
        <w:t>Debt Management</w:t>
      </w:r>
      <w:r w:rsidRPr="00A756E3">
        <w:t>:</w:t>
      </w:r>
    </w:p>
    <w:p w14:paraId="333DC974" w14:textId="77777777" w:rsidR="00A756E3" w:rsidRPr="00A756E3" w:rsidRDefault="00A756E3" w:rsidP="00A756E3">
      <w:pPr>
        <w:pStyle w:val="ListParagraph"/>
        <w:numPr>
          <w:ilvl w:val="1"/>
          <w:numId w:val="11"/>
        </w:numPr>
      </w:pPr>
      <w:r w:rsidRPr="00A756E3">
        <w:t xml:space="preserve">Apple’s high </w:t>
      </w:r>
      <w:r w:rsidRPr="00CE533B">
        <w:rPr>
          <w:b/>
          <w:bCs/>
        </w:rPr>
        <w:t>Times Interest Earned (TIE)</w:t>
      </w:r>
      <w:r w:rsidRPr="00A756E3">
        <w:t xml:space="preserve"> ratio indicates strong earnings capacity relative to interest expenses.</w:t>
      </w:r>
    </w:p>
    <w:p w14:paraId="646633B7" w14:textId="2C80A5E2" w:rsidR="00A756E3" w:rsidRPr="00A756E3" w:rsidRDefault="00A756E3" w:rsidP="00A756E3">
      <w:pPr>
        <w:pStyle w:val="ListParagraph"/>
        <w:numPr>
          <w:ilvl w:val="1"/>
          <w:numId w:val="11"/>
        </w:numPr>
      </w:pPr>
      <w:r w:rsidRPr="00CE533B">
        <w:rPr>
          <w:b/>
          <w:bCs/>
        </w:rPr>
        <w:t>Strategic debt management</w:t>
      </w:r>
      <w:r w:rsidRPr="00A756E3">
        <w:t xml:space="preserve"> provided financial leverage that positions th</w:t>
      </w:r>
      <w:r>
        <w:t xml:space="preserve">e </w:t>
      </w:r>
      <w:r w:rsidRPr="00A756E3">
        <w:t>company for sustained growth.</w:t>
      </w:r>
    </w:p>
    <w:p w14:paraId="3FDAE5BF" w14:textId="63CF34EC" w:rsidR="00A756E3" w:rsidRPr="00A756E3" w:rsidRDefault="00A756E3" w:rsidP="00A756E3">
      <w:pPr>
        <w:pStyle w:val="ListParagraph"/>
        <w:numPr>
          <w:ilvl w:val="0"/>
          <w:numId w:val="11"/>
        </w:numPr>
      </w:pPr>
      <w:r w:rsidRPr="00A756E3">
        <w:rPr>
          <w:b/>
          <w:bCs/>
        </w:rPr>
        <w:t>Service Revenue and Innovation</w:t>
      </w:r>
      <w:r w:rsidRPr="00A756E3">
        <w:t>: Service revenue growth and increased R&amp;D investments reflected Apple’s commitment to innovation and market diversification.</w:t>
      </w:r>
    </w:p>
    <w:p w14:paraId="76C8BD18" w14:textId="77777777" w:rsidR="008F6B5C" w:rsidRPr="008F6B5C" w:rsidRDefault="008F6B5C" w:rsidP="008F6B5C">
      <w:pPr>
        <w:pStyle w:val="Heading2"/>
      </w:pPr>
      <w:r w:rsidRPr="008F6B5C">
        <w:t>Liquidity Ratios</w:t>
      </w:r>
    </w:p>
    <w:p w14:paraId="0E0B3E1A" w14:textId="77777777" w:rsidR="008F6B5C" w:rsidRDefault="008F6B5C" w:rsidP="008F6B5C">
      <w:r w:rsidRPr="008F6B5C">
        <w:t>Between 2020 and 2022, Apple Inc. experienced shifts in liquidity as current liabilities increased each year. This growth in liabilities led to a gradual decline in key liquidity ratios (current, quick, and cash ratios), suggesting potential challenges in meeting short-term obligations.</w:t>
      </w:r>
    </w:p>
    <w:p w14:paraId="60C5D977" w14:textId="77777777" w:rsidR="00582769" w:rsidRDefault="008F6B5C" w:rsidP="00582769">
      <w:pPr>
        <w:keepNext/>
        <w:jc w:val="center"/>
      </w:pPr>
      <w:r>
        <w:rPr>
          <w:noProof/>
        </w:rPr>
        <w:drawing>
          <wp:inline distT="0" distB="0" distL="0" distR="0" wp14:anchorId="3A35A199" wp14:editId="3685386F">
            <wp:extent cx="4596136" cy="2743200"/>
            <wp:effectExtent l="0" t="0" r="13970" b="0"/>
            <wp:docPr id="533161850" name="Chart 1">
              <a:extLst xmlns:a="http://schemas.openxmlformats.org/drawingml/2006/main">
                <a:ext uri="{FF2B5EF4-FFF2-40B4-BE49-F238E27FC236}">
                  <a16:creationId xmlns:a16="http://schemas.microsoft.com/office/drawing/2014/main" id="{B1B77AE5-420A-2B66-1921-22BA3C7896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71FECAC" w14:textId="29EE8C09" w:rsidR="008F6B5C" w:rsidRPr="008F6B5C" w:rsidRDefault="00582769" w:rsidP="00582769">
      <w:pPr>
        <w:pStyle w:val="Caption"/>
        <w:jc w:val="center"/>
      </w:pPr>
      <w:r>
        <w:t xml:space="preserve">Figure </w:t>
      </w:r>
      <w:fldSimple w:instr=" SEQ Figure \* ARABIC ">
        <w:r w:rsidR="006F4B71">
          <w:rPr>
            <w:noProof/>
          </w:rPr>
          <w:t>1</w:t>
        </w:r>
      </w:fldSimple>
      <w:r>
        <w:t>: Apple's Liquidity Ratios</w:t>
      </w:r>
    </w:p>
    <w:p w14:paraId="605A3300" w14:textId="77777777" w:rsidR="008F6B5C" w:rsidRPr="008F6B5C" w:rsidRDefault="008F6B5C" w:rsidP="008F6B5C">
      <w:r w:rsidRPr="008F6B5C">
        <w:t xml:space="preserve">A closer look at the </w:t>
      </w:r>
      <w:r w:rsidRPr="008F6B5C">
        <w:rPr>
          <w:b/>
          <w:bCs/>
        </w:rPr>
        <w:t>Defensive Interval</w:t>
      </w:r>
      <w:r w:rsidRPr="008F6B5C">
        <w:t xml:space="preserve">—which measures Apple’s ability to cover operating expenses using liquid assets—reveals a significant drop from 1,300.2 days in 2020 to 914.7 days </w:t>
      </w:r>
      <w:r w:rsidRPr="008F6B5C">
        <w:lastRenderedPageBreak/>
        <w:t>in 2022. This trend indicates that while Apple’s liquid assets remained strong, they were increasingly deployed toward operational costs.</w:t>
      </w:r>
    </w:p>
    <w:p w14:paraId="7F6372BE" w14:textId="77C1A25A" w:rsidR="008F6B5C" w:rsidRDefault="008F6B5C" w:rsidP="008F6B5C">
      <w:r w:rsidRPr="008F6B5C">
        <w:t xml:space="preserve">The </w:t>
      </w:r>
      <w:r w:rsidRPr="008F6B5C">
        <w:rPr>
          <w:b/>
          <w:bCs/>
        </w:rPr>
        <w:t>Net Trading Cycle</w:t>
      </w:r>
      <w:r w:rsidRPr="008F6B5C">
        <w:t>, a measure of the time cash is held before paying suppliers, extended across these years. While Apple managed to turn over inventory faster, the increased receivables period and delayed supplier payments prolonged the cycle.</w:t>
      </w:r>
      <w:r w:rsidR="00F920B8">
        <w:t xml:space="preserve"> </w:t>
      </w:r>
      <w:r w:rsidR="00F920B8" w:rsidRPr="00F920B8">
        <w:t>This extension suggests longer cash conversion periods, which may impact cash flow timing for operational expenses.</w:t>
      </w:r>
      <w:r w:rsidR="00F920B8">
        <w:t xml:space="preserve"> </w:t>
      </w:r>
      <w:r w:rsidRPr="008F6B5C">
        <w:t xml:space="preserve">Consequently, </w:t>
      </w:r>
      <w:r w:rsidRPr="008F6B5C">
        <w:rPr>
          <w:b/>
          <w:bCs/>
        </w:rPr>
        <w:t>Working Capital</w:t>
      </w:r>
      <w:r w:rsidRPr="008F6B5C">
        <w:t xml:space="preserve"> increased, highlighting Apple’s reliance on supplier funding to cover short-term obligations, a beneficial strategy that enhances operational flexibility.</w:t>
      </w:r>
    </w:p>
    <w:p w14:paraId="6C0231CC" w14:textId="77777777" w:rsidR="00582769" w:rsidRDefault="008F6B5C" w:rsidP="00582769">
      <w:pPr>
        <w:keepNext/>
        <w:jc w:val="center"/>
      </w:pPr>
      <w:r>
        <w:rPr>
          <w:noProof/>
        </w:rPr>
        <w:drawing>
          <wp:inline distT="0" distB="0" distL="0" distR="0" wp14:anchorId="1877D149" wp14:editId="47A494F7">
            <wp:extent cx="4538551" cy="2743200"/>
            <wp:effectExtent l="0" t="0" r="14605" b="0"/>
            <wp:docPr id="415722484" name="Chart 1">
              <a:extLst xmlns:a="http://schemas.openxmlformats.org/drawingml/2006/main">
                <a:ext uri="{FF2B5EF4-FFF2-40B4-BE49-F238E27FC236}">
                  <a16:creationId xmlns:a16="http://schemas.microsoft.com/office/drawing/2014/main" id="{75FE4FED-3E20-1897-8302-37DEEF24D9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F8D6137" w14:textId="5D80AB33" w:rsidR="008F6B5C" w:rsidRPr="008F6B5C" w:rsidRDefault="00582769" w:rsidP="00582769">
      <w:pPr>
        <w:pStyle w:val="Caption"/>
        <w:jc w:val="center"/>
      </w:pPr>
      <w:r>
        <w:t xml:space="preserve">Figure </w:t>
      </w:r>
      <w:fldSimple w:instr=" SEQ Figure \* ARABIC ">
        <w:r w:rsidR="006F4B71">
          <w:rPr>
            <w:noProof/>
          </w:rPr>
          <w:t>2</w:t>
        </w:r>
      </w:fldSimple>
      <w:r>
        <w:t>: Apple's Net Operating Cycle</w:t>
      </w:r>
    </w:p>
    <w:p w14:paraId="2535EADF" w14:textId="77777777" w:rsidR="008F6B5C" w:rsidRPr="008F6B5C" w:rsidRDefault="008F6B5C" w:rsidP="008F6B5C">
      <w:pPr>
        <w:pStyle w:val="Heading2"/>
      </w:pPr>
      <w:r w:rsidRPr="008F6B5C">
        <w:t>Profitability Ratios</w:t>
      </w:r>
    </w:p>
    <w:p w14:paraId="20802CA1" w14:textId="77777777" w:rsidR="008F6B5C" w:rsidRDefault="008F6B5C" w:rsidP="008F6B5C">
      <w:r w:rsidRPr="008F6B5C">
        <w:t xml:space="preserve">Throughout this period, Apple demonstrated solid profitability with stable </w:t>
      </w:r>
      <w:r w:rsidRPr="008F6B5C">
        <w:rPr>
          <w:b/>
          <w:bCs/>
        </w:rPr>
        <w:t>Gross Margin</w:t>
      </w:r>
      <w:r w:rsidRPr="008F6B5C">
        <w:t xml:space="preserve"> (43.3% in 2022) and </w:t>
      </w:r>
      <w:r w:rsidRPr="008F6B5C">
        <w:rPr>
          <w:b/>
          <w:bCs/>
        </w:rPr>
        <w:t>Net Margin</w:t>
      </w:r>
      <w:r w:rsidRPr="008F6B5C">
        <w:t>. All major profitability metrics—</w:t>
      </w:r>
      <w:r w:rsidRPr="008F6B5C">
        <w:rPr>
          <w:b/>
          <w:bCs/>
        </w:rPr>
        <w:t>Gross Margin</w:t>
      </w:r>
      <w:r w:rsidRPr="008F6B5C">
        <w:t xml:space="preserve">, </w:t>
      </w:r>
      <w:r w:rsidRPr="008F6B5C">
        <w:rPr>
          <w:b/>
          <w:bCs/>
        </w:rPr>
        <w:t>EBITDA Margin</w:t>
      </w:r>
      <w:r w:rsidRPr="008F6B5C">
        <w:t xml:space="preserve">, </w:t>
      </w:r>
      <w:r w:rsidRPr="008F6B5C">
        <w:rPr>
          <w:b/>
          <w:bCs/>
        </w:rPr>
        <w:t>EBIT Margin</w:t>
      </w:r>
      <w:r w:rsidRPr="008F6B5C">
        <w:t xml:space="preserve">, and </w:t>
      </w:r>
      <w:r w:rsidRPr="008F6B5C">
        <w:rPr>
          <w:b/>
          <w:bCs/>
        </w:rPr>
        <w:t>Net Margin</w:t>
      </w:r>
      <w:r w:rsidRPr="008F6B5C">
        <w:t>—showed stability, reflecting effective cost control relative to revenue.</w:t>
      </w:r>
    </w:p>
    <w:p w14:paraId="741D6508" w14:textId="6AD5E6AA" w:rsidR="00CE533B" w:rsidRDefault="00CE533B" w:rsidP="00CE533B">
      <w:pPr>
        <w:pStyle w:val="ListParagraph"/>
        <w:numPr>
          <w:ilvl w:val="0"/>
          <w:numId w:val="12"/>
        </w:numPr>
      </w:pPr>
      <w:r w:rsidRPr="008F6B5C">
        <w:rPr>
          <w:b/>
          <w:bCs/>
        </w:rPr>
        <w:t>EBIT</w:t>
      </w:r>
      <w:r w:rsidRPr="008F6B5C">
        <w:t xml:space="preserve"> and </w:t>
      </w:r>
      <w:r w:rsidRPr="008F6B5C">
        <w:rPr>
          <w:b/>
          <w:bCs/>
        </w:rPr>
        <w:t>EBITDA</w:t>
      </w:r>
      <w:r w:rsidRPr="008F6B5C">
        <w:t xml:space="preserve"> surged by approximately 80% over three years,</w:t>
      </w:r>
      <w:r>
        <w:t xml:space="preserve"> highlighting</w:t>
      </w:r>
      <w:r w:rsidRPr="008F6B5C">
        <w:t xml:space="preserve"> Apple’s capacity to scale revenues while containing costs</w:t>
      </w:r>
      <w:r>
        <w:t>.</w:t>
      </w:r>
    </w:p>
    <w:p w14:paraId="59229FE0" w14:textId="4DF2F8AE" w:rsidR="004A615B" w:rsidRDefault="008F6B5C" w:rsidP="008F6B5C">
      <w:pPr>
        <w:pStyle w:val="ListParagraph"/>
        <w:numPr>
          <w:ilvl w:val="0"/>
          <w:numId w:val="12"/>
        </w:numPr>
      </w:pPr>
      <w:r w:rsidRPr="00CE533B">
        <w:rPr>
          <w:b/>
          <w:bCs/>
        </w:rPr>
        <w:t>Net Income</w:t>
      </w:r>
      <w:r w:rsidRPr="008F6B5C">
        <w:t xml:space="preserve"> rose from $57,411 million in 2020 to $99,803 million in 2022, indicating strong growth. </w:t>
      </w:r>
    </w:p>
    <w:p w14:paraId="7D1CD85E" w14:textId="77777777" w:rsidR="00EF2E6A" w:rsidRDefault="004A615B" w:rsidP="00EF2E6A">
      <w:pPr>
        <w:keepNext/>
        <w:jc w:val="center"/>
      </w:pPr>
      <w:r>
        <w:rPr>
          <w:noProof/>
        </w:rPr>
        <w:lastRenderedPageBreak/>
        <w:drawing>
          <wp:inline distT="0" distB="0" distL="0" distR="0" wp14:anchorId="7C7C7241" wp14:editId="565550E8">
            <wp:extent cx="4572000" cy="2743200"/>
            <wp:effectExtent l="0" t="0" r="0" b="0"/>
            <wp:docPr id="657660697" name="Chart 1">
              <a:extLst xmlns:a="http://schemas.openxmlformats.org/drawingml/2006/main">
                <a:ext uri="{FF2B5EF4-FFF2-40B4-BE49-F238E27FC236}">
                  <a16:creationId xmlns:a16="http://schemas.microsoft.com/office/drawing/2014/main" id="{2BA4EF5F-F35B-9526-F452-C86E272367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8C6D79" w14:textId="2C3F913E" w:rsidR="00582769" w:rsidRDefault="00EF2E6A" w:rsidP="00EF2E6A">
      <w:pPr>
        <w:pStyle w:val="Caption"/>
        <w:jc w:val="center"/>
      </w:pPr>
      <w:r>
        <w:t xml:space="preserve">Figure </w:t>
      </w:r>
      <w:fldSimple w:instr=" SEQ Figure \* ARABIC ">
        <w:r w:rsidR="006F4B71">
          <w:rPr>
            <w:noProof/>
          </w:rPr>
          <w:t>3</w:t>
        </w:r>
      </w:fldSimple>
      <w:r>
        <w:t>: Post-Expense Earnings (2020-2022)</w:t>
      </w:r>
    </w:p>
    <w:p w14:paraId="1F06FE7A" w14:textId="50830BDA" w:rsidR="008F6B5C" w:rsidRPr="008F6B5C" w:rsidRDefault="008F6B5C" w:rsidP="004A615B">
      <w:r w:rsidRPr="008F6B5C">
        <w:t xml:space="preserve">Notably, </w:t>
      </w:r>
      <w:r w:rsidRPr="008F6B5C">
        <w:rPr>
          <w:b/>
          <w:bCs/>
        </w:rPr>
        <w:t>Earnings per Share (EPS)</w:t>
      </w:r>
      <w:r w:rsidRPr="008F6B5C">
        <w:t xml:space="preserve"> increased from $3.3 in 2020 to $6.2 in 2022, reinforcing Apple’s capacity to generate shareholder value.</w:t>
      </w:r>
    </w:p>
    <w:p w14:paraId="37970457" w14:textId="77777777" w:rsidR="00582769" w:rsidRDefault="00582769" w:rsidP="008F6B5C">
      <w:pPr>
        <w:rPr>
          <w:b/>
          <w:bCs/>
        </w:rPr>
      </w:pPr>
    </w:p>
    <w:p w14:paraId="68C678B7" w14:textId="77777777" w:rsidR="00582769" w:rsidRDefault="00582769" w:rsidP="008F6B5C">
      <w:pPr>
        <w:rPr>
          <w:b/>
          <w:bCs/>
        </w:rPr>
      </w:pPr>
    </w:p>
    <w:p w14:paraId="693C5A4E" w14:textId="378E4A55" w:rsidR="008F6B5C" w:rsidRPr="008F6B5C" w:rsidRDefault="008F6B5C" w:rsidP="008F6B5C">
      <w:pPr>
        <w:rPr>
          <w:b/>
          <w:bCs/>
        </w:rPr>
      </w:pPr>
      <w:r w:rsidRPr="008F6B5C">
        <w:rPr>
          <w:b/>
          <w:bCs/>
        </w:rPr>
        <w:t>Solvency/Debt Management Ratios</w:t>
      </w:r>
    </w:p>
    <w:p w14:paraId="4B6146F7" w14:textId="0C81B892" w:rsidR="008F6B5C" w:rsidRDefault="008F6B5C" w:rsidP="008F6B5C">
      <w:r w:rsidRPr="008F6B5C">
        <w:t xml:space="preserve">Apple’s </w:t>
      </w:r>
      <w:r w:rsidRPr="008F6B5C">
        <w:rPr>
          <w:b/>
          <w:bCs/>
        </w:rPr>
        <w:t>Debt/Equity Ratio</w:t>
      </w:r>
      <w:r w:rsidRPr="008F6B5C">
        <w:t xml:space="preserve"> climbed from 1.6x in 2020 to 2.2x in 2022, primarily due to short-term debt obligations. </w:t>
      </w:r>
      <w:r w:rsidR="006F4B71" w:rsidRPr="006F4B71">
        <w:t>Apple’s use of leverage indicates strategic borrowing to support growth initiatives</w:t>
      </w:r>
      <w:r w:rsidRPr="008F6B5C">
        <w:t xml:space="preserve">. However, </w:t>
      </w:r>
      <w:r w:rsidRPr="008F6B5C">
        <w:rPr>
          <w:b/>
          <w:bCs/>
        </w:rPr>
        <w:t>Debt to Total Assets</w:t>
      </w:r>
      <w:r w:rsidRPr="008F6B5C">
        <w:t xml:space="preserve"> and </w:t>
      </w:r>
      <w:r w:rsidRPr="008F6B5C">
        <w:rPr>
          <w:b/>
          <w:bCs/>
        </w:rPr>
        <w:t>Long-Term Debt to Capital</w:t>
      </w:r>
      <w:r w:rsidRPr="008F6B5C">
        <w:t xml:space="preserve"> remained stable, indicating balanced long-term debt levels.</w:t>
      </w:r>
    </w:p>
    <w:p w14:paraId="10575D0F" w14:textId="2B097F94" w:rsidR="00CE533B" w:rsidRDefault="00CE533B" w:rsidP="00CE533B">
      <w:pPr>
        <w:pStyle w:val="ListParagraph"/>
        <w:numPr>
          <w:ilvl w:val="0"/>
          <w:numId w:val="13"/>
        </w:numPr>
      </w:pPr>
      <w:r w:rsidRPr="008F6B5C">
        <w:t xml:space="preserve">The </w:t>
      </w:r>
      <w:r w:rsidRPr="008F6B5C">
        <w:rPr>
          <w:b/>
          <w:bCs/>
        </w:rPr>
        <w:t>Times Interest Earned (TIE)</w:t>
      </w:r>
      <w:r w:rsidRPr="008F6B5C">
        <w:t xml:space="preserve"> ratio was extremely high in 2021 at 422.3x and slightly decreased to 357.6x in 2022. </w:t>
      </w:r>
      <w:r w:rsidR="006F4B71" w:rsidRPr="006F4B71">
        <w:t>This high figure indicates ample earnings to cover interest expenses</w:t>
      </w:r>
      <w:r>
        <w:t>.</w:t>
      </w:r>
    </w:p>
    <w:p w14:paraId="6DEC4965" w14:textId="740C849A" w:rsidR="008F6B5C" w:rsidRPr="008F6B5C" w:rsidRDefault="008F6B5C" w:rsidP="008F6B5C">
      <w:pPr>
        <w:pStyle w:val="ListParagraph"/>
        <w:numPr>
          <w:ilvl w:val="0"/>
          <w:numId w:val="13"/>
        </w:numPr>
      </w:pPr>
      <w:r w:rsidRPr="00CE533B">
        <w:rPr>
          <w:b/>
          <w:bCs/>
        </w:rPr>
        <w:t>Debt Coverage Ratio</w:t>
      </w:r>
      <w:r w:rsidRPr="008F6B5C">
        <w:t xml:space="preserve"> also improved from 0.7x in 2020 to 1.0x in 2022, indicating increased ability to meet debt obligations with cash flow.</w:t>
      </w:r>
    </w:p>
    <w:p w14:paraId="1CC89577" w14:textId="77777777" w:rsidR="008F6B5C" w:rsidRPr="008F6B5C" w:rsidRDefault="008F6B5C" w:rsidP="008F6B5C">
      <w:r w:rsidRPr="008F6B5C">
        <w:t xml:space="preserve">Apple maintained stable </w:t>
      </w:r>
      <w:r w:rsidRPr="008F6B5C">
        <w:rPr>
          <w:b/>
          <w:bCs/>
        </w:rPr>
        <w:t>Free Cash Flow to Equity (FCFE)</w:t>
      </w:r>
      <w:r w:rsidRPr="008F6B5C">
        <w:t xml:space="preserve"> per share, ensuring consistent returns to shareholders despite fluctuations in debt levels.</w:t>
      </w:r>
    </w:p>
    <w:p w14:paraId="561AADC0" w14:textId="2174AABA" w:rsidR="008F6B5C" w:rsidRPr="008F6B5C" w:rsidRDefault="008F6B5C" w:rsidP="008F6B5C">
      <w:pPr>
        <w:pStyle w:val="Heading2"/>
      </w:pPr>
      <w:r w:rsidRPr="008F6B5C">
        <w:t>Asset Utili</w:t>
      </w:r>
      <w:r w:rsidR="00CE533B">
        <w:t>s</w:t>
      </w:r>
      <w:r w:rsidRPr="008F6B5C">
        <w:t>ation</w:t>
      </w:r>
    </w:p>
    <w:p w14:paraId="58888F71" w14:textId="054D8D44" w:rsidR="008F6B5C" w:rsidRPr="008F6B5C" w:rsidRDefault="008F6B5C" w:rsidP="008F6B5C">
      <w:r w:rsidRPr="008F6B5C">
        <w:t>Apple optimi</w:t>
      </w:r>
      <w:r>
        <w:t>s</w:t>
      </w:r>
      <w:r w:rsidRPr="008F6B5C">
        <w:t xml:space="preserve">ed asset efficiency over these years. </w:t>
      </w:r>
      <w:r w:rsidR="006F4B71" w:rsidRPr="006F4B71">
        <w:t xml:space="preserve">The improvement in </w:t>
      </w:r>
      <w:r w:rsidR="006F4B71" w:rsidRPr="006F4B71">
        <w:rPr>
          <w:b/>
          <w:bCs/>
        </w:rPr>
        <w:t>Total Asset Turnover</w:t>
      </w:r>
      <w:r w:rsidR="006F4B71" w:rsidRPr="006F4B71">
        <w:t xml:space="preserve"> from 0.8x to 1.1x signifies Apple’s increased efficiency in using assets to generate revenue.</w:t>
      </w:r>
      <w:r w:rsidRPr="008F6B5C">
        <w:t xml:space="preserve"> Similarly, </w:t>
      </w:r>
      <w:r w:rsidRPr="008F6B5C">
        <w:rPr>
          <w:b/>
          <w:bCs/>
        </w:rPr>
        <w:t>Fixed Asset Turnover</w:t>
      </w:r>
      <w:r w:rsidRPr="008F6B5C">
        <w:t xml:space="preserve"> and </w:t>
      </w:r>
      <w:r w:rsidRPr="008F6B5C">
        <w:rPr>
          <w:b/>
          <w:bCs/>
        </w:rPr>
        <w:t>Inventory Turnover</w:t>
      </w:r>
      <w:r w:rsidRPr="008F6B5C">
        <w:t xml:space="preserve"> ratios saw improvements, with the latter rising sharply from 32.4x in 2021 to 45.2x in 2022, due to refined inventory management.</w:t>
      </w:r>
    </w:p>
    <w:p w14:paraId="09F3C316" w14:textId="77777777" w:rsidR="008F6B5C" w:rsidRPr="008F6B5C" w:rsidRDefault="008F6B5C" w:rsidP="008F6B5C">
      <w:r w:rsidRPr="008F6B5C">
        <w:rPr>
          <w:b/>
          <w:bCs/>
        </w:rPr>
        <w:t>Return on Assets (ROA)</w:t>
      </w:r>
      <w:r w:rsidRPr="008F6B5C">
        <w:t xml:space="preserve"> rose from 17.73% in 2020 to 28.29% in 2022, highlighting Apple’s ability to generate higher returns from its assets—a positive indicator of efficient asset utilization.</w:t>
      </w:r>
    </w:p>
    <w:p w14:paraId="678FDF15" w14:textId="77777777" w:rsidR="008F6B5C" w:rsidRPr="008F6B5C" w:rsidRDefault="008F6B5C" w:rsidP="008F6B5C">
      <w:pPr>
        <w:pStyle w:val="Heading2"/>
      </w:pPr>
      <w:r w:rsidRPr="008F6B5C">
        <w:lastRenderedPageBreak/>
        <w:t>Investor/Market Ratios</w:t>
      </w:r>
    </w:p>
    <w:p w14:paraId="156E1C65" w14:textId="77777777" w:rsidR="008F6B5C" w:rsidRPr="008F6B5C" w:rsidRDefault="008F6B5C" w:rsidP="008F6B5C">
      <w:r w:rsidRPr="008F6B5C">
        <w:t xml:space="preserve">Apple’s </w:t>
      </w:r>
      <w:r w:rsidRPr="008F6B5C">
        <w:rPr>
          <w:b/>
          <w:bCs/>
        </w:rPr>
        <w:t>Price-to-Earnings (P/E) Ratio</w:t>
      </w:r>
      <w:r w:rsidRPr="008F6B5C">
        <w:t xml:space="preserve"> declined from 35.3x in 2020 to 22.6x in 2022, potentially indicating that the stock became more reasonably priced relative to earnings. Meanwhile, </w:t>
      </w:r>
      <w:r w:rsidRPr="008F6B5C">
        <w:rPr>
          <w:b/>
          <w:bCs/>
        </w:rPr>
        <w:t>Earnings per Share (EPS)</w:t>
      </w:r>
      <w:r w:rsidRPr="008F6B5C">
        <w:t xml:space="preserve"> grew from $3.3 in 2020 to $6.1 in 2022, suggesting potential for future share price increases, although EPS alone isn’t a sole indicator of stock performance.</w:t>
      </w:r>
    </w:p>
    <w:p w14:paraId="3C441A85" w14:textId="57C700F1" w:rsidR="008F6B5C" w:rsidRDefault="008F6B5C" w:rsidP="008F6B5C">
      <w:r w:rsidRPr="008F6B5C">
        <w:t xml:space="preserve">The </w:t>
      </w:r>
      <w:r w:rsidRPr="008F6B5C">
        <w:rPr>
          <w:b/>
          <w:bCs/>
        </w:rPr>
        <w:t>Price-to-Book Value (PBV)</w:t>
      </w:r>
      <w:r w:rsidRPr="008F6B5C">
        <w:t xml:space="preserve"> ratio remained low across these years, suggesting Apple’s stock was close to book value, potentially </w:t>
      </w:r>
      <w:r w:rsidR="00CE21C9" w:rsidRPr="008F6B5C">
        <w:t>signalling</w:t>
      </w:r>
      <w:r w:rsidRPr="008F6B5C">
        <w:t xml:space="preserve"> undervaluation. </w:t>
      </w:r>
      <w:r w:rsidR="006F4B71" w:rsidRPr="006F4B71">
        <w:t xml:space="preserve">The lower </w:t>
      </w:r>
      <w:r w:rsidR="006F4B71" w:rsidRPr="006F4B71">
        <w:rPr>
          <w:b/>
          <w:bCs/>
        </w:rPr>
        <w:t>Dividend Payout Ratio</w:t>
      </w:r>
      <w:r w:rsidR="006F4B71" w:rsidRPr="006F4B71">
        <w:t xml:space="preserve"> aligns with Apple’s focus on reinvesting capital for growth</w:t>
      </w:r>
      <w:r w:rsidRPr="008F6B5C">
        <w:t xml:space="preserve">, while the </w:t>
      </w:r>
      <w:r w:rsidRPr="008F6B5C">
        <w:rPr>
          <w:b/>
          <w:bCs/>
        </w:rPr>
        <w:t>Dividend Yield</w:t>
      </w:r>
      <w:r w:rsidRPr="008F6B5C">
        <w:t xml:space="preserve"> remained stable.</w:t>
      </w:r>
    </w:p>
    <w:p w14:paraId="34FB5BD9" w14:textId="690E4607" w:rsidR="00CE533B" w:rsidRDefault="00CE533B" w:rsidP="00CE533B">
      <w:pPr>
        <w:pStyle w:val="ListParagraph"/>
        <w:numPr>
          <w:ilvl w:val="0"/>
          <w:numId w:val="14"/>
        </w:numPr>
      </w:pPr>
      <w:r w:rsidRPr="008F6B5C">
        <w:t xml:space="preserve">The </w:t>
      </w:r>
      <w:r w:rsidRPr="008F6B5C">
        <w:rPr>
          <w:b/>
          <w:bCs/>
        </w:rPr>
        <w:t>Return on Equity (ROE)</w:t>
      </w:r>
      <w:r w:rsidRPr="008F6B5C">
        <w:t xml:space="preserve"> rose markedly from 87.87% in 2020 to 196.96% in 2022, mainly due to short-term borrowings. This growth demonstrates exceptional returns to equity holders.</w:t>
      </w:r>
    </w:p>
    <w:p w14:paraId="4225E322" w14:textId="42F43C78" w:rsidR="00CE533B" w:rsidRPr="008F6B5C" w:rsidRDefault="00CE533B" w:rsidP="00CE533B">
      <w:pPr>
        <w:pStyle w:val="ListParagraph"/>
        <w:numPr>
          <w:ilvl w:val="0"/>
          <w:numId w:val="14"/>
        </w:numPr>
      </w:pPr>
      <w:r w:rsidRPr="008F6B5C">
        <w:t xml:space="preserve">Additionally, </w:t>
      </w:r>
      <w:r w:rsidRPr="00CE533B">
        <w:rPr>
          <w:b/>
          <w:bCs/>
        </w:rPr>
        <w:t>Return on Capital Employed (ROCE)</w:t>
      </w:r>
      <w:r w:rsidRPr="008F6B5C">
        <w:t xml:space="preserve"> improved from 40.42% in 2020 to 79.82% in 2022, reaffirming Apple’s efficient use of capital to generate returns.</w:t>
      </w:r>
    </w:p>
    <w:p w14:paraId="3E70696E" w14:textId="77777777" w:rsidR="00EF2E6A" w:rsidRDefault="008F6B5C" w:rsidP="00EF2E6A">
      <w:pPr>
        <w:keepNext/>
        <w:jc w:val="center"/>
      </w:pPr>
      <w:r>
        <w:rPr>
          <w:noProof/>
        </w:rPr>
        <w:drawing>
          <wp:inline distT="0" distB="0" distL="0" distR="0" wp14:anchorId="00A55612" wp14:editId="61E39494">
            <wp:extent cx="4572000" cy="2743200"/>
            <wp:effectExtent l="0" t="0" r="0" b="0"/>
            <wp:docPr id="1556307357" name="Chart 1">
              <a:extLst xmlns:a="http://schemas.openxmlformats.org/drawingml/2006/main">
                <a:ext uri="{FF2B5EF4-FFF2-40B4-BE49-F238E27FC236}">
                  <a16:creationId xmlns:a16="http://schemas.microsoft.com/office/drawing/2014/main" id="{1D9D9F9C-95DC-5274-395F-2E2379AB76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A2D91D" w14:textId="1B6D881D" w:rsidR="003F43F4" w:rsidRDefault="00EF2E6A" w:rsidP="00EF2E6A">
      <w:pPr>
        <w:pStyle w:val="Caption"/>
        <w:jc w:val="center"/>
      </w:pPr>
      <w:r>
        <w:t xml:space="preserve">Figure </w:t>
      </w:r>
      <w:fldSimple w:instr=" SEQ Figure \* ARABIC ">
        <w:r w:rsidR="006F4B71">
          <w:rPr>
            <w:noProof/>
          </w:rPr>
          <w:t>4</w:t>
        </w:r>
      </w:fldSimple>
      <w:r>
        <w:t>: Apple's Return Ratios</w:t>
      </w:r>
    </w:p>
    <w:p w14:paraId="514D6E1A" w14:textId="77777777" w:rsidR="008F6B5C" w:rsidRPr="008F6B5C" w:rsidRDefault="008F6B5C" w:rsidP="008F6B5C">
      <w:r w:rsidRPr="008F6B5C">
        <w:t xml:space="preserve">Apple’s </w:t>
      </w:r>
      <w:r w:rsidRPr="008F6B5C">
        <w:rPr>
          <w:b/>
          <w:bCs/>
        </w:rPr>
        <w:t>Enterprise Value (EV)</w:t>
      </w:r>
      <w:r w:rsidRPr="008F6B5C">
        <w:t xml:space="preserve"> was notably high at 25.2x in 2020 due to increased market valuations during the COVID-19 pandemic but decreased to a more sustainable 16.9x by 2022.</w:t>
      </w:r>
    </w:p>
    <w:p w14:paraId="2285B057" w14:textId="77777777" w:rsidR="008F6B5C" w:rsidRPr="008F6B5C" w:rsidRDefault="008F6B5C" w:rsidP="008F6B5C">
      <w:pPr>
        <w:pStyle w:val="Heading2"/>
      </w:pPr>
      <w:r w:rsidRPr="008F6B5C">
        <w:t>Growth Rates</w:t>
      </w:r>
    </w:p>
    <w:p w14:paraId="7DCACBB9" w14:textId="77777777" w:rsidR="008F6B5C" w:rsidRDefault="008F6B5C" w:rsidP="008F6B5C">
      <w:r w:rsidRPr="008F6B5C">
        <w:t>While product sales slowed in 2022, service revenues grew by 14.18%, reflecting the rising adoption of Apple’s service offerings, including Apple Pay, Mac software, and iTunes. Net sales and gross profits decelerated in 2022 after a high-growth period in 2021, hinting at market stabilization post-pandemic.</w:t>
      </w:r>
    </w:p>
    <w:p w14:paraId="70E970BF" w14:textId="77777777" w:rsidR="006F4B71" w:rsidRDefault="008F6B5C" w:rsidP="006F4B71">
      <w:pPr>
        <w:keepNext/>
        <w:jc w:val="center"/>
      </w:pPr>
      <w:r>
        <w:rPr>
          <w:noProof/>
        </w:rPr>
        <w:lastRenderedPageBreak/>
        <w:drawing>
          <wp:inline distT="0" distB="0" distL="0" distR="0" wp14:anchorId="498400B3" wp14:editId="681BA00D">
            <wp:extent cx="4533772" cy="2743200"/>
            <wp:effectExtent l="0" t="0" r="635" b="0"/>
            <wp:docPr id="361284884" name="Chart 1">
              <a:extLst xmlns:a="http://schemas.openxmlformats.org/drawingml/2006/main">
                <a:ext uri="{FF2B5EF4-FFF2-40B4-BE49-F238E27FC236}">
                  <a16:creationId xmlns:a16="http://schemas.microsoft.com/office/drawing/2014/main" id="{46EFC960-BBEF-F99E-30C6-F62CAFF7F8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BEBEEE" w14:textId="79C62B2D" w:rsidR="00EF2E6A" w:rsidRDefault="006F4B71" w:rsidP="006F4B71">
      <w:pPr>
        <w:pStyle w:val="Caption"/>
        <w:jc w:val="center"/>
      </w:pPr>
      <w:r>
        <w:t xml:space="preserve">Figure </w:t>
      </w:r>
      <w:fldSimple w:instr=" SEQ Figure \* ARABIC ">
        <w:r>
          <w:rPr>
            <w:noProof/>
          </w:rPr>
          <w:t>5</w:t>
        </w:r>
      </w:fldSimple>
      <w:r>
        <w:t>: Sales Growth and Decline Rates</w:t>
      </w:r>
    </w:p>
    <w:p w14:paraId="6F74D7C8" w14:textId="77777777" w:rsidR="006F4B71" w:rsidRDefault="00CE21C9" w:rsidP="006F4B71">
      <w:pPr>
        <w:keepNext/>
        <w:jc w:val="center"/>
      </w:pPr>
      <w:r>
        <w:rPr>
          <w:noProof/>
        </w:rPr>
        <w:drawing>
          <wp:inline distT="0" distB="0" distL="0" distR="0" wp14:anchorId="1C3444F1" wp14:editId="1C459956">
            <wp:extent cx="4572000" cy="2743200"/>
            <wp:effectExtent l="0" t="0" r="0" b="0"/>
            <wp:docPr id="555137030" name="Chart 1">
              <a:extLst xmlns:a="http://schemas.openxmlformats.org/drawingml/2006/main">
                <a:ext uri="{FF2B5EF4-FFF2-40B4-BE49-F238E27FC236}">
                  <a16:creationId xmlns:a16="http://schemas.microsoft.com/office/drawing/2014/main" id="{F8797D15-E36A-FC7B-11AF-462723461C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57AA0B" w14:textId="5C1DDEE6" w:rsidR="003F43F4" w:rsidRDefault="006F4B71" w:rsidP="00EF2E6A">
      <w:pPr>
        <w:pStyle w:val="Caption"/>
        <w:jc w:val="center"/>
      </w:pPr>
      <w:r>
        <w:t xml:space="preserve">Figure </w:t>
      </w:r>
      <w:fldSimple w:instr=" SEQ Figure \* ARABIC ">
        <w:r>
          <w:rPr>
            <w:noProof/>
          </w:rPr>
          <w:t>6</w:t>
        </w:r>
      </w:fldSimple>
      <w:r>
        <w:t>: Revenues by Segments</w:t>
      </w:r>
    </w:p>
    <w:p w14:paraId="67F67B68" w14:textId="77777777" w:rsidR="008F6B5C" w:rsidRDefault="008F6B5C" w:rsidP="008F6B5C">
      <w:r w:rsidRPr="008F6B5C">
        <w:t xml:space="preserve">Apple’s </w:t>
      </w:r>
      <w:r w:rsidRPr="008F6B5C">
        <w:rPr>
          <w:b/>
          <w:bCs/>
        </w:rPr>
        <w:t>Research &amp; Development (R&amp;D)</w:t>
      </w:r>
      <w:r w:rsidRPr="008F6B5C">
        <w:t xml:space="preserve"> and </w:t>
      </w:r>
      <w:r w:rsidRPr="008F6B5C">
        <w:rPr>
          <w:b/>
          <w:bCs/>
        </w:rPr>
        <w:t>Selling, General, and Administrative (SG&amp;A)</w:t>
      </w:r>
      <w:r w:rsidRPr="008F6B5C">
        <w:t xml:space="preserve"> expenses increased over the period, reflecting Apple’s investment in innovation and market expansion. Cash and marketable securities decreased as Apple reinvested excess cash into operational activities to support growth.</w:t>
      </w:r>
    </w:p>
    <w:p w14:paraId="2FAF6312" w14:textId="00D8A3C7" w:rsidR="007461B3" w:rsidRDefault="007461B3" w:rsidP="007461B3">
      <w:pPr>
        <w:pStyle w:val="Heading2"/>
      </w:pPr>
      <w:r>
        <w:t>Summary</w:t>
      </w:r>
    </w:p>
    <w:p w14:paraId="6845341B" w14:textId="05F194F3" w:rsidR="005D35F5" w:rsidRPr="005D35F5" w:rsidRDefault="007461B3" w:rsidP="005D35F5">
      <w:r w:rsidRPr="007461B3">
        <w:t xml:space="preserve">Overall, Apple Inc. maintained a strong financial position from 2020 to 2022, with high profitability and optimised asset utilisation standing out as key strengths. </w:t>
      </w:r>
      <w:r w:rsidR="006F4B71" w:rsidRPr="006F4B71">
        <w:t>Strategic leverage enabled substantial returns on equity</w:t>
      </w:r>
      <w:r w:rsidRPr="007461B3">
        <w:t xml:space="preserve">, enhancing value for shareholders. Although declining liquidity ratios suggest that Apple may need to closely monitor short-term obligations, its impressive cash flow and effective supplier funding strategies mitigate immediate risks. </w:t>
      </w:r>
      <w:r w:rsidR="006F4B71" w:rsidRPr="006F4B71">
        <w:t>Apple’s strategic balance between growth investments and operational efficiency suggests it is well-positioned for continued success in a competitive market.</w:t>
      </w:r>
    </w:p>
    <w:sectPr w:rsidR="005D35F5" w:rsidRPr="005D35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7D42"/>
    <w:multiLevelType w:val="hybridMultilevel"/>
    <w:tmpl w:val="52C49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569F3"/>
    <w:multiLevelType w:val="hybridMultilevel"/>
    <w:tmpl w:val="9C0A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83EFC"/>
    <w:multiLevelType w:val="hybridMultilevel"/>
    <w:tmpl w:val="00A6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A3D82"/>
    <w:multiLevelType w:val="hybridMultilevel"/>
    <w:tmpl w:val="D3725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F3514"/>
    <w:multiLevelType w:val="hybridMultilevel"/>
    <w:tmpl w:val="1A66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810F5"/>
    <w:multiLevelType w:val="hybridMultilevel"/>
    <w:tmpl w:val="87F0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0732C"/>
    <w:multiLevelType w:val="hybridMultilevel"/>
    <w:tmpl w:val="7A6A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B532E"/>
    <w:multiLevelType w:val="multilevel"/>
    <w:tmpl w:val="CBCA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E54482"/>
    <w:multiLevelType w:val="hybridMultilevel"/>
    <w:tmpl w:val="CB842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7344AE"/>
    <w:multiLevelType w:val="hybridMultilevel"/>
    <w:tmpl w:val="141E4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D64B3"/>
    <w:multiLevelType w:val="hybridMultilevel"/>
    <w:tmpl w:val="0C1E3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8566FA"/>
    <w:multiLevelType w:val="hybridMultilevel"/>
    <w:tmpl w:val="876E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E811DB"/>
    <w:multiLevelType w:val="hybridMultilevel"/>
    <w:tmpl w:val="6288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301766"/>
    <w:multiLevelType w:val="multilevel"/>
    <w:tmpl w:val="A066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1028399">
    <w:abstractNumId w:val="3"/>
  </w:num>
  <w:num w:numId="2" w16cid:durableId="131023351">
    <w:abstractNumId w:val="10"/>
  </w:num>
  <w:num w:numId="3" w16cid:durableId="1789860396">
    <w:abstractNumId w:val="6"/>
  </w:num>
  <w:num w:numId="4" w16cid:durableId="1961380842">
    <w:abstractNumId w:val="0"/>
  </w:num>
  <w:num w:numId="5" w16cid:durableId="1834568506">
    <w:abstractNumId w:val="5"/>
  </w:num>
  <w:num w:numId="6" w16cid:durableId="103312317">
    <w:abstractNumId w:val="2"/>
  </w:num>
  <w:num w:numId="7" w16cid:durableId="849370047">
    <w:abstractNumId w:val="11"/>
  </w:num>
  <w:num w:numId="8" w16cid:durableId="13386872">
    <w:abstractNumId w:val="9"/>
  </w:num>
  <w:num w:numId="9" w16cid:durableId="1063796119">
    <w:abstractNumId w:val="7"/>
  </w:num>
  <w:num w:numId="10" w16cid:durableId="1405183786">
    <w:abstractNumId w:val="13"/>
  </w:num>
  <w:num w:numId="11" w16cid:durableId="1861121014">
    <w:abstractNumId w:val="8"/>
  </w:num>
  <w:num w:numId="12" w16cid:durableId="1798907375">
    <w:abstractNumId w:val="1"/>
  </w:num>
  <w:num w:numId="13" w16cid:durableId="1328748322">
    <w:abstractNumId w:val="4"/>
  </w:num>
  <w:num w:numId="14" w16cid:durableId="11398799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0F"/>
    <w:rsid w:val="000901A3"/>
    <w:rsid w:val="001652F8"/>
    <w:rsid w:val="0020135F"/>
    <w:rsid w:val="00224600"/>
    <w:rsid w:val="00327818"/>
    <w:rsid w:val="003652FB"/>
    <w:rsid w:val="003D5991"/>
    <w:rsid w:val="003D5C88"/>
    <w:rsid w:val="003F43F4"/>
    <w:rsid w:val="003F50A5"/>
    <w:rsid w:val="00422828"/>
    <w:rsid w:val="004A615B"/>
    <w:rsid w:val="005250DB"/>
    <w:rsid w:val="00551661"/>
    <w:rsid w:val="005566E5"/>
    <w:rsid w:val="00582769"/>
    <w:rsid w:val="005D35F5"/>
    <w:rsid w:val="006C5B68"/>
    <w:rsid w:val="006E0E29"/>
    <w:rsid w:val="006E4D37"/>
    <w:rsid w:val="006F4B71"/>
    <w:rsid w:val="00703174"/>
    <w:rsid w:val="007461B3"/>
    <w:rsid w:val="007561F9"/>
    <w:rsid w:val="007759DF"/>
    <w:rsid w:val="007B7C62"/>
    <w:rsid w:val="00874D0F"/>
    <w:rsid w:val="00885EBB"/>
    <w:rsid w:val="008F4A0F"/>
    <w:rsid w:val="008F6B5C"/>
    <w:rsid w:val="00A756E3"/>
    <w:rsid w:val="00B23809"/>
    <w:rsid w:val="00B53658"/>
    <w:rsid w:val="00BA0BF2"/>
    <w:rsid w:val="00BD2C40"/>
    <w:rsid w:val="00C418DB"/>
    <w:rsid w:val="00CE21C9"/>
    <w:rsid w:val="00CE533B"/>
    <w:rsid w:val="00DE1184"/>
    <w:rsid w:val="00E37AB3"/>
    <w:rsid w:val="00EF2E6A"/>
    <w:rsid w:val="00F032A9"/>
    <w:rsid w:val="00F52D94"/>
    <w:rsid w:val="00F92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08B5"/>
  <w15:chartTrackingRefBased/>
  <w15:docId w15:val="{822C8D8E-8DC7-49F9-B815-1F8005C6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A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4A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4A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A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A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A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A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A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A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A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4A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A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A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A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A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A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A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A0F"/>
    <w:rPr>
      <w:rFonts w:eastAsiaTheme="majorEastAsia" w:cstheme="majorBidi"/>
      <w:color w:val="272727" w:themeColor="text1" w:themeTint="D8"/>
    </w:rPr>
  </w:style>
  <w:style w:type="paragraph" w:styleId="Title">
    <w:name w:val="Title"/>
    <w:basedOn w:val="Normal"/>
    <w:next w:val="Normal"/>
    <w:link w:val="TitleChar"/>
    <w:uiPriority w:val="10"/>
    <w:qFormat/>
    <w:rsid w:val="008F4A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A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A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A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A0F"/>
    <w:pPr>
      <w:spacing w:before="160"/>
      <w:jc w:val="center"/>
    </w:pPr>
    <w:rPr>
      <w:i/>
      <w:iCs/>
      <w:color w:val="404040" w:themeColor="text1" w:themeTint="BF"/>
    </w:rPr>
  </w:style>
  <w:style w:type="character" w:customStyle="1" w:styleId="QuoteChar">
    <w:name w:val="Quote Char"/>
    <w:basedOn w:val="DefaultParagraphFont"/>
    <w:link w:val="Quote"/>
    <w:uiPriority w:val="29"/>
    <w:rsid w:val="008F4A0F"/>
    <w:rPr>
      <w:i/>
      <w:iCs/>
      <w:color w:val="404040" w:themeColor="text1" w:themeTint="BF"/>
    </w:rPr>
  </w:style>
  <w:style w:type="paragraph" w:styleId="ListParagraph">
    <w:name w:val="List Paragraph"/>
    <w:basedOn w:val="Normal"/>
    <w:uiPriority w:val="34"/>
    <w:qFormat/>
    <w:rsid w:val="008F4A0F"/>
    <w:pPr>
      <w:ind w:left="720"/>
      <w:contextualSpacing/>
    </w:pPr>
  </w:style>
  <w:style w:type="character" w:styleId="IntenseEmphasis">
    <w:name w:val="Intense Emphasis"/>
    <w:basedOn w:val="DefaultParagraphFont"/>
    <w:uiPriority w:val="21"/>
    <w:qFormat/>
    <w:rsid w:val="008F4A0F"/>
    <w:rPr>
      <w:i/>
      <w:iCs/>
      <w:color w:val="0F4761" w:themeColor="accent1" w:themeShade="BF"/>
    </w:rPr>
  </w:style>
  <w:style w:type="paragraph" w:styleId="IntenseQuote">
    <w:name w:val="Intense Quote"/>
    <w:basedOn w:val="Normal"/>
    <w:next w:val="Normal"/>
    <w:link w:val="IntenseQuoteChar"/>
    <w:uiPriority w:val="30"/>
    <w:qFormat/>
    <w:rsid w:val="008F4A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A0F"/>
    <w:rPr>
      <w:i/>
      <w:iCs/>
      <w:color w:val="0F4761" w:themeColor="accent1" w:themeShade="BF"/>
    </w:rPr>
  </w:style>
  <w:style w:type="character" w:styleId="IntenseReference">
    <w:name w:val="Intense Reference"/>
    <w:basedOn w:val="DefaultParagraphFont"/>
    <w:uiPriority w:val="32"/>
    <w:qFormat/>
    <w:rsid w:val="008F4A0F"/>
    <w:rPr>
      <w:b/>
      <w:bCs/>
      <w:smallCaps/>
      <w:color w:val="0F4761" w:themeColor="accent1" w:themeShade="BF"/>
      <w:spacing w:val="5"/>
    </w:rPr>
  </w:style>
  <w:style w:type="paragraph" w:styleId="Caption">
    <w:name w:val="caption"/>
    <w:basedOn w:val="Normal"/>
    <w:next w:val="Normal"/>
    <w:uiPriority w:val="35"/>
    <w:unhideWhenUsed/>
    <w:qFormat/>
    <w:rsid w:val="00582769"/>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8249">
      <w:bodyDiv w:val="1"/>
      <w:marLeft w:val="0"/>
      <w:marRight w:val="0"/>
      <w:marTop w:val="0"/>
      <w:marBottom w:val="0"/>
      <w:divBdr>
        <w:top w:val="none" w:sz="0" w:space="0" w:color="auto"/>
        <w:left w:val="none" w:sz="0" w:space="0" w:color="auto"/>
        <w:bottom w:val="none" w:sz="0" w:space="0" w:color="auto"/>
        <w:right w:val="none" w:sz="0" w:space="0" w:color="auto"/>
      </w:divBdr>
    </w:div>
    <w:div w:id="513343610">
      <w:bodyDiv w:val="1"/>
      <w:marLeft w:val="0"/>
      <w:marRight w:val="0"/>
      <w:marTop w:val="0"/>
      <w:marBottom w:val="0"/>
      <w:divBdr>
        <w:top w:val="none" w:sz="0" w:space="0" w:color="auto"/>
        <w:left w:val="none" w:sz="0" w:space="0" w:color="auto"/>
        <w:bottom w:val="none" w:sz="0" w:space="0" w:color="auto"/>
        <w:right w:val="none" w:sz="0" w:space="0" w:color="auto"/>
      </w:divBdr>
    </w:div>
    <w:div w:id="556550049">
      <w:bodyDiv w:val="1"/>
      <w:marLeft w:val="0"/>
      <w:marRight w:val="0"/>
      <w:marTop w:val="0"/>
      <w:marBottom w:val="0"/>
      <w:divBdr>
        <w:top w:val="none" w:sz="0" w:space="0" w:color="auto"/>
        <w:left w:val="none" w:sz="0" w:space="0" w:color="auto"/>
        <w:bottom w:val="none" w:sz="0" w:space="0" w:color="auto"/>
        <w:right w:val="none" w:sz="0" w:space="0" w:color="auto"/>
      </w:divBdr>
    </w:div>
    <w:div w:id="144325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mil\Downloads\Quill%20Capital%20Partners\Investment%20Analyst\Task%201%20-%20Ratio%20Calculations%20-%20Damilola%20Adekanmb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mil\Downloads\Quill%20Capital%20Partners\Investment%20Analyst\Task%201%20-%20Ratio%20Calculations%20-%20Damilola%20Adekanmb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mil\Downloads\Quill%20Capital%20Partners\Investment%20Analyst\Task%201%20-%20Ratio%20Calculations%20-%20Damilola%20Adekanmb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mil\Downloads\Quill%20Capital%20Partners\Investment%20Analyst\Task%201%20-%20Ratio%20Calculations%20-%20Damilola%20Adekanmb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amil\Downloads\Quill%20Capital%20Partners\Investment%20Analyst\Task%201%20-%20Ratio%20Calculations%20-%20Damilola%20Adekanmb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amil\Downloads\Quill%20Capital%20Partners\Investment%20Analyst\Task%201%20-%20Ratio%20Calculations%20-%20Damilola%20Adekanmbi.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Liquidity Ratios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 of Ratios'!$B$5</c:f>
              <c:strCache>
                <c:ptCount val="1"/>
                <c:pt idx="0">
                  <c:v>Current ratio</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Ratios'!$E$3:$G$3</c:f>
              <c:numCache>
                <c:formatCode>#,##0.0_);[Red]\(#,##0.0\);\-</c:formatCode>
                <c:ptCount val="3"/>
                <c:pt idx="0">
                  <c:v>2020</c:v>
                </c:pt>
                <c:pt idx="1">
                  <c:v>2021</c:v>
                </c:pt>
                <c:pt idx="2">
                  <c:v>2022</c:v>
                </c:pt>
              </c:numCache>
            </c:numRef>
          </c:cat>
          <c:val>
            <c:numRef>
              <c:f>'List of Ratios'!$E$5:$G$5</c:f>
              <c:numCache>
                <c:formatCode>#,##0.0\ "x"</c:formatCode>
                <c:ptCount val="3"/>
                <c:pt idx="0">
                  <c:v>1.3636044481554577</c:v>
                </c:pt>
                <c:pt idx="1">
                  <c:v>1.0745531195957954</c:v>
                </c:pt>
                <c:pt idx="2">
                  <c:v>0.87935602862672257</c:v>
                </c:pt>
              </c:numCache>
            </c:numRef>
          </c:val>
          <c:extLst>
            <c:ext xmlns:c16="http://schemas.microsoft.com/office/drawing/2014/chart" uri="{C3380CC4-5D6E-409C-BE32-E72D297353CC}">
              <c16:uniqueId val="{00000000-05E8-4FD4-B0A4-5E7469C0CD20}"/>
            </c:ext>
          </c:extLst>
        </c:ser>
        <c:ser>
          <c:idx val="1"/>
          <c:order val="1"/>
          <c:tx>
            <c:strRef>
              <c:f>'List of Ratios'!$B$6</c:f>
              <c:strCache>
                <c:ptCount val="1"/>
                <c:pt idx="0">
                  <c:v>Quick Ratio</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Ratios'!$E$3:$G$3</c:f>
              <c:numCache>
                <c:formatCode>#,##0.0_);[Red]\(#,##0.0\);\-</c:formatCode>
                <c:ptCount val="3"/>
                <c:pt idx="0">
                  <c:v>2020</c:v>
                </c:pt>
                <c:pt idx="1">
                  <c:v>2021</c:v>
                </c:pt>
                <c:pt idx="2">
                  <c:v>2022</c:v>
                </c:pt>
              </c:numCache>
            </c:numRef>
          </c:cat>
          <c:val>
            <c:numRef>
              <c:f>'List of Ratios'!$E$6:$G$6</c:f>
              <c:numCache>
                <c:formatCode>#,##0.0\ "x"</c:formatCode>
                <c:ptCount val="3"/>
                <c:pt idx="0">
                  <c:v>1.8201571276757249</c:v>
                </c:pt>
                <c:pt idx="1">
                  <c:v>1.5182856368693269</c:v>
                </c:pt>
                <c:pt idx="2">
                  <c:v>1.0982387551791768</c:v>
                </c:pt>
              </c:numCache>
            </c:numRef>
          </c:val>
          <c:extLst>
            <c:ext xmlns:c16="http://schemas.microsoft.com/office/drawing/2014/chart" uri="{C3380CC4-5D6E-409C-BE32-E72D297353CC}">
              <c16:uniqueId val="{00000001-05E8-4FD4-B0A4-5E7469C0CD20}"/>
            </c:ext>
          </c:extLst>
        </c:ser>
        <c:ser>
          <c:idx val="2"/>
          <c:order val="2"/>
          <c:tx>
            <c:strRef>
              <c:f>'List of Ratios'!$B$7</c:f>
              <c:strCache>
                <c:ptCount val="1"/>
                <c:pt idx="0">
                  <c:v>Cash Ratio</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Ratios'!$E$3:$G$3</c:f>
              <c:numCache>
                <c:formatCode>#,##0.0_);[Red]\(#,##0.0\);\-</c:formatCode>
                <c:ptCount val="3"/>
                <c:pt idx="0">
                  <c:v>2020</c:v>
                </c:pt>
                <c:pt idx="1">
                  <c:v>2021</c:v>
                </c:pt>
                <c:pt idx="2">
                  <c:v>2022</c:v>
                </c:pt>
              </c:numCache>
            </c:numRef>
          </c:cat>
          <c:val>
            <c:numRef>
              <c:f>'List of Ratios'!$E$7:$G$7</c:f>
              <c:numCache>
                <c:formatCode>#,##0.0\ "x"</c:formatCode>
                <c:ptCount val="3"/>
                <c:pt idx="0">
                  <c:v>0.36071049035979963</c:v>
                </c:pt>
                <c:pt idx="1">
                  <c:v>0.27844853005634318</c:v>
                </c:pt>
                <c:pt idx="2">
                  <c:v>0.15356340351469652</c:v>
                </c:pt>
              </c:numCache>
            </c:numRef>
          </c:val>
          <c:extLst>
            <c:ext xmlns:c16="http://schemas.microsoft.com/office/drawing/2014/chart" uri="{C3380CC4-5D6E-409C-BE32-E72D297353CC}">
              <c16:uniqueId val="{00000002-05E8-4FD4-B0A4-5E7469C0CD20}"/>
            </c:ext>
          </c:extLst>
        </c:ser>
        <c:dLbls>
          <c:dLblPos val="outEnd"/>
          <c:showLegendKey val="0"/>
          <c:showVal val="1"/>
          <c:showCatName val="0"/>
          <c:showSerName val="0"/>
          <c:showPercent val="0"/>
          <c:showBubbleSize val="0"/>
        </c:dLbls>
        <c:gapWidth val="100"/>
        <c:overlap val="-24"/>
        <c:axId val="863147279"/>
        <c:axId val="317236351"/>
      </c:barChart>
      <c:catAx>
        <c:axId val="863147279"/>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_);[Red]\(#,##0.0\);\-"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236351"/>
        <c:crosses val="autoZero"/>
        <c:auto val="1"/>
        <c:lblAlgn val="ctr"/>
        <c:lblOffset val="100"/>
        <c:noMultiLvlLbl val="0"/>
      </c:catAx>
      <c:valAx>
        <c:axId val="3172363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Ratio</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quot;x&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31472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Net Operating Cycle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'List of Ratios'!$B$9</c:f>
              <c:strCache>
                <c:ptCount val="1"/>
                <c:pt idx="0">
                  <c:v>Inventory Days</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Ratios'!$E$3:$G$3</c:f>
              <c:numCache>
                <c:formatCode>#,##0.0_);[Red]\(#,##0.0\);\-</c:formatCode>
                <c:ptCount val="3"/>
                <c:pt idx="0">
                  <c:v>2020</c:v>
                </c:pt>
                <c:pt idx="1">
                  <c:v>2021</c:v>
                </c:pt>
                <c:pt idx="2">
                  <c:v>2022</c:v>
                </c:pt>
              </c:numCache>
            </c:numRef>
          </c:cat>
          <c:val>
            <c:numRef>
              <c:f>'List of Ratios'!$E$9:$G$9</c:f>
              <c:numCache>
                <c:formatCode>#,##0.0_);[Red]\(#,##0.0\);\-</c:formatCode>
                <c:ptCount val="3"/>
                <c:pt idx="0">
                  <c:v>8.6221315294381302</c:v>
                </c:pt>
                <c:pt idx="1">
                  <c:v>11.122118874453591</c:v>
                </c:pt>
                <c:pt idx="2">
                  <c:v>7.9650720657045975</c:v>
                </c:pt>
              </c:numCache>
            </c:numRef>
          </c:val>
          <c:smooth val="0"/>
          <c:extLst>
            <c:ext xmlns:c16="http://schemas.microsoft.com/office/drawing/2014/chart" uri="{C3380CC4-5D6E-409C-BE32-E72D297353CC}">
              <c16:uniqueId val="{00000000-2E0B-4BAD-B82A-88185BEE71C8}"/>
            </c:ext>
          </c:extLst>
        </c:ser>
        <c:ser>
          <c:idx val="1"/>
          <c:order val="1"/>
          <c:tx>
            <c:strRef>
              <c:f>'List of Ratios'!$B$10</c:f>
              <c:strCache>
                <c:ptCount val="1"/>
                <c:pt idx="0">
                  <c:v>Payable Days</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Ratios'!$E$3:$G$3</c:f>
              <c:numCache>
                <c:formatCode>#,##0.0_);[Red]\(#,##0.0\);\-</c:formatCode>
                <c:ptCount val="3"/>
                <c:pt idx="0">
                  <c:v>2020</c:v>
                </c:pt>
                <c:pt idx="1">
                  <c:v>2021</c:v>
                </c:pt>
                <c:pt idx="2">
                  <c:v>2022</c:v>
                </c:pt>
              </c:numCache>
            </c:numRef>
          </c:cat>
          <c:val>
            <c:numRef>
              <c:f>'List of Ratios'!$E$10:$G$10</c:f>
              <c:numCache>
                <c:formatCode>#,##0.0_);[Red]\(#,##0.0\);\-</c:formatCode>
                <c:ptCount val="3"/>
                <c:pt idx="0">
                  <c:v>89.800954240117008</c:v>
                </c:pt>
                <c:pt idx="1">
                  <c:v>92.565440109681134</c:v>
                </c:pt>
                <c:pt idx="2">
                  <c:v>103.25123240854231</c:v>
                </c:pt>
              </c:numCache>
            </c:numRef>
          </c:val>
          <c:smooth val="0"/>
          <c:extLst>
            <c:ext xmlns:c16="http://schemas.microsoft.com/office/drawing/2014/chart" uri="{C3380CC4-5D6E-409C-BE32-E72D297353CC}">
              <c16:uniqueId val="{00000001-2E0B-4BAD-B82A-88185BEE71C8}"/>
            </c:ext>
          </c:extLst>
        </c:ser>
        <c:ser>
          <c:idx val="2"/>
          <c:order val="2"/>
          <c:tx>
            <c:strRef>
              <c:f>'List of Ratios'!$B$11</c:f>
              <c:strCache>
                <c:ptCount val="1"/>
                <c:pt idx="0">
                  <c:v>Receivable Days</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Ratios'!$E$3:$G$3</c:f>
              <c:numCache>
                <c:formatCode>#,##0.0_);[Red]\(#,##0.0\);\-</c:formatCode>
                <c:ptCount val="3"/>
                <c:pt idx="0">
                  <c:v>2020</c:v>
                </c:pt>
                <c:pt idx="1">
                  <c:v>2021</c:v>
                </c:pt>
                <c:pt idx="2">
                  <c:v>2022</c:v>
                </c:pt>
              </c:numCache>
            </c:numRef>
          </c:cat>
          <c:val>
            <c:numRef>
              <c:f>'List of Ratios'!$E$11:$G$11</c:f>
              <c:numCache>
                <c:formatCode>#,##0.0_);[Red]\(#,##0.0\);\-</c:formatCode>
                <c:ptCount val="3"/>
                <c:pt idx="0">
                  <c:v>21.139828424676246</c:v>
                </c:pt>
                <c:pt idx="1">
                  <c:v>25.860143186347273</c:v>
                </c:pt>
                <c:pt idx="2">
                  <c:v>25.730457892921628</c:v>
                </c:pt>
              </c:numCache>
            </c:numRef>
          </c:val>
          <c:smooth val="0"/>
          <c:extLst>
            <c:ext xmlns:c16="http://schemas.microsoft.com/office/drawing/2014/chart" uri="{C3380CC4-5D6E-409C-BE32-E72D297353CC}">
              <c16:uniqueId val="{00000002-2E0B-4BAD-B82A-88185BEE71C8}"/>
            </c:ext>
          </c:extLst>
        </c:ser>
        <c:dLbls>
          <c:showLegendKey val="0"/>
          <c:showVal val="0"/>
          <c:showCatName val="0"/>
          <c:showSerName val="0"/>
          <c:showPercent val="0"/>
          <c:showBubbleSize val="0"/>
        </c:dLbls>
        <c:smooth val="0"/>
        <c:axId val="494359519"/>
        <c:axId val="494360479"/>
      </c:lineChart>
      <c:catAx>
        <c:axId val="494359519"/>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_);[Red]\(#,##0.0\);\-"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360479"/>
        <c:crosses val="autoZero"/>
        <c:auto val="1"/>
        <c:lblAlgn val="ctr"/>
        <c:lblOffset val="100"/>
        <c:noMultiLvlLbl val="0"/>
      </c:catAx>
      <c:valAx>
        <c:axId val="494360479"/>
        <c:scaling>
          <c:orientation val="minMax"/>
          <c:max val="105"/>
          <c:min val="3"/>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Days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_);[Red]\(#,##0.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359519"/>
        <c:crosses val="autoZero"/>
        <c:crossBetween val="between"/>
        <c:majorUnit val="4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Apple Earnings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1"/>
          <c:order val="0"/>
          <c:tx>
            <c:strRef>
              <c:f>'Financial Statements'!$A$23</c:f>
              <c:strCache>
                <c:ptCount val="1"/>
                <c:pt idx="0">
                  <c:v>Net income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'Financial Statements'!$B$4:$D$4</c:f>
              <c:numCache>
                <c:formatCode>#,##0.0_);[Red]\(#,##0.0\);\-</c:formatCode>
                <c:ptCount val="3"/>
                <c:pt idx="0">
                  <c:v>2022</c:v>
                </c:pt>
                <c:pt idx="1">
                  <c:v>2021</c:v>
                </c:pt>
                <c:pt idx="2">
                  <c:v>2020</c:v>
                </c:pt>
              </c:numCache>
            </c:numRef>
          </c:cat>
          <c:val>
            <c:numRef>
              <c:f>'Financial Statements'!$B$23:$D$23</c:f>
              <c:numCache>
                <c:formatCode>_(* #,##0_);_(* \(#,##0\);_(* "-"??_);_(@_)</c:formatCode>
                <c:ptCount val="3"/>
                <c:pt idx="0">
                  <c:v>99803</c:v>
                </c:pt>
                <c:pt idx="1">
                  <c:v>94680</c:v>
                </c:pt>
                <c:pt idx="2">
                  <c:v>57411</c:v>
                </c:pt>
              </c:numCache>
            </c:numRef>
          </c:val>
          <c:extLst>
            <c:ext xmlns:c16="http://schemas.microsoft.com/office/drawing/2014/chart" uri="{C3380CC4-5D6E-409C-BE32-E72D297353CC}">
              <c16:uniqueId val="{00000000-5E4A-43D0-A2A3-6C2BE58BECDF}"/>
            </c:ext>
          </c:extLst>
        </c:ser>
        <c:ser>
          <c:idx val="0"/>
          <c:order val="1"/>
          <c:tx>
            <c:strRef>
              <c:f>'Financial Statements'!$A$18</c:f>
              <c:strCache>
                <c:ptCount val="1"/>
                <c:pt idx="0">
                  <c:v>Operating income</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'Financial Statements'!$B$4:$D$4</c:f>
              <c:numCache>
                <c:formatCode>#,##0.0_);[Red]\(#,##0.0\);\-</c:formatCode>
                <c:ptCount val="3"/>
                <c:pt idx="0">
                  <c:v>2022</c:v>
                </c:pt>
                <c:pt idx="1">
                  <c:v>2021</c:v>
                </c:pt>
                <c:pt idx="2">
                  <c:v>2020</c:v>
                </c:pt>
              </c:numCache>
            </c:numRef>
          </c:cat>
          <c:val>
            <c:numRef>
              <c:f>'Financial Statements'!$B$18:$D$18</c:f>
              <c:numCache>
                <c:formatCode>_(* #,##0_);_(* \(#,##0\);_(* "-"??_);_(@_)</c:formatCode>
                <c:ptCount val="3"/>
                <c:pt idx="0">
                  <c:v>119437</c:v>
                </c:pt>
                <c:pt idx="1">
                  <c:v>108949</c:v>
                </c:pt>
                <c:pt idx="2">
                  <c:v>66288</c:v>
                </c:pt>
              </c:numCache>
            </c:numRef>
          </c:val>
          <c:extLst>
            <c:ext xmlns:c16="http://schemas.microsoft.com/office/drawing/2014/chart" uri="{C3380CC4-5D6E-409C-BE32-E72D297353CC}">
              <c16:uniqueId val="{00000001-5E4A-43D0-A2A3-6C2BE58BECDF}"/>
            </c:ext>
          </c:extLst>
        </c:ser>
        <c:dLbls>
          <c:dLblPos val="outEnd"/>
          <c:showLegendKey val="0"/>
          <c:showVal val="1"/>
          <c:showCatName val="0"/>
          <c:showSerName val="0"/>
          <c:showPercent val="0"/>
          <c:showBubbleSize val="0"/>
        </c:dLbls>
        <c:gapWidth val="115"/>
        <c:overlap val="-20"/>
        <c:axId val="1139659871"/>
        <c:axId val="1139660351"/>
      </c:barChart>
      <c:catAx>
        <c:axId val="1139659871"/>
        <c:scaling>
          <c:orientation val="minMax"/>
        </c:scaling>
        <c:delete val="0"/>
        <c:axPos val="l"/>
        <c:numFmt formatCode="#,##0.0_);[Red]\(#,##0.0\);\-"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9660351"/>
        <c:crosses val="autoZero"/>
        <c:auto val="1"/>
        <c:lblAlgn val="ctr"/>
        <c:lblOffset val="100"/>
        <c:noMultiLvlLbl val="0"/>
      </c:catAx>
      <c:valAx>
        <c:axId val="1139660351"/>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Earnings</a:t>
                </a:r>
                <a:r>
                  <a:rPr lang="en-GB" baseline="0"/>
                  <a:t> in $ millions</a:t>
                </a:r>
                <a:endParaRPr lang="en-GB"/>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9659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Return Ratios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 of Ratios'!$B$55</c:f>
              <c:strCache>
                <c:ptCount val="1"/>
                <c:pt idx="0">
                  <c:v>Return on equity (ROE)</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Ratios'!$E$3:$G$3</c:f>
              <c:numCache>
                <c:formatCode>#,##0.0_);[Red]\(#,##0.0\);\-</c:formatCode>
                <c:ptCount val="3"/>
                <c:pt idx="0">
                  <c:v>2020</c:v>
                </c:pt>
                <c:pt idx="1">
                  <c:v>2021</c:v>
                </c:pt>
                <c:pt idx="2">
                  <c:v>2022</c:v>
                </c:pt>
              </c:numCache>
            </c:numRef>
          </c:cat>
          <c:val>
            <c:numRef>
              <c:f>'List of Ratios'!$E$55:$G$55</c:f>
              <c:numCache>
                <c:formatCode>0.00%_);[Red]\(0.00%\)</c:formatCode>
                <c:ptCount val="3"/>
                <c:pt idx="0">
                  <c:v>0.87866358530127486</c:v>
                </c:pt>
                <c:pt idx="1">
                  <c:v>1.5007132667617689</c:v>
                </c:pt>
                <c:pt idx="2">
                  <c:v>1.9695887275023682</c:v>
                </c:pt>
              </c:numCache>
            </c:numRef>
          </c:val>
          <c:extLst>
            <c:ext xmlns:c16="http://schemas.microsoft.com/office/drawing/2014/chart" uri="{C3380CC4-5D6E-409C-BE32-E72D297353CC}">
              <c16:uniqueId val="{00000000-3141-496C-A6E6-3324FA73B338}"/>
            </c:ext>
          </c:extLst>
        </c:ser>
        <c:ser>
          <c:idx val="1"/>
          <c:order val="1"/>
          <c:tx>
            <c:strRef>
              <c:f>'List of Ratios'!$B$56</c:f>
              <c:strCache>
                <c:ptCount val="1"/>
                <c:pt idx="0">
                  <c:v>Return on capital employed (ROCE)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Ratios'!$E$3:$G$3</c:f>
              <c:numCache>
                <c:formatCode>#,##0.0_);[Red]\(#,##0.0\);\-</c:formatCode>
                <c:ptCount val="3"/>
                <c:pt idx="0">
                  <c:v>2020</c:v>
                </c:pt>
                <c:pt idx="1">
                  <c:v>2021</c:v>
                </c:pt>
                <c:pt idx="2">
                  <c:v>2022</c:v>
                </c:pt>
              </c:numCache>
            </c:numRef>
          </c:cat>
          <c:val>
            <c:numRef>
              <c:f>'List of Ratios'!$E$56:$G$56</c:f>
              <c:numCache>
                <c:formatCode>0.00%_);[Red]\(0.00%\)</c:formatCode>
                <c:ptCount val="3"/>
                <c:pt idx="0">
                  <c:v>0.40418033486579757</c:v>
                </c:pt>
                <c:pt idx="1">
                  <c:v>0.63270343097400639</c:v>
                </c:pt>
                <c:pt idx="2">
                  <c:v>0.79821026391589978</c:v>
                </c:pt>
              </c:numCache>
            </c:numRef>
          </c:val>
          <c:extLst>
            <c:ext xmlns:c16="http://schemas.microsoft.com/office/drawing/2014/chart" uri="{C3380CC4-5D6E-409C-BE32-E72D297353CC}">
              <c16:uniqueId val="{00000001-3141-496C-A6E6-3324FA73B338}"/>
            </c:ext>
          </c:extLst>
        </c:ser>
        <c:dLbls>
          <c:dLblPos val="outEnd"/>
          <c:showLegendKey val="0"/>
          <c:showVal val="1"/>
          <c:showCatName val="0"/>
          <c:showSerName val="0"/>
          <c:showPercent val="0"/>
          <c:showBubbleSize val="0"/>
        </c:dLbls>
        <c:gapWidth val="100"/>
        <c:overlap val="-24"/>
        <c:axId val="494357119"/>
        <c:axId val="494357599"/>
      </c:barChart>
      <c:catAx>
        <c:axId val="494357119"/>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_);[Red]\(#,##0.0\);\-"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357599"/>
        <c:crosses val="autoZero"/>
        <c:auto val="1"/>
        <c:lblAlgn val="ctr"/>
        <c:lblOffset val="100"/>
        <c:noMultiLvlLbl val="0"/>
      </c:catAx>
      <c:valAx>
        <c:axId val="4943575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Percentage (%) return</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357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Sales</a:t>
            </a:r>
            <a:r>
              <a:rPr lang="en-GB" baseline="0"/>
              <a:t> Growth Rates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'List of Ratios'!$B$67</c:f>
              <c:strCache>
                <c:ptCount val="1"/>
                <c:pt idx="0">
                  <c:v>Product sales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1"/>
              <c:layout>
                <c:manualLayout>
                  <c:x val="1.7084426946631672E-3"/>
                  <c:y val="1.38888888888888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66-45E0-9D08-8FF1838930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Ratios'!$F$3:$G$3</c:f>
              <c:numCache>
                <c:formatCode>#,##0.0_);[Red]\(#,##0.0\);\-</c:formatCode>
                <c:ptCount val="2"/>
                <c:pt idx="0">
                  <c:v>2021</c:v>
                </c:pt>
                <c:pt idx="1">
                  <c:v>2022</c:v>
                </c:pt>
              </c:numCache>
            </c:numRef>
          </c:cat>
          <c:val>
            <c:numRef>
              <c:f>'List of Ratios'!$F$67:$G$67</c:f>
              <c:numCache>
                <c:formatCode>0.00%_);[Red]\(0.00%\)</c:formatCode>
                <c:ptCount val="2"/>
                <c:pt idx="0">
                  <c:v>0.34720743656765429</c:v>
                </c:pt>
                <c:pt idx="1">
                  <c:v>6.3239764351428418E-2</c:v>
                </c:pt>
              </c:numCache>
            </c:numRef>
          </c:val>
          <c:smooth val="0"/>
          <c:extLst>
            <c:ext xmlns:c16="http://schemas.microsoft.com/office/drawing/2014/chart" uri="{C3380CC4-5D6E-409C-BE32-E72D297353CC}">
              <c16:uniqueId val="{00000001-1366-45E0-9D08-8FF183893095}"/>
            </c:ext>
          </c:extLst>
        </c:ser>
        <c:ser>
          <c:idx val="1"/>
          <c:order val="1"/>
          <c:tx>
            <c:strRef>
              <c:f>'List of Ratios'!$B$68</c:f>
              <c:strCache>
                <c:ptCount val="1"/>
                <c:pt idx="0">
                  <c:v>Services sales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Ratios'!$F$3:$G$3</c:f>
              <c:numCache>
                <c:formatCode>#,##0.0_);[Red]\(#,##0.0\);\-</c:formatCode>
                <c:ptCount val="2"/>
                <c:pt idx="0">
                  <c:v>2021</c:v>
                </c:pt>
                <c:pt idx="1">
                  <c:v>2022</c:v>
                </c:pt>
              </c:numCache>
            </c:numRef>
          </c:cat>
          <c:val>
            <c:numRef>
              <c:f>'List of Ratios'!$F$68:$G$68</c:f>
              <c:numCache>
                <c:formatCode>0.00%_);[Red]\(0.00%\)</c:formatCode>
                <c:ptCount val="2"/>
                <c:pt idx="0">
                  <c:v>0.27259708376729663</c:v>
                </c:pt>
                <c:pt idx="1">
                  <c:v>0.14181951041286078</c:v>
                </c:pt>
              </c:numCache>
            </c:numRef>
          </c:val>
          <c:smooth val="0"/>
          <c:extLst>
            <c:ext xmlns:c16="http://schemas.microsoft.com/office/drawing/2014/chart" uri="{C3380CC4-5D6E-409C-BE32-E72D297353CC}">
              <c16:uniqueId val="{00000002-1366-45E0-9D08-8FF183893095}"/>
            </c:ext>
          </c:extLst>
        </c:ser>
        <c:ser>
          <c:idx val="2"/>
          <c:order val="2"/>
          <c:tx>
            <c:strRef>
              <c:f>'List of Ratios'!$B$69</c:f>
              <c:strCache>
                <c:ptCount val="1"/>
                <c:pt idx="0">
                  <c:v>Net sales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1"/>
              <c:layout>
                <c:manualLayout>
                  <c:x val="-5.9402668416447944E-2"/>
                  <c:y val="-6.48148148148148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66-45E0-9D08-8FF1838930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Ratios'!$F$3:$G$3</c:f>
              <c:numCache>
                <c:formatCode>#,##0.0_);[Red]\(#,##0.0\);\-</c:formatCode>
                <c:ptCount val="2"/>
                <c:pt idx="0">
                  <c:v>2021</c:v>
                </c:pt>
                <c:pt idx="1">
                  <c:v>2022</c:v>
                </c:pt>
              </c:numCache>
            </c:numRef>
          </c:cat>
          <c:val>
            <c:numRef>
              <c:f>'List of Ratios'!$F$69:$G$69</c:f>
              <c:numCache>
                <c:formatCode>0.00%_);[Red]\(0.00%\)</c:formatCode>
                <c:ptCount val="2"/>
                <c:pt idx="0">
                  <c:v>0.33259384733074704</c:v>
                </c:pt>
                <c:pt idx="1">
                  <c:v>7.7937876041846099E-2</c:v>
                </c:pt>
              </c:numCache>
            </c:numRef>
          </c:val>
          <c:smooth val="0"/>
          <c:extLst>
            <c:ext xmlns:c16="http://schemas.microsoft.com/office/drawing/2014/chart" uri="{C3380CC4-5D6E-409C-BE32-E72D297353CC}">
              <c16:uniqueId val="{00000004-1366-45E0-9D08-8FF183893095}"/>
            </c:ext>
          </c:extLst>
        </c:ser>
        <c:dLbls>
          <c:dLblPos val="t"/>
          <c:showLegendKey val="0"/>
          <c:showVal val="1"/>
          <c:showCatName val="0"/>
          <c:showSerName val="0"/>
          <c:showPercent val="0"/>
          <c:showBubbleSize val="0"/>
        </c:dLbls>
        <c:marker val="1"/>
        <c:smooth val="0"/>
        <c:axId val="494358079"/>
        <c:axId val="494350879"/>
      </c:lineChart>
      <c:catAx>
        <c:axId val="4943580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_);[Red]\(#,##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350879"/>
        <c:crosses val="autoZero"/>
        <c:auto val="1"/>
        <c:lblAlgn val="ctr"/>
        <c:lblOffset val="100"/>
        <c:noMultiLvlLbl val="0"/>
      </c:catAx>
      <c:valAx>
        <c:axId val="49435087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Change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_);[Red]\(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358079"/>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Revenues by Segments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'Financial Statements'!$A$6</c:f>
              <c:strCache>
                <c:ptCount val="1"/>
                <c:pt idx="0">
                  <c:v>Products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'Financial Statements'!$B$4:$D$4</c:f>
              <c:numCache>
                <c:formatCode>#,##0.0_);[Red]\(#,##0.0\);\-</c:formatCode>
                <c:ptCount val="3"/>
                <c:pt idx="0">
                  <c:v>2022</c:v>
                </c:pt>
                <c:pt idx="1">
                  <c:v>2021</c:v>
                </c:pt>
                <c:pt idx="2">
                  <c:v>2020</c:v>
                </c:pt>
              </c:numCache>
            </c:numRef>
          </c:cat>
          <c:val>
            <c:numRef>
              <c:f>'Financial Statements'!$B$6:$D$6</c:f>
              <c:numCache>
                <c:formatCode>_(* #,##0_);_(* \(#,##0\);_(* "-"??_);_(@_)</c:formatCode>
                <c:ptCount val="3"/>
                <c:pt idx="0">
                  <c:v>316199</c:v>
                </c:pt>
                <c:pt idx="1">
                  <c:v>297392</c:v>
                </c:pt>
                <c:pt idx="2">
                  <c:v>220747</c:v>
                </c:pt>
              </c:numCache>
            </c:numRef>
          </c:val>
          <c:extLst>
            <c:ext xmlns:c16="http://schemas.microsoft.com/office/drawing/2014/chart" uri="{C3380CC4-5D6E-409C-BE32-E72D297353CC}">
              <c16:uniqueId val="{00000000-C985-427E-A919-CDFD08CAB318}"/>
            </c:ext>
          </c:extLst>
        </c:ser>
        <c:ser>
          <c:idx val="1"/>
          <c:order val="1"/>
          <c:tx>
            <c:strRef>
              <c:f>'Financial Statements'!$A$7</c:f>
              <c:strCache>
                <c:ptCount val="1"/>
                <c:pt idx="0">
                  <c:v>Services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'Financial Statements'!$B$4:$D$4</c:f>
              <c:numCache>
                <c:formatCode>#,##0.0_);[Red]\(#,##0.0\);\-</c:formatCode>
                <c:ptCount val="3"/>
                <c:pt idx="0">
                  <c:v>2022</c:v>
                </c:pt>
                <c:pt idx="1">
                  <c:v>2021</c:v>
                </c:pt>
                <c:pt idx="2">
                  <c:v>2020</c:v>
                </c:pt>
              </c:numCache>
            </c:numRef>
          </c:cat>
          <c:val>
            <c:numRef>
              <c:f>'Financial Statements'!$B$7:$D$7</c:f>
              <c:numCache>
                <c:formatCode>_(* #,##0_);_(* \(#,##0\);_(* "-"??_);_(@_)</c:formatCode>
                <c:ptCount val="3"/>
                <c:pt idx="0">
                  <c:v>78129</c:v>
                </c:pt>
                <c:pt idx="1">
                  <c:v>68425</c:v>
                </c:pt>
                <c:pt idx="2">
                  <c:v>53768</c:v>
                </c:pt>
              </c:numCache>
            </c:numRef>
          </c:val>
          <c:extLst>
            <c:ext xmlns:c16="http://schemas.microsoft.com/office/drawing/2014/chart" uri="{C3380CC4-5D6E-409C-BE32-E72D297353CC}">
              <c16:uniqueId val="{00000001-C985-427E-A919-CDFD08CAB318}"/>
            </c:ext>
          </c:extLst>
        </c:ser>
        <c:dLbls>
          <c:dLblPos val="outEnd"/>
          <c:showLegendKey val="0"/>
          <c:showVal val="1"/>
          <c:showCatName val="0"/>
          <c:showSerName val="0"/>
          <c:showPercent val="0"/>
          <c:showBubbleSize val="0"/>
        </c:dLbls>
        <c:gapWidth val="115"/>
        <c:overlap val="-20"/>
        <c:axId val="491469231"/>
        <c:axId val="491470671"/>
      </c:barChart>
      <c:catAx>
        <c:axId val="491469231"/>
        <c:scaling>
          <c:orientation val="minMax"/>
        </c:scaling>
        <c:delete val="0"/>
        <c:axPos val="l"/>
        <c:numFmt formatCode="#,##0.0_);[Red]\(#,##0.0\);\-"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470671"/>
        <c:crosses val="autoZero"/>
        <c:auto val="1"/>
        <c:lblAlgn val="ctr"/>
        <c:lblOffset val="100"/>
        <c:noMultiLvlLbl val="0"/>
      </c:catAx>
      <c:valAx>
        <c:axId val="491470671"/>
        <c:scaling>
          <c:orientation val="minMax"/>
          <c:max val="330000"/>
          <c:min val="20000"/>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Revenues in $ millions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491469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D87E8-9F3E-4E97-B08B-A890D5B6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Adekanmbi</dc:creator>
  <cp:keywords/>
  <dc:description/>
  <cp:lastModifiedBy>Damilola Adekanmbi</cp:lastModifiedBy>
  <cp:revision>9</cp:revision>
  <dcterms:created xsi:type="dcterms:W3CDTF">2024-11-07T16:06:00Z</dcterms:created>
  <dcterms:modified xsi:type="dcterms:W3CDTF">2024-11-07T16:20:00Z</dcterms:modified>
</cp:coreProperties>
</file>