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41D7" w14:textId="7E1E20DC" w:rsidR="00512960" w:rsidRDefault="009B30AE" w:rsidP="009B30AE">
      <w:pPr>
        <w:jc w:val="center"/>
        <w:rPr>
          <w:b/>
          <w:bCs/>
          <w:sz w:val="28"/>
          <w:szCs w:val="28"/>
          <w:u w:val="single"/>
        </w:rPr>
      </w:pPr>
      <w:r w:rsidRPr="009B30AE">
        <w:rPr>
          <w:b/>
          <w:bCs/>
          <w:sz w:val="28"/>
          <w:szCs w:val="28"/>
          <w:u w:val="single"/>
        </w:rPr>
        <w:t>The Report</w:t>
      </w:r>
    </w:p>
    <w:p w14:paraId="7CF367DF" w14:textId="46541C7D" w:rsidR="009B30AE" w:rsidRDefault="009B30AE" w:rsidP="009B30AE">
      <w:pPr>
        <w:rPr>
          <w:sz w:val="28"/>
          <w:szCs w:val="28"/>
        </w:rPr>
      </w:pPr>
      <w:r>
        <w:rPr>
          <w:sz w:val="28"/>
          <w:szCs w:val="28"/>
        </w:rPr>
        <w:t>To : Paul</w:t>
      </w:r>
    </w:p>
    <w:p w14:paraId="5A2CE861" w14:textId="6FFD087D" w:rsidR="009B30AE" w:rsidRDefault="009B30AE" w:rsidP="009B30AE">
      <w:pPr>
        <w:rPr>
          <w:sz w:val="28"/>
          <w:szCs w:val="28"/>
        </w:rPr>
      </w:pPr>
      <w:r>
        <w:rPr>
          <w:sz w:val="28"/>
          <w:szCs w:val="28"/>
        </w:rPr>
        <w:t>From : Kehinde</w:t>
      </w:r>
    </w:p>
    <w:p w14:paraId="5F5137BF" w14:textId="31D3FE79" w:rsidR="009B30AE" w:rsidRDefault="009B30AE" w:rsidP="009B30AE">
      <w:pPr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211462">
        <w:rPr>
          <w:sz w:val="28"/>
          <w:szCs w:val="28"/>
        </w:rPr>
        <w:t>20</w:t>
      </w:r>
      <w:r>
        <w:rPr>
          <w:sz w:val="28"/>
          <w:szCs w:val="28"/>
        </w:rPr>
        <w:t>/11/2024</w:t>
      </w:r>
    </w:p>
    <w:p w14:paraId="30E27CF4" w14:textId="234CD350" w:rsidR="009B30AE" w:rsidRDefault="009B30AE" w:rsidP="009B30AE">
      <w:pPr>
        <w:rPr>
          <w:sz w:val="28"/>
          <w:szCs w:val="28"/>
        </w:rPr>
      </w:pPr>
      <w:r>
        <w:rPr>
          <w:sz w:val="28"/>
          <w:szCs w:val="28"/>
        </w:rPr>
        <w:t xml:space="preserve">Subject: </w:t>
      </w:r>
      <w:r w:rsidR="00683DB1" w:rsidRPr="0005656D">
        <w:rPr>
          <w:b/>
          <w:bCs/>
          <w:sz w:val="28"/>
          <w:szCs w:val="28"/>
        </w:rPr>
        <w:t>Analysis of financial performance and position of Apple</w:t>
      </w:r>
      <w:r w:rsidR="00683DB1">
        <w:rPr>
          <w:sz w:val="28"/>
          <w:szCs w:val="28"/>
        </w:rPr>
        <w:t xml:space="preserve"> </w:t>
      </w:r>
    </w:p>
    <w:p w14:paraId="74FD4F10" w14:textId="77777777" w:rsidR="0005656D" w:rsidRDefault="0005656D" w:rsidP="009B30AE">
      <w:pPr>
        <w:rPr>
          <w:sz w:val="28"/>
          <w:szCs w:val="28"/>
        </w:rPr>
      </w:pPr>
    </w:p>
    <w:p w14:paraId="01385266" w14:textId="27D26789" w:rsidR="005272C1" w:rsidRPr="00BA7B20" w:rsidRDefault="00C06750" w:rsidP="009B30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7B20">
        <w:rPr>
          <w:rFonts w:ascii="Times New Roman" w:hAnsi="Times New Roman" w:cs="Times New Roman"/>
          <w:b/>
          <w:bCs/>
          <w:sz w:val="24"/>
          <w:szCs w:val="24"/>
        </w:rPr>
        <w:t>Introduction:</w:t>
      </w:r>
    </w:p>
    <w:p w14:paraId="0D391470" w14:textId="059778C7" w:rsidR="00F020F6" w:rsidRPr="00BA7B20" w:rsidRDefault="000D6926" w:rsidP="009B30AE">
      <w:pPr>
        <w:rPr>
          <w:rFonts w:ascii="Times New Roman" w:hAnsi="Times New Roman" w:cs="Times New Roman"/>
          <w:sz w:val="24"/>
          <w:szCs w:val="24"/>
        </w:rPr>
      </w:pPr>
      <w:r w:rsidRPr="00BA7B20">
        <w:rPr>
          <w:rFonts w:ascii="Times New Roman" w:hAnsi="Times New Roman" w:cs="Times New Roman"/>
          <w:sz w:val="24"/>
          <w:szCs w:val="24"/>
        </w:rPr>
        <w:t>These</w:t>
      </w:r>
      <w:r w:rsidR="00FD0556" w:rsidRPr="00BA7B20">
        <w:rPr>
          <w:rFonts w:ascii="Times New Roman" w:hAnsi="Times New Roman" w:cs="Times New Roman"/>
          <w:sz w:val="24"/>
          <w:szCs w:val="24"/>
        </w:rPr>
        <w:t xml:space="preserve"> report talks about liquidity</w:t>
      </w:r>
      <w:r w:rsidR="0071351B" w:rsidRPr="00BA7B20">
        <w:rPr>
          <w:rFonts w:ascii="Times New Roman" w:hAnsi="Times New Roman" w:cs="Times New Roman"/>
          <w:sz w:val="24"/>
          <w:szCs w:val="24"/>
        </w:rPr>
        <w:t>,</w:t>
      </w:r>
      <w:r w:rsidR="00A52FAE" w:rsidRPr="00BA7B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2170690"/>
      <w:r w:rsidR="007F7607" w:rsidRPr="00BA7B20">
        <w:rPr>
          <w:rFonts w:ascii="Times New Roman" w:hAnsi="Times New Roman" w:cs="Times New Roman"/>
          <w:sz w:val="24"/>
          <w:szCs w:val="24"/>
        </w:rPr>
        <w:t>profitability,</w:t>
      </w:r>
      <w:r w:rsidR="00A52FAE" w:rsidRPr="00BA7B20">
        <w:rPr>
          <w:rFonts w:ascii="Times New Roman" w:hAnsi="Times New Roman" w:cs="Times New Roman"/>
          <w:sz w:val="24"/>
          <w:szCs w:val="24"/>
        </w:rPr>
        <w:t xml:space="preserve"> debt management, </w:t>
      </w:r>
      <w:r w:rsidR="00E962FD" w:rsidRPr="00BA7B20">
        <w:rPr>
          <w:rFonts w:ascii="Times New Roman" w:hAnsi="Times New Roman" w:cs="Times New Roman"/>
          <w:sz w:val="24"/>
          <w:szCs w:val="24"/>
        </w:rPr>
        <w:t>asset utilization and market ratio</w:t>
      </w:r>
      <w:r w:rsidR="009C5C4C" w:rsidRPr="00BA7B2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C5C4C" w:rsidRPr="00BA7B20">
        <w:rPr>
          <w:rFonts w:ascii="Times New Roman" w:hAnsi="Times New Roman" w:cs="Times New Roman"/>
          <w:sz w:val="24"/>
          <w:szCs w:val="24"/>
        </w:rPr>
        <w:t>of Apple f</w:t>
      </w:r>
      <w:r w:rsidR="007503DF" w:rsidRPr="00BA7B20">
        <w:rPr>
          <w:rFonts w:ascii="Times New Roman" w:hAnsi="Times New Roman" w:cs="Times New Roman"/>
          <w:sz w:val="24"/>
          <w:szCs w:val="24"/>
        </w:rPr>
        <w:t xml:space="preserve">rom </w:t>
      </w:r>
      <w:r w:rsidR="004C3F50" w:rsidRPr="00BA7B20">
        <w:rPr>
          <w:rFonts w:ascii="Times New Roman" w:hAnsi="Times New Roman" w:cs="Times New Roman"/>
          <w:sz w:val="24"/>
          <w:szCs w:val="24"/>
        </w:rPr>
        <w:t>September</w:t>
      </w:r>
      <w:r w:rsidR="00360134" w:rsidRPr="00BA7B20">
        <w:rPr>
          <w:rFonts w:ascii="Times New Roman" w:hAnsi="Times New Roman" w:cs="Times New Roman"/>
          <w:sz w:val="24"/>
          <w:szCs w:val="24"/>
        </w:rPr>
        <w:t xml:space="preserve"> 2020</w:t>
      </w:r>
      <w:r w:rsidR="004C3F50" w:rsidRPr="00BA7B20">
        <w:rPr>
          <w:rFonts w:ascii="Times New Roman" w:hAnsi="Times New Roman" w:cs="Times New Roman"/>
          <w:sz w:val="24"/>
          <w:szCs w:val="24"/>
        </w:rPr>
        <w:t xml:space="preserve"> </w:t>
      </w:r>
      <w:r w:rsidR="003470A9" w:rsidRPr="00BA7B20">
        <w:rPr>
          <w:rFonts w:ascii="Times New Roman" w:hAnsi="Times New Roman" w:cs="Times New Roman"/>
          <w:sz w:val="24"/>
          <w:szCs w:val="24"/>
        </w:rPr>
        <w:t xml:space="preserve"> to </w:t>
      </w:r>
      <w:r w:rsidR="00360134" w:rsidRPr="00BA7B20">
        <w:rPr>
          <w:rFonts w:ascii="Times New Roman" w:hAnsi="Times New Roman" w:cs="Times New Roman"/>
          <w:sz w:val="24"/>
          <w:szCs w:val="24"/>
        </w:rPr>
        <w:t>September 202</w:t>
      </w:r>
      <w:r w:rsidR="003470A9" w:rsidRPr="00BA7B20">
        <w:rPr>
          <w:rFonts w:ascii="Times New Roman" w:hAnsi="Times New Roman" w:cs="Times New Roman"/>
          <w:sz w:val="24"/>
          <w:szCs w:val="24"/>
        </w:rPr>
        <w:t>2</w:t>
      </w:r>
      <w:r w:rsidR="00F058A7" w:rsidRPr="00BA7B20">
        <w:rPr>
          <w:rFonts w:ascii="Times New Roman" w:hAnsi="Times New Roman" w:cs="Times New Roman"/>
          <w:sz w:val="24"/>
          <w:szCs w:val="24"/>
        </w:rPr>
        <w:t xml:space="preserve">. It covers the area </w:t>
      </w:r>
      <w:r w:rsidR="009809BE" w:rsidRPr="00BA7B20">
        <w:rPr>
          <w:rFonts w:ascii="Times New Roman" w:hAnsi="Times New Roman" w:cs="Times New Roman"/>
          <w:sz w:val="24"/>
          <w:szCs w:val="24"/>
        </w:rPr>
        <w:t xml:space="preserve">of </w:t>
      </w:r>
      <w:r w:rsidR="000933E8" w:rsidRPr="00BA7B20">
        <w:rPr>
          <w:rFonts w:ascii="Times New Roman" w:hAnsi="Times New Roman" w:cs="Times New Roman"/>
          <w:sz w:val="24"/>
          <w:szCs w:val="24"/>
        </w:rPr>
        <w:t xml:space="preserve"> Liquidity</w:t>
      </w:r>
      <w:r w:rsidR="00F020F6" w:rsidRPr="00BA7B20">
        <w:rPr>
          <w:rFonts w:ascii="Times New Roman" w:hAnsi="Times New Roman" w:cs="Times New Roman"/>
          <w:sz w:val="24"/>
          <w:szCs w:val="24"/>
        </w:rPr>
        <w:t>, profitability, debt management, asset utilization and market ratio.</w:t>
      </w:r>
    </w:p>
    <w:p w14:paraId="3CDE53E8" w14:textId="77777777" w:rsidR="000F78D5" w:rsidRDefault="000F78D5" w:rsidP="00E97A3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AA0E861" w14:textId="77777777" w:rsidR="000F78D5" w:rsidRDefault="000F78D5" w:rsidP="00E97A3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183AD" w14:textId="46AE17D3" w:rsidR="00464A21" w:rsidRPr="006B65CB" w:rsidRDefault="0016347B" w:rsidP="000F78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65CB">
        <w:rPr>
          <w:rFonts w:ascii="Times New Roman" w:hAnsi="Times New Roman" w:cs="Times New Roman"/>
          <w:sz w:val="28"/>
          <w:szCs w:val="28"/>
        </w:rPr>
        <w:t xml:space="preserve">   </w:t>
      </w:r>
      <w:r w:rsidR="000F7363" w:rsidRPr="006B65CB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897150" w:rsidRPr="006B65CB">
        <w:rPr>
          <w:rFonts w:ascii="Times New Roman" w:hAnsi="Times New Roman" w:cs="Times New Roman"/>
          <w:b/>
          <w:bCs/>
          <w:sz w:val="28"/>
          <w:szCs w:val="28"/>
        </w:rPr>
        <w:t>iquidity</w:t>
      </w:r>
    </w:p>
    <w:p w14:paraId="79DA2342" w14:textId="4DDA9D3C" w:rsidR="00881153" w:rsidRPr="00BA7B20" w:rsidRDefault="00464A21" w:rsidP="00464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Liquidity Ratios</w:t>
      </w:r>
      <w:r w:rsidR="000F78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3B795A" w14:textId="075C4545" w:rsidR="00881153" w:rsidRPr="00BA7B20" w:rsidRDefault="00881153" w:rsidP="008811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Current Ratio improved from </w:t>
      </w:r>
      <w:r w:rsidRPr="00BA7B2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0.88</w:t>
      </w:r>
      <w:r w:rsidRPr="00BA7B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 w:rsidRPr="00BA7B2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1.36</w:t>
      </w:r>
      <w:r w:rsidRPr="00BA7B20">
        <w:rPr>
          <w:rFonts w:ascii="Times New Roman" w:eastAsia="Times New Roman" w:hAnsi="Times New Roman" w:cs="Times New Roman"/>
          <w:sz w:val="24"/>
          <w:szCs w:val="24"/>
          <w:lang w:eastAsia="en-GB"/>
        </w:rPr>
        <w:t>, showing stronger short-term solvency.</w:t>
      </w:r>
    </w:p>
    <w:p w14:paraId="5DAB2CAA" w14:textId="77777777" w:rsidR="00881153" w:rsidRPr="00881153" w:rsidRDefault="00881153" w:rsidP="008811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Quick Ratio rose from </w:t>
      </w:r>
      <w:r w:rsidRPr="008811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0.85</w:t>
      </w: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 w:rsidRPr="008811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1.33</w:t>
      </w: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>, indicating better liquidity without relying on inventory.</w:t>
      </w:r>
    </w:p>
    <w:p w14:paraId="0ADD4DBA" w14:textId="77777777" w:rsidR="00881153" w:rsidRPr="00881153" w:rsidRDefault="00881153" w:rsidP="008811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Cash Ratio increased from </w:t>
      </w:r>
      <w:r w:rsidRPr="008811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0.31</w:t>
      </w: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 w:rsidRPr="008811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0.86</w:t>
      </w: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>, reflecting enhanced cash reserves.</w:t>
      </w:r>
    </w:p>
    <w:p w14:paraId="66FB957C" w14:textId="192EEA69" w:rsidR="00881153" w:rsidRPr="00881153" w:rsidRDefault="00881153" w:rsidP="00881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875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8811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Working Capital</w:t>
      </w: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5CA2A9BC" w14:textId="77777777" w:rsidR="00881153" w:rsidRPr="00881153" w:rsidRDefault="00881153" w:rsidP="00881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Improved from −18,577-18,577−18,577 in 2020 (negative) to </w:t>
      </w:r>
      <w:r w:rsidRPr="008811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38,321</w:t>
      </w: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2022 (positive).</w:t>
      </w:r>
    </w:p>
    <w:p w14:paraId="7BF3D161" w14:textId="6ABB96B2" w:rsidR="00881153" w:rsidRPr="00881153" w:rsidRDefault="00881153" w:rsidP="008811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 a percentage of sales, it grew from −4.71-4.71%−4.71 to </w:t>
      </w:r>
      <w:r w:rsidRPr="008811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13.96%</w:t>
      </w: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FB75A4"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>signalling</w:t>
      </w: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robust operational </w:t>
      </w:r>
      <w:r w:rsidR="00897978"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>health.</w:t>
      </w:r>
      <w:r w:rsidR="00897978" w:rsidRPr="008811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Operating</w:t>
      </w:r>
      <w:r w:rsidRPr="008811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Efficiency</w:t>
      </w: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53B478FD" w14:textId="77777777" w:rsidR="00881153" w:rsidRPr="00881153" w:rsidRDefault="00881153" w:rsidP="008811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Payable Days decreased from </w:t>
      </w:r>
      <w:r w:rsidRPr="008811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104.7 to 91.0 days</w:t>
      </w: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D925A66" w14:textId="77777777" w:rsidR="00881153" w:rsidRPr="00881153" w:rsidRDefault="00881153" w:rsidP="008811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Receivable Days dropped from </w:t>
      </w:r>
      <w:r w:rsidRPr="008811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26.1 to 21.4 days</w:t>
      </w: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>, showing faster collections.</w:t>
      </w:r>
    </w:p>
    <w:p w14:paraId="02A2E8C1" w14:textId="499A8E1C" w:rsidR="00881153" w:rsidRPr="00881153" w:rsidRDefault="00881153" w:rsidP="00881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8811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Defensive Interval</w:t>
      </w: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4454F24B" w14:textId="2294253D" w:rsidR="009C4398" w:rsidRPr="00A93DC3" w:rsidRDefault="00881153" w:rsidP="009B30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Increased from </w:t>
      </w:r>
      <w:r w:rsidRPr="008811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1,228.2 days</w:t>
      </w: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 w:rsidRPr="008811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1,899.7 days</w:t>
      </w:r>
      <w:r w:rsidRPr="00881153">
        <w:rPr>
          <w:rFonts w:ascii="Times New Roman" w:eastAsia="Times New Roman" w:hAnsi="Times New Roman" w:cs="Times New Roman"/>
          <w:sz w:val="24"/>
          <w:szCs w:val="24"/>
          <w:lang w:eastAsia="en-GB"/>
        </w:rPr>
        <w:t>, indicating strong liquidity reserves to cover expen</w:t>
      </w:r>
      <w:r w:rsidR="00A93DC3">
        <w:rPr>
          <w:rFonts w:ascii="Times New Roman" w:eastAsia="Times New Roman" w:hAnsi="Times New Roman" w:cs="Times New Roman"/>
          <w:sz w:val="24"/>
          <w:szCs w:val="24"/>
          <w:lang w:eastAsia="en-GB"/>
        </w:rPr>
        <w:t>ses</w:t>
      </w:r>
    </w:p>
    <w:p w14:paraId="7206959E" w14:textId="77777777" w:rsidR="009C4398" w:rsidRDefault="009C4398" w:rsidP="009B30AE">
      <w:pPr>
        <w:rPr>
          <w:b/>
          <w:bCs/>
          <w:sz w:val="32"/>
          <w:szCs w:val="32"/>
        </w:rPr>
      </w:pPr>
    </w:p>
    <w:p w14:paraId="7628A8EF" w14:textId="77777777" w:rsidR="009C4398" w:rsidRDefault="009C4398" w:rsidP="009B30AE">
      <w:pPr>
        <w:rPr>
          <w:b/>
          <w:bCs/>
          <w:sz w:val="32"/>
          <w:szCs w:val="32"/>
        </w:rPr>
      </w:pPr>
    </w:p>
    <w:p w14:paraId="5D115B43" w14:textId="56006B68" w:rsidR="009C4398" w:rsidRDefault="00CF711A" w:rsidP="009B30AE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0B498171" wp14:editId="1647C024">
            <wp:extent cx="6336779" cy="4639532"/>
            <wp:effectExtent l="0" t="0" r="6985" b="8890"/>
            <wp:docPr id="3135686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04" cy="4671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3E71A" w14:textId="5F555F9C" w:rsidR="0057445B" w:rsidRDefault="002004C5" w:rsidP="007164E0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en-GB"/>
        </w:rPr>
      </w:pPr>
      <w:r>
        <w:rPr>
          <w:rFonts w:ascii="Times New Roman" w:eastAsia="Times New Roman" w:hAnsi="Symbol" w:cs="Times New Roman"/>
          <w:sz w:val="24"/>
          <w:szCs w:val="24"/>
          <w:lang w:eastAsia="en-GB"/>
        </w:rPr>
        <w:t>This chart shows</w:t>
      </w:r>
      <w:r w:rsidR="007D705C">
        <w:rPr>
          <w:rFonts w:ascii="Times New Roman" w:eastAsia="Times New Roman" w:hAnsi="Symbol" w:cs="Times New Roman"/>
          <w:sz w:val="24"/>
          <w:szCs w:val="24"/>
          <w:lang w:eastAsia="en-GB"/>
        </w:rPr>
        <w:t>:</w:t>
      </w:r>
      <w:r>
        <w:rPr>
          <w:rFonts w:ascii="Times New Roman" w:eastAsia="Times New Roman" w:hAnsi="Symbol" w:cs="Times New Roman"/>
          <w:sz w:val="24"/>
          <w:szCs w:val="24"/>
          <w:lang w:eastAsia="en-GB"/>
        </w:rPr>
        <w:br/>
      </w:r>
    </w:p>
    <w:p w14:paraId="0BE33228" w14:textId="3ABA4A25" w:rsidR="007164E0" w:rsidRPr="007164E0" w:rsidRDefault="007164E0" w:rsidP="0071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64E0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164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7164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Liquidity Ratios</w:t>
      </w:r>
      <w:r w:rsidRPr="007164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(Current, Quick, Cash) are grouped on the left, showing clear improvements over the years.</w:t>
      </w:r>
    </w:p>
    <w:p w14:paraId="2607D989" w14:textId="77777777" w:rsidR="007164E0" w:rsidRPr="007164E0" w:rsidRDefault="007164E0" w:rsidP="0071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64E0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164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7164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Defensive Interval and Operational Metrics</w:t>
      </w:r>
      <w:r w:rsidRPr="007164E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16312EAB" w14:textId="77777777" w:rsidR="007164E0" w:rsidRPr="007164E0" w:rsidRDefault="007164E0" w:rsidP="007164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64E0">
        <w:rPr>
          <w:rFonts w:ascii="Times New Roman" w:eastAsia="Times New Roman" w:hAnsi="Times New Roman" w:cs="Times New Roman"/>
          <w:sz w:val="24"/>
          <w:szCs w:val="24"/>
          <w:lang w:eastAsia="en-GB"/>
        </w:rPr>
        <w:t>Metrics like Inventory Days, Payable Days, and Receivable Days are consistent and provide insight into operational efficiency.</w:t>
      </w:r>
    </w:p>
    <w:p w14:paraId="77D81E0D" w14:textId="77777777" w:rsidR="007164E0" w:rsidRPr="007164E0" w:rsidRDefault="007164E0" w:rsidP="0071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64E0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164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7164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Working Capital</w:t>
      </w:r>
      <w:r w:rsidRPr="007164E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3905C0F3" w14:textId="77777777" w:rsidR="007164E0" w:rsidRPr="007164E0" w:rsidRDefault="007164E0" w:rsidP="007164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64E0">
        <w:rPr>
          <w:rFonts w:ascii="Times New Roman" w:eastAsia="Times New Roman" w:hAnsi="Times New Roman" w:cs="Times New Roman"/>
          <w:sz w:val="24"/>
          <w:szCs w:val="24"/>
          <w:lang w:eastAsia="en-GB"/>
        </w:rPr>
        <w:t>On the far right, the significant turnaround from negative working capital in 2020 to strongly positive in 2022 is clearly visible.</w:t>
      </w:r>
    </w:p>
    <w:p w14:paraId="20651960" w14:textId="77777777" w:rsidR="009C4398" w:rsidRDefault="009C4398" w:rsidP="009B30AE">
      <w:pPr>
        <w:rPr>
          <w:b/>
          <w:bCs/>
          <w:sz w:val="32"/>
          <w:szCs w:val="32"/>
        </w:rPr>
      </w:pPr>
    </w:p>
    <w:p w14:paraId="645630C9" w14:textId="77777777" w:rsidR="00DA70DF" w:rsidRDefault="00A93DC3" w:rsidP="009B30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Profitability</w:t>
      </w:r>
    </w:p>
    <w:p w14:paraId="349BF87A" w14:textId="77777777" w:rsidR="00A75CCB" w:rsidRDefault="00A75CCB" w:rsidP="009B30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4ED06C" w14:textId="1383A8C2" w:rsidR="00A75CCB" w:rsidRPr="00E4394D" w:rsidRDefault="00A75CCB" w:rsidP="00E4394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3EC1">
        <w:rPr>
          <w:rFonts w:ascii="Times New Roman" w:eastAsia="Times New Roman" w:hAnsi="Times New Roman" w:cs="Times New Roman"/>
          <w:sz w:val="24"/>
          <w:szCs w:val="24"/>
          <w:lang w:eastAsia="en-GB"/>
        </w:rPr>
        <w:t>Gross Margin</w:t>
      </w:r>
      <w:r w:rsidRPr="00E439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fell from </w:t>
      </w:r>
      <w:r w:rsidRPr="00E4394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43.31% to 38.23%</w:t>
      </w:r>
      <w:r w:rsidRPr="00E4394D">
        <w:rPr>
          <w:rFonts w:ascii="Times New Roman" w:eastAsia="Times New Roman" w:hAnsi="Times New Roman" w:cs="Times New Roman"/>
          <w:sz w:val="24"/>
          <w:szCs w:val="24"/>
          <w:lang w:eastAsia="en-GB"/>
        </w:rPr>
        <w:t>, indicating higher COGS.</w:t>
      </w:r>
    </w:p>
    <w:p w14:paraId="389E8106" w14:textId="77777777" w:rsidR="00A75CCB" w:rsidRPr="00A75CCB" w:rsidRDefault="00A75CCB" w:rsidP="00A75C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5CC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EBITDA Margin dropped from </w:t>
      </w:r>
      <w:r w:rsidRPr="00A75C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33.10% to 28.17%</w:t>
      </w:r>
      <w:r w:rsidRPr="00A75CCB">
        <w:rPr>
          <w:rFonts w:ascii="Times New Roman" w:eastAsia="Times New Roman" w:hAnsi="Times New Roman" w:cs="Times New Roman"/>
          <w:sz w:val="24"/>
          <w:szCs w:val="24"/>
          <w:lang w:eastAsia="en-GB"/>
        </w:rPr>
        <w:t>, showing increased operational costs.</w:t>
      </w:r>
    </w:p>
    <w:p w14:paraId="33C88917" w14:textId="77777777" w:rsidR="00A75CCB" w:rsidRPr="00A75CCB" w:rsidRDefault="00A75CCB" w:rsidP="00A75C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5C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Net Margin decreased from </w:t>
      </w:r>
      <w:r w:rsidRPr="00A75C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25.31% to 20.91%</w:t>
      </w:r>
      <w:r w:rsidRPr="00A75CCB">
        <w:rPr>
          <w:rFonts w:ascii="Times New Roman" w:eastAsia="Times New Roman" w:hAnsi="Times New Roman" w:cs="Times New Roman"/>
          <w:sz w:val="24"/>
          <w:szCs w:val="24"/>
          <w:lang w:eastAsia="en-GB"/>
        </w:rPr>
        <w:t>, impacting overall profitability.</w:t>
      </w:r>
    </w:p>
    <w:p w14:paraId="44D57FE2" w14:textId="77777777" w:rsidR="00A75CCB" w:rsidRPr="00A75CCB" w:rsidRDefault="00A75CCB" w:rsidP="00A75C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5C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EBITDA declined from </w:t>
      </w:r>
      <w:r w:rsidRPr="00A75C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130,541</w:t>
      </w:r>
      <w:r w:rsidRPr="00A75C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 w:rsidRPr="00A75C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77,344</w:t>
      </w:r>
      <w:r w:rsidRPr="00A75CC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D97DEC3" w14:textId="77777777" w:rsidR="00A75CCB" w:rsidRPr="00A75CCB" w:rsidRDefault="00A75CCB" w:rsidP="00A75C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5C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EBIT fell from </w:t>
      </w:r>
      <w:r w:rsidRPr="00A75C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119,437</w:t>
      </w:r>
      <w:r w:rsidRPr="00A75C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 w:rsidRPr="00A75C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66,288</w:t>
      </w:r>
      <w:r w:rsidRPr="00A75CCB">
        <w:rPr>
          <w:rFonts w:ascii="Times New Roman" w:eastAsia="Times New Roman" w:hAnsi="Times New Roman" w:cs="Times New Roman"/>
          <w:sz w:val="24"/>
          <w:szCs w:val="24"/>
          <w:lang w:eastAsia="en-GB"/>
        </w:rPr>
        <w:t>, reflecting reduced efficiency in core operations.</w:t>
      </w:r>
    </w:p>
    <w:p w14:paraId="24E253CB" w14:textId="2B9A049F" w:rsidR="008347C0" w:rsidRPr="00DC0C4E" w:rsidRDefault="005E033B" w:rsidP="00FC7AD2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7C67DC5" wp14:editId="44254BC2">
            <wp:extent cx="5762625" cy="6657975"/>
            <wp:effectExtent l="0" t="0" r="9525" b="9525"/>
            <wp:docPr id="4405199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33" cy="7104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4A6F">
        <w:rPr>
          <w:noProof/>
        </w:rPr>
        <mc:AlternateContent>
          <mc:Choice Requires="wps">
            <w:drawing>
              <wp:inline distT="0" distB="0" distL="0" distR="0" wp14:anchorId="5D4588AA" wp14:editId="4F98D4B2">
                <wp:extent cx="304800" cy="304800"/>
                <wp:effectExtent l="0" t="0" r="0" b="0"/>
                <wp:docPr id="1072551529" name="AutoShape 1" descr="Output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C6AC57" id="AutoShape 1" o:spid="_x0000_s1026" alt="Output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C0C4E">
        <w:rPr>
          <w:rFonts w:ascii="Times New Roman" w:hAnsi="Times New Roman" w:cs="Times New Roman"/>
          <w:sz w:val="24"/>
          <w:szCs w:val="24"/>
        </w:rPr>
        <w:t>This chart shows that</w:t>
      </w:r>
      <w:r w:rsidR="003C6674">
        <w:rPr>
          <w:rFonts w:ascii="Times New Roman" w:hAnsi="Times New Roman" w:cs="Times New Roman"/>
          <w:sz w:val="24"/>
          <w:szCs w:val="24"/>
        </w:rPr>
        <w:t>;</w:t>
      </w:r>
    </w:p>
    <w:p w14:paraId="67769D60" w14:textId="77777777" w:rsidR="00B12DDA" w:rsidRPr="00B12DDA" w:rsidRDefault="00B12DDA" w:rsidP="00B12D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2DD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Margins are declining:</w:t>
      </w:r>
      <w:r w:rsidRPr="00B12D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Gross, EBITDA, EBIT, and Net margins all show a steady decrease from 2020 to 2022.</w:t>
      </w:r>
    </w:p>
    <w:p w14:paraId="4C8054ED" w14:textId="77777777" w:rsidR="00B12DDA" w:rsidRPr="00B12DDA" w:rsidRDefault="00B12DDA" w:rsidP="00B12D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2DD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Absolute earnings are falling:</w:t>
      </w:r>
      <w:r w:rsidRPr="00B12D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EBITDA and EBIT have dropped significantly, reflecting weaker operational profitability.</w:t>
      </w:r>
    </w:p>
    <w:p w14:paraId="483A5859" w14:textId="77777777" w:rsidR="00BB6231" w:rsidRDefault="00BB6231" w:rsidP="00FC7A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F680B7" w14:textId="77777777" w:rsidR="00BB6231" w:rsidRDefault="00BB6231" w:rsidP="00FC7A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4BD488" w14:textId="33B4C31A" w:rsidR="00FC7AD2" w:rsidRDefault="005D109B" w:rsidP="00FC7A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Solvency</w:t>
      </w:r>
      <w:r w:rsidR="001D563C">
        <w:rPr>
          <w:rFonts w:ascii="Times New Roman" w:hAnsi="Times New Roman" w:cs="Times New Roman"/>
          <w:b/>
          <w:bCs/>
          <w:sz w:val="28"/>
          <w:szCs w:val="28"/>
        </w:rPr>
        <w:t xml:space="preserve">/Debt Management </w:t>
      </w:r>
    </w:p>
    <w:p w14:paraId="5E1DA575" w14:textId="77777777" w:rsidR="005333CD" w:rsidRPr="005333CD" w:rsidRDefault="005333CD" w:rsidP="0053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3C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333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Debt dependency is decreasing: Debt-to-Equity and Long-term Debt-to-Capital ratios are declining.</w:t>
      </w:r>
    </w:p>
    <w:p w14:paraId="326156A4" w14:textId="77777777" w:rsidR="005333CD" w:rsidRPr="005333CD" w:rsidRDefault="005333CD" w:rsidP="0053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3C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333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Leverage increasing slightly: Debt-to-Total Assets rose from 0.42 to 0.47.</w:t>
      </w:r>
    </w:p>
    <w:p w14:paraId="5B45A2F3" w14:textId="21CFF9D2" w:rsidR="005333CD" w:rsidRPr="005333CD" w:rsidRDefault="005333CD" w:rsidP="0053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3C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333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Interest coverage weakening: Times Interest Earned and Debt Coverage have significantly declined, </w:t>
      </w:r>
      <w:r w:rsidR="00EA222E" w:rsidRPr="005333CD">
        <w:rPr>
          <w:rFonts w:ascii="Times New Roman" w:eastAsia="Times New Roman" w:hAnsi="Times New Roman" w:cs="Times New Roman"/>
          <w:sz w:val="24"/>
          <w:szCs w:val="24"/>
          <w:lang w:eastAsia="en-GB"/>
        </w:rPr>
        <w:t>signalling</w:t>
      </w:r>
      <w:r w:rsidRPr="005333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reduced ability to handle debt obligations.</w:t>
      </w:r>
    </w:p>
    <w:p w14:paraId="7894684B" w14:textId="19892829" w:rsidR="001D563C" w:rsidRDefault="005333CD" w:rsidP="005333C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3C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333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Cash flow under pressure: FCFE and FCFE per share have dropped steadily, indicating lower cash availability for shareholders.</w:t>
      </w:r>
    </w:p>
    <w:p w14:paraId="7A3DCF01" w14:textId="77777777" w:rsidR="00782648" w:rsidRPr="005333CD" w:rsidRDefault="00782648" w:rsidP="005333CD">
      <w:pPr>
        <w:rPr>
          <w:rFonts w:ascii="Times New Roman" w:hAnsi="Times New Roman" w:cs="Times New Roman"/>
          <w:sz w:val="24"/>
          <w:szCs w:val="24"/>
        </w:rPr>
      </w:pPr>
    </w:p>
    <w:p w14:paraId="302C729F" w14:textId="1323884A" w:rsidR="005C16D9" w:rsidRDefault="00B94DEA" w:rsidP="00FC7AD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3525CBF" wp14:editId="5E66213E">
            <wp:extent cx="5953125" cy="3409315"/>
            <wp:effectExtent l="0" t="0" r="9525" b="635"/>
            <wp:docPr id="19813733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978" cy="344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724CD" w14:textId="50A30B32" w:rsidR="00782648" w:rsidRDefault="003C6674" w:rsidP="009F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chart </w:t>
      </w:r>
      <w:r w:rsidR="009B753B">
        <w:rPr>
          <w:rFonts w:ascii="Times New Roman" w:eastAsia="Times New Roman" w:hAnsi="Times New Roman" w:cs="Times New Roman"/>
          <w:sz w:val="24"/>
          <w:szCs w:val="24"/>
          <w:lang w:eastAsia="en-GB"/>
        </w:rPr>
        <w:t>shows that;</w:t>
      </w:r>
    </w:p>
    <w:p w14:paraId="5CCB7A34" w14:textId="77777777" w:rsidR="009B753B" w:rsidRDefault="009B753B" w:rsidP="009F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075F1D" w14:textId="303B451D" w:rsidR="009F5124" w:rsidRPr="009F5124" w:rsidRDefault="009F5124" w:rsidP="009F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124">
        <w:rPr>
          <w:rFonts w:ascii="Times New Roman" w:eastAsia="Times New Roman" w:hAnsi="Times New Roman" w:cs="Times New Roman"/>
          <w:sz w:val="24"/>
          <w:szCs w:val="24"/>
          <w:lang w:eastAsia="en-GB"/>
        </w:rPr>
        <w:t>The Debt-to-Equity (D/E) and Long-term Debt-to-Capital ratios show a steady decline, indicating reduced dependence on debt financing.</w:t>
      </w:r>
    </w:p>
    <w:p w14:paraId="17B79978" w14:textId="77777777" w:rsidR="00B22424" w:rsidRDefault="00B22424" w:rsidP="009F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D8CF99" w14:textId="3BF3EC28" w:rsidR="009F5124" w:rsidRPr="009F5124" w:rsidRDefault="009F5124" w:rsidP="009F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124">
        <w:rPr>
          <w:rFonts w:ascii="Times New Roman" w:eastAsia="Times New Roman" w:hAnsi="Times New Roman" w:cs="Times New Roman"/>
          <w:sz w:val="24"/>
          <w:szCs w:val="24"/>
          <w:lang w:eastAsia="en-GB"/>
        </w:rPr>
        <w:t>The Debt-to-Total Assets ratio increased slightly, suggesting a higher proportion of debt in the asset structure.</w:t>
      </w:r>
    </w:p>
    <w:p w14:paraId="56174F07" w14:textId="77777777" w:rsidR="00B22424" w:rsidRDefault="00B22424" w:rsidP="009F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A10848" w14:textId="79874963" w:rsidR="009F5124" w:rsidRPr="009F5124" w:rsidRDefault="009F5124" w:rsidP="009F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51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drop in Times Interest Earned and Debt Coverage ratios reflects reduced ability to meet interest obligations, </w:t>
      </w:r>
      <w:r w:rsidR="00723041" w:rsidRPr="006C5D6E">
        <w:rPr>
          <w:rFonts w:ascii="Times New Roman" w:eastAsia="Times New Roman" w:hAnsi="Times New Roman" w:cs="Times New Roman"/>
          <w:sz w:val="24"/>
          <w:szCs w:val="24"/>
          <w:lang w:eastAsia="en-GB"/>
        </w:rPr>
        <w:t>signalling</w:t>
      </w:r>
      <w:r w:rsidRPr="009F51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potential financial strain.</w:t>
      </w:r>
    </w:p>
    <w:p w14:paraId="4002BE38" w14:textId="77777777" w:rsidR="00B22424" w:rsidRDefault="00B22424" w:rsidP="009F512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F9C9B3" w14:textId="573FA751" w:rsidR="005C16D9" w:rsidRDefault="009F5124" w:rsidP="009F512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5D6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Both FCFE and FCFE per share declined consistently, showing reduced cash availability for equity holders.</w:t>
      </w:r>
    </w:p>
    <w:p w14:paraId="1D837A2A" w14:textId="77777777" w:rsidR="00645447" w:rsidRDefault="00645447" w:rsidP="009F512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51FF7D" w14:textId="4CF8B113" w:rsidR="00645447" w:rsidRDefault="00F04768" w:rsidP="009F51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Asset Utilization </w:t>
      </w:r>
    </w:p>
    <w:p w14:paraId="2897FE2C" w14:textId="77777777" w:rsidR="00B61D18" w:rsidRDefault="00B61D18" w:rsidP="009F51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7BA9C9D9" w14:textId="01755B6F" w:rsidR="00B61D18" w:rsidRPr="00B61D18" w:rsidRDefault="00B61D18" w:rsidP="00B61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1D1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D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B61D18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Pr="00B61D18">
        <w:rPr>
          <w:rFonts w:ascii="Times New Roman" w:eastAsia="Times New Roman" w:hAnsi="Times New Roman" w:cs="Times New Roman"/>
          <w:sz w:val="24"/>
          <w:szCs w:val="24"/>
          <w:lang w:eastAsia="en-GB"/>
        </w:rPr>
        <w:t>otal Asset Turnover decreased from 1.12 to 0.85, suggesting lower asset utilization for generating revenue.</w:t>
      </w:r>
    </w:p>
    <w:p w14:paraId="3BB191E7" w14:textId="77777777" w:rsidR="00B61D18" w:rsidRPr="00B61D18" w:rsidRDefault="00B61D18" w:rsidP="00B61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1D1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D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Fixed Asset Turnover fell from 1.81 to 1.52, showing reduced efficiency in using fixed assets to generate sales.</w:t>
      </w:r>
    </w:p>
    <w:p w14:paraId="26371F5D" w14:textId="77777777" w:rsidR="00B61D18" w:rsidRPr="00B61D18" w:rsidRDefault="00B61D18" w:rsidP="00B61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1D1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D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Inventory Turnover dropped slightly from 40.73 to 37.25, indicating a minor slowdown in inventory movement.</w:t>
      </w:r>
    </w:p>
    <w:p w14:paraId="6991A5D5" w14:textId="2BBB0176" w:rsidR="00B61D18" w:rsidRPr="00B61D18" w:rsidRDefault="00B61D18" w:rsidP="00B61D18">
      <w:pPr>
        <w:rPr>
          <w:sz w:val="28"/>
          <w:szCs w:val="28"/>
        </w:rPr>
      </w:pPr>
      <w:r w:rsidRPr="00B61D1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D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Return on Assets (ROA) decreased from 0.28 to 0.18, reflecting reduced profitability from assets.</w:t>
      </w:r>
    </w:p>
    <w:p w14:paraId="09DCB53A" w14:textId="4E43911B" w:rsidR="005C16D9" w:rsidRDefault="00AE6C2E" w:rsidP="00FC7AD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122902E" wp14:editId="70690575">
            <wp:extent cx="5731510" cy="3459428"/>
            <wp:effectExtent l="0" t="0" r="2540" b="8255"/>
            <wp:docPr id="6" name="Picture 3" descr="Outpu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utput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5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8E67C" w14:textId="77777777" w:rsidR="00E4733A" w:rsidRPr="00E4733A" w:rsidRDefault="00E4733A" w:rsidP="00E47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733A">
        <w:rPr>
          <w:rFonts w:ascii="Times New Roman" w:eastAsia="Times New Roman" w:hAnsi="Times New Roman" w:cs="Times New Roman"/>
          <w:sz w:val="24"/>
          <w:szCs w:val="24"/>
          <w:lang w:eastAsia="en-GB"/>
        </w:rPr>
        <w:t>The chart shows declining efficiency in asset management:</w:t>
      </w:r>
    </w:p>
    <w:p w14:paraId="5B0F01AE" w14:textId="77777777" w:rsidR="00E4733A" w:rsidRPr="00E4733A" w:rsidRDefault="00E4733A" w:rsidP="00E473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733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Total and Fixed Asset Turnover</w:t>
      </w:r>
      <w:r w:rsidRPr="00E4733A">
        <w:rPr>
          <w:rFonts w:ascii="Times New Roman" w:eastAsia="Times New Roman" w:hAnsi="Times New Roman" w:cs="Times New Roman"/>
          <w:sz w:val="24"/>
          <w:szCs w:val="24"/>
          <w:lang w:eastAsia="en-GB"/>
        </w:rPr>
        <w:t>: Both ratios decrease, indicating reduced efficiency in using assets to generate revenue.</w:t>
      </w:r>
    </w:p>
    <w:p w14:paraId="69C059DC" w14:textId="77777777" w:rsidR="00E4733A" w:rsidRPr="00E4733A" w:rsidRDefault="00E4733A" w:rsidP="00E473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733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Inventory Turnover</w:t>
      </w:r>
      <w:r w:rsidRPr="00E4733A">
        <w:rPr>
          <w:rFonts w:ascii="Times New Roman" w:eastAsia="Times New Roman" w:hAnsi="Times New Roman" w:cs="Times New Roman"/>
          <w:sz w:val="24"/>
          <w:szCs w:val="24"/>
          <w:lang w:eastAsia="en-GB"/>
        </w:rPr>
        <w:t>: Fluctuates, with a recovery in the final period but not to the initial level.</w:t>
      </w:r>
    </w:p>
    <w:p w14:paraId="39369103" w14:textId="3E1883DF" w:rsidR="00E4733A" w:rsidRPr="00E4733A" w:rsidRDefault="00E4733A" w:rsidP="00E473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733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Return on Assets (ROA)</w:t>
      </w:r>
      <w:r w:rsidRPr="00E4733A">
        <w:rPr>
          <w:rFonts w:ascii="Times New Roman" w:eastAsia="Times New Roman" w:hAnsi="Times New Roman" w:cs="Times New Roman"/>
          <w:sz w:val="24"/>
          <w:szCs w:val="24"/>
          <w:lang w:eastAsia="en-GB"/>
        </w:rPr>
        <w:t>: Declines, showing reduced profitability from assets.</w:t>
      </w:r>
    </w:p>
    <w:p w14:paraId="2BE67063" w14:textId="77777777" w:rsidR="004E1770" w:rsidRDefault="004E1770" w:rsidP="00FC7AD2">
      <w:pPr>
        <w:rPr>
          <w:sz w:val="32"/>
          <w:szCs w:val="32"/>
        </w:rPr>
      </w:pPr>
    </w:p>
    <w:p w14:paraId="6FDBB8A5" w14:textId="77777777" w:rsidR="008E64A0" w:rsidRDefault="008E64A0" w:rsidP="00FC7AD2">
      <w:pPr>
        <w:rPr>
          <w:sz w:val="32"/>
          <w:szCs w:val="32"/>
        </w:rPr>
      </w:pPr>
    </w:p>
    <w:p w14:paraId="113B187B" w14:textId="2325838A" w:rsidR="00251144" w:rsidRDefault="00DA7E30" w:rsidP="00FC08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Investor/Market ratio</w:t>
      </w:r>
      <w:r w:rsidR="00AB06F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CB2B2CC" w14:textId="77777777" w:rsidR="00D71D51" w:rsidRPr="00FC0870" w:rsidRDefault="00D71D51" w:rsidP="00FC08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389403" w14:textId="204BA664" w:rsidR="00251144" w:rsidRPr="00251144" w:rsidRDefault="00251144" w:rsidP="002511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Valuation Ratios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C92DBA8" w14:textId="77777777" w:rsidR="00251144" w:rsidRPr="00251144" w:rsidRDefault="00251144" w:rsidP="0025114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P/E Ratio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Increased from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22.41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34.37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>, indicating higher market valuation despite declining earnings.</w:t>
      </w:r>
    </w:p>
    <w:p w14:paraId="19018817" w14:textId="77777777" w:rsidR="00251144" w:rsidRPr="00251144" w:rsidRDefault="00251144" w:rsidP="0025114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PBV Ratio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Declined from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44.40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30.52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>, reflecting reduced market valuation relative to book value.</w:t>
      </w:r>
    </w:p>
    <w:p w14:paraId="6ACE8C7B" w14:textId="77777777" w:rsidR="00251144" w:rsidRPr="00251144" w:rsidRDefault="00251144" w:rsidP="002511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Profitability Metrics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10F03862" w14:textId="77777777" w:rsidR="00251144" w:rsidRPr="00251144" w:rsidRDefault="00251144" w:rsidP="0025114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EPS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Dropped from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6.11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3.28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>, indicating declining profitability.</w:t>
      </w:r>
    </w:p>
    <w:p w14:paraId="6AAFB814" w14:textId="77777777" w:rsidR="00251144" w:rsidRPr="00251144" w:rsidRDefault="00251144" w:rsidP="0025114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ROE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ROCE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and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ROA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all showed a consistent decline, indicating lower returns on equity, capital, and assets over time.</w:t>
      </w:r>
    </w:p>
    <w:p w14:paraId="7235C51C" w14:textId="77777777" w:rsidR="00251144" w:rsidRPr="00251144" w:rsidRDefault="00251144" w:rsidP="002511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Book Value and Dividends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13D7A7F4" w14:textId="77777777" w:rsidR="00251144" w:rsidRPr="00251144" w:rsidRDefault="00251144" w:rsidP="0025114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Book Value Per Share (BV)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Remained stable around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3.10–3.74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52FAF4" w14:textId="77777777" w:rsidR="00251144" w:rsidRPr="00251144" w:rsidRDefault="00251144" w:rsidP="0025114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Dividend Payout Ratio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Increased from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0.15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0.25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but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Dividend Per Share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declined slightly from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0.91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0.80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1724F23" w14:textId="77777777" w:rsidR="00251144" w:rsidRPr="00251144" w:rsidRDefault="00251144" w:rsidP="002511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Enterprise Value (EV)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0952CC28" w14:textId="77777777" w:rsidR="00251144" w:rsidRPr="00251144" w:rsidRDefault="00251144" w:rsidP="0025114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EV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decreased from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316,062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285,872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with the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EV/EBITDA Ratio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rising from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2.63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 w:rsidRPr="002511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3.70</w:t>
      </w:r>
      <w:r w:rsidRPr="00251144">
        <w:rPr>
          <w:rFonts w:ascii="Times New Roman" w:eastAsia="Times New Roman" w:hAnsi="Times New Roman" w:cs="Times New Roman"/>
          <w:sz w:val="24"/>
          <w:szCs w:val="24"/>
          <w:lang w:eastAsia="en-GB"/>
        </w:rPr>
        <w:t>, showing a higher valuation relative to earnings.</w:t>
      </w:r>
    </w:p>
    <w:p w14:paraId="2EC70346" w14:textId="0CE8A9D1" w:rsidR="00080B7F" w:rsidRPr="00B61D18" w:rsidRDefault="00617B6A" w:rsidP="00FC7AD2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6E6A2D5" wp14:editId="3901ACA1">
                <wp:extent cx="304800" cy="304800"/>
                <wp:effectExtent l="0" t="0" r="0" b="0"/>
                <wp:docPr id="1787280949" name="AutoShape 2" descr="Output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679D0" id="AutoShape 2" o:spid="_x0000_s1026" alt="Output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94510">
        <w:rPr>
          <w:noProof/>
          <w:sz w:val="32"/>
          <w:szCs w:val="32"/>
        </w:rPr>
        <w:drawing>
          <wp:inline distT="0" distB="0" distL="0" distR="0" wp14:anchorId="06D3E1F5" wp14:editId="365217E3">
            <wp:extent cx="6330336" cy="5057775"/>
            <wp:effectExtent l="0" t="0" r="0" b="0"/>
            <wp:docPr id="154567740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03" cy="512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3A4464" w14:textId="04B8DA50" w:rsidR="00415368" w:rsidRPr="00323A6C" w:rsidRDefault="00323A6C" w:rsidP="00FC7AD2">
      <w:pPr>
        <w:rPr>
          <w:rFonts w:ascii="Times New Roman" w:hAnsi="Times New Roman" w:cs="Times New Roman"/>
          <w:sz w:val="28"/>
          <w:szCs w:val="28"/>
        </w:rPr>
      </w:pPr>
      <w:r w:rsidRPr="00323A6C">
        <w:rPr>
          <w:rFonts w:ascii="Times New Roman" w:hAnsi="Times New Roman" w:cs="Times New Roman"/>
          <w:sz w:val="28"/>
          <w:szCs w:val="28"/>
        </w:rPr>
        <w:t xml:space="preserve">This </w:t>
      </w:r>
      <w:r w:rsidR="00211462">
        <w:rPr>
          <w:rFonts w:ascii="Times New Roman" w:hAnsi="Times New Roman" w:cs="Times New Roman"/>
          <w:sz w:val="28"/>
          <w:szCs w:val="28"/>
        </w:rPr>
        <w:t xml:space="preserve">chart shows </w:t>
      </w:r>
      <w:r w:rsidR="00815A8F">
        <w:rPr>
          <w:rFonts w:ascii="Times New Roman" w:hAnsi="Times New Roman" w:cs="Times New Roman"/>
          <w:sz w:val="28"/>
          <w:szCs w:val="28"/>
        </w:rPr>
        <w:t xml:space="preserve">Market ratios for </w:t>
      </w:r>
      <w:r w:rsidR="008F08C3">
        <w:rPr>
          <w:rFonts w:ascii="Times New Roman" w:hAnsi="Times New Roman" w:cs="Times New Roman"/>
          <w:sz w:val="28"/>
          <w:szCs w:val="28"/>
        </w:rPr>
        <w:t>3 years .</w:t>
      </w:r>
    </w:p>
    <w:p w14:paraId="74070F6B" w14:textId="77777777" w:rsidR="00732AA8" w:rsidRDefault="00732AA8" w:rsidP="00FC7AD2">
      <w:pPr>
        <w:rPr>
          <w:sz w:val="32"/>
          <w:szCs w:val="32"/>
        </w:rPr>
      </w:pPr>
    </w:p>
    <w:p w14:paraId="449E15ED" w14:textId="77777777" w:rsidR="00732AA8" w:rsidRDefault="00732AA8" w:rsidP="00FC7AD2">
      <w:pPr>
        <w:rPr>
          <w:sz w:val="32"/>
          <w:szCs w:val="32"/>
        </w:rPr>
      </w:pPr>
    </w:p>
    <w:p w14:paraId="6CC810FC" w14:textId="77777777" w:rsidR="00732AA8" w:rsidRDefault="00732AA8" w:rsidP="00FC7AD2">
      <w:pPr>
        <w:rPr>
          <w:sz w:val="32"/>
          <w:szCs w:val="32"/>
        </w:rPr>
      </w:pPr>
    </w:p>
    <w:p w14:paraId="0DB3F513" w14:textId="77777777" w:rsidR="00732AA8" w:rsidRPr="006C5D6E" w:rsidRDefault="00732AA8" w:rsidP="00FC7AD2">
      <w:pPr>
        <w:rPr>
          <w:sz w:val="32"/>
          <w:szCs w:val="32"/>
        </w:rPr>
      </w:pPr>
    </w:p>
    <w:p w14:paraId="7EA082F2" w14:textId="7C996C72" w:rsidR="00B23F7F" w:rsidRPr="00B23F7F" w:rsidRDefault="00B23F7F" w:rsidP="00B23F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23F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Conclusion:</w:t>
      </w:r>
    </w:p>
    <w:p w14:paraId="1AE91305" w14:textId="04230B10" w:rsidR="00252B4E" w:rsidRDefault="00B23F7F" w:rsidP="00BD581E">
      <w:pPr>
        <w:pStyle w:val="NormalWeb"/>
        <w:rPr>
          <w:rFonts w:eastAsia="Times New Roman"/>
          <w:lang w:eastAsia="en-GB"/>
        </w:rPr>
      </w:pPr>
      <w:r w:rsidRPr="00B23F7F">
        <w:rPr>
          <w:rFonts w:eastAsia="Times New Roman"/>
          <w:lang w:eastAsia="en-GB"/>
        </w:rPr>
        <w:t xml:space="preserve">The company’s liquidity position has significantly improved, with better solvency, cash management, and working capital efficiency. Sustaining these trends will ensure continued financial </w:t>
      </w:r>
      <w:r w:rsidR="00C464F1" w:rsidRPr="00B23F7F">
        <w:rPr>
          <w:rFonts w:eastAsia="Times New Roman"/>
          <w:lang w:eastAsia="en-GB"/>
        </w:rPr>
        <w:t>stability.</w:t>
      </w:r>
      <w:r w:rsidR="001C02DC" w:rsidRPr="001C02DC">
        <w:t>.</w:t>
      </w:r>
      <w:r w:rsidR="001A61CF" w:rsidRPr="001A61CF">
        <w:rPr>
          <w:rFonts w:eastAsia="Times New Roman"/>
          <w:lang w:eastAsia="en-GB"/>
        </w:rPr>
        <w:t xml:space="preserve"> </w:t>
      </w:r>
      <w:r w:rsidR="001A61CF" w:rsidRPr="00B12DDA">
        <w:rPr>
          <w:rFonts w:eastAsia="Times New Roman"/>
          <w:lang w:eastAsia="en-GB"/>
        </w:rPr>
        <w:t>The company’s profitability is shrinking, likely due to rising costs, falling revenues, or both</w:t>
      </w:r>
      <w:r w:rsidR="00CE4E57">
        <w:rPr>
          <w:rFonts w:eastAsia="Times New Roman"/>
          <w:lang w:eastAsia="en-GB"/>
        </w:rPr>
        <w:t>.</w:t>
      </w:r>
      <w:r w:rsidR="00F1470A" w:rsidRPr="00F1470A">
        <w:t xml:space="preserve"> </w:t>
      </w:r>
      <w:r w:rsidR="00F1470A">
        <w:t xml:space="preserve">I recommend </w:t>
      </w:r>
      <w:r w:rsidR="00F1470A">
        <w:t>Focus on cost optimization, revenue growth, and operational efficiency to reverse the declining trends.</w:t>
      </w:r>
      <w:r w:rsidR="00B45FC6">
        <w:t>.</w:t>
      </w:r>
      <w:r w:rsidR="00264176">
        <w:t xml:space="preserve"> </w:t>
      </w:r>
      <w:r w:rsidR="009A3EC1">
        <w:t>T</w:t>
      </w:r>
      <w:r w:rsidR="00264176">
        <w:t>he company's debt structure is improving, its declining cash flow and reduced interest coverage may pose future challenges</w:t>
      </w:r>
      <w:r w:rsidR="00BB308E">
        <w:t xml:space="preserve">. </w:t>
      </w:r>
      <w:r w:rsidR="00E74D9D">
        <w:t>Company</w:t>
      </w:r>
      <w:r w:rsidR="004F3E1D">
        <w:t xml:space="preserve">’s </w:t>
      </w:r>
      <w:r w:rsidR="004F3E1D">
        <w:lastRenderedPageBreak/>
        <w:t>Asset Utilization</w:t>
      </w:r>
      <w:r w:rsidR="00252B4E" w:rsidRPr="00252B4E">
        <w:rPr>
          <w:rFonts w:eastAsia="Times New Roman"/>
          <w:lang w:eastAsia="en-GB"/>
        </w:rPr>
        <w:t xml:space="preserve"> trends suggest weakening asset utilization and profitability over the years.</w:t>
      </w:r>
      <w:r w:rsidR="00BC2877">
        <w:rPr>
          <w:rFonts w:eastAsia="Times New Roman"/>
          <w:lang w:eastAsia="en-GB"/>
        </w:rPr>
        <w:t xml:space="preserve"> </w:t>
      </w:r>
      <w:r w:rsidR="00BC2877">
        <w:t xml:space="preserve"> </w:t>
      </w:r>
      <w:r w:rsidR="00A85FAF">
        <w:t>A</w:t>
      </w:r>
      <w:r w:rsidR="00BC2877">
        <w:t>sset management ratios show a trend of decreasing efficiency in asset use and a decline in profitability, which may signal challenges in operational efficiency and asset management.</w:t>
      </w:r>
      <w:r w:rsidR="006F0E57">
        <w:t xml:space="preserve"> Market </w:t>
      </w:r>
      <w:r w:rsidR="007237A8">
        <w:t xml:space="preserve">ratios </w:t>
      </w:r>
      <w:r w:rsidR="007237A8">
        <w:t xml:space="preserve"> trends suggest weakening profitability and asset efficiency, with the company increasing dividend payouts to retain investor interest.</w:t>
      </w:r>
      <w:r w:rsidR="007237A8">
        <w:t xml:space="preserve"> </w:t>
      </w:r>
    </w:p>
    <w:p w14:paraId="6C224F76" w14:textId="77777777" w:rsidR="00BD581E" w:rsidRPr="00252B4E" w:rsidRDefault="00BD581E" w:rsidP="00BD581E">
      <w:pPr>
        <w:pStyle w:val="NormalWeb"/>
        <w:rPr>
          <w:rFonts w:eastAsia="Times New Roman"/>
          <w:lang w:eastAsia="en-GB"/>
        </w:rPr>
      </w:pPr>
    </w:p>
    <w:p w14:paraId="297834F4" w14:textId="7A8B6587" w:rsidR="00194BD8" w:rsidRPr="001C02DC" w:rsidRDefault="004F3E1D" w:rsidP="00B23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t xml:space="preserve"> 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4720"/>
        <w:gridCol w:w="1440"/>
        <w:gridCol w:w="1440"/>
        <w:gridCol w:w="1440"/>
      </w:tblGrid>
      <w:tr w:rsidR="00194BD8" w:rsidRPr="00194BD8" w14:paraId="7E0F6778" w14:textId="77777777" w:rsidTr="00AE16AF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43F20" w14:textId="253F8885" w:rsidR="00194BD8" w:rsidRPr="00194BD8" w:rsidRDefault="00194BD8" w:rsidP="0019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650DD" w14:textId="77777777" w:rsidR="00194BD8" w:rsidRPr="00194BD8" w:rsidRDefault="00194BD8" w:rsidP="0019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92EDD" w14:textId="77777777" w:rsidR="00194BD8" w:rsidRPr="00194BD8" w:rsidRDefault="00194BD8" w:rsidP="0019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7A270" w14:textId="77777777" w:rsidR="00194BD8" w:rsidRPr="00194BD8" w:rsidRDefault="00194BD8" w:rsidP="0019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94BD8" w:rsidRPr="00194BD8" w14:paraId="66F4417A" w14:textId="77777777" w:rsidTr="00AE16AF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15D0F" w14:textId="68833FB7" w:rsidR="00194BD8" w:rsidRPr="00194BD8" w:rsidRDefault="00194BD8" w:rsidP="00194BD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BC2AB" w14:textId="0CF9DC40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7F921" w14:textId="6CD39B4D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D4D1D" w14:textId="11650DEB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94BD8" w:rsidRPr="00194BD8" w14:paraId="4659B648" w14:textId="77777777" w:rsidTr="00AE16AF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0CD65" w14:textId="7E1DC6D3" w:rsidR="00194BD8" w:rsidRPr="00194BD8" w:rsidRDefault="00194BD8" w:rsidP="00194BD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480FF" w14:textId="42923591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5804B" w14:textId="6C0979CA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785EE" w14:textId="0E303FBA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94BD8" w:rsidRPr="00194BD8" w14:paraId="57673010" w14:textId="77777777" w:rsidTr="00AE16AF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2B22F" w14:textId="337FAAEC" w:rsidR="00194BD8" w:rsidRPr="00194BD8" w:rsidRDefault="00194BD8" w:rsidP="00194BD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AA099" w14:textId="40F5DF2D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FDA3B" w14:textId="55769318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402AC" w14:textId="576193F9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16AF" w:rsidRPr="00194BD8" w14:paraId="2737DDAA" w14:textId="77777777" w:rsidTr="00194BD8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0E9D6" w14:textId="77777777" w:rsidR="00AE16AF" w:rsidRPr="00194BD8" w:rsidRDefault="00AE16AF" w:rsidP="00194BD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78D5B" w14:textId="77777777" w:rsidR="00AE16AF" w:rsidRPr="00194BD8" w:rsidRDefault="00AE16AF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6DB5D" w14:textId="77777777" w:rsidR="00AE16AF" w:rsidRPr="00194BD8" w:rsidRDefault="00AE16AF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A49A3" w14:textId="77777777" w:rsidR="00AE16AF" w:rsidRPr="00194BD8" w:rsidRDefault="00AE16AF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94BD8" w:rsidRPr="00194BD8" w14:paraId="247E209D" w14:textId="77777777" w:rsidTr="00AE16AF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BBCC4" w14:textId="70E2FC5F" w:rsidR="00194BD8" w:rsidRPr="00194BD8" w:rsidRDefault="00194BD8" w:rsidP="00194BD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574B5" w14:textId="66128E1E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B24DC" w14:textId="292AB29A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1F559" w14:textId="43CCF6F3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94BD8" w:rsidRPr="00194BD8" w14:paraId="69EC16CD" w14:textId="77777777" w:rsidTr="00AE16AF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5F33D" w14:textId="3C205F28" w:rsidR="00194BD8" w:rsidRPr="00194BD8" w:rsidRDefault="00194BD8" w:rsidP="00194BD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13A97" w14:textId="4F279232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154A5" w14:textId="3855D05F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93B12" w14:textId="4EF8C2CB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94BD8" w:rsidRPr="00194BD8" w14:paraId="38909190" w14:textId="77777777" w:rsidTr="00AE16AF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39A94" w14:textId="1AF2C07F" w:rsidR="00194BD8" w:rsidRPr="00194BD8" w:rsidRDefault="00194BD8" w:rsidP="00194BD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DED04" w14:textId="24DF05EB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A96B5" w14:textId="38E784D1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478F1" w14:textId="40EF56F3" w:rsidR="00194BD8" w:rsidRPr="00194BD8" w:rsidRDefault="00194BD8" w:rsidP="0019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6ECC835C" w14:textId="4628E223" w:rsidR="00B23F7F" w:rsidRPr="00B23F7F" w:rsidRDefault="00B23F7F" w:rsidP="00B23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1E863" w14:textId="77777777" w:rsidR="009C4398" w:rsidRDefault="009C4398" w:rsidP="009B30AE">
      <w:pPr>
        <w:rPr>
          <w:b/>
          <w:bCs/>
          <w:sz w:val="32"/>
          <w:szCs w:val="32"/>
        </w:rPr>
      </w:pPr>
    </w:p>
    <w:p w14:paraId="47FC8412" w14:textId="77777777" w:rsidR="00B23F7F" w:rsidRDefault="00B23F7F" w:rsidP="009B30AE">
      <w:pPr>
        <w:rPr>
          <w:b/>
          <w:bCs/>
          <w:sz w:val="32"/>
          <w:szCs w:val="32"/>
        </w:rPr>
      </w:pPr>
    </w:p>
    <w:p w14:paraId="2DB3D5BD" w14:textId="77777777" w:rsidR="00B23F7F" w:rsidRDefault="00B23F7F" w:rsidP="009B30AE">
      <w:pPr>
        <w:rPr>
          <w:b/>
          <w:bCs/>
          <w:sz w:val="32"/>
          <w:szCs w:val="32"/>
        </w:rPr>
      </w:pPr>
    </w:p>
    <w:p w14:paraId="2A1FA995" w14:textId="5B27FCCD" w:rsidR="002615BC" w:rsidRDefault="002615BC" w:rsidP="009B30AE">
      <w:pPr>
        <w:rPr>
          <w:b/>
          <w:bCs/>
          <w:sz w:val="32"/>
          <w:szCs w:val="32"/>
        </w:rPr>
      </w:pPr>
    </w:p>
    <w:p w14:paraId="58E927E4" w14:textId="27FEC5C2" w:rsidR="000D6926" w:rsidRPr="000C5A57" w:rsidRDefault="000933E8" w:rsidP="009B30AE">
      <w:pPr>
        <w:rPr>
          <w:b/>
          <w:bCs/>
          <w:sz w:val="32"/>
          <w:szCs w:val="32"/>
        </w:rPr>
      </w:pPr>
      <w:r w:rsidRPr="000C5A57">
        <w:rPr>
          <w:b/>
          <w:bCs/>
          <w:sz w:val="32"/>
          <w:szCs w:val="32"/>
        </w:rPr>
        <w:t xml:space="preserve"> </w:t>
      </w:r>
    </w:p>
    <w:p w14:paraId="4EB86905" w14:textId="77777777" w:rsidR="009B30AE" w:rsidRPr="009B30AE" w:rsidRDefault="009B30AE" w:rsidP="009B30AE">
      <w:pPr>
        <w:jc w:val="center"/>
        <w:rPr>
          <w:b/>
          <w:bCs/>
          <w:sz w:val="28"/>
          <w:szCs w:val="28"/>
          <w:u w:val="single"/>
        </w:rPr>
      </w:pPr>
    </w:p>
    <w:sectPr w:rsidR="009B30AE" w:rsidRPr="009B3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E1EC0" w14:textId="77777777" w:rsidR="00840D73" w:rsidRDefault="00840D73" w:rsidP="005C6528">
      <w:pPr>
        <w:spacing w:after="0" w:line="240" w:lineRule="auto"/>
      </w:pPr>
      <w:r>
        <w:separator/>
      </w:r>
    </w:p>
  </w:endnote>
  <w:endnote w:type="continuationSeparator" w:id="0">
    <w:p w14:paraId="16262F30" w14:textId="77777777" w:rsidR="00840D73" w:rsidRDefault="00840D73" w:rsidP="005C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1580F" w14:textId="77777777" w:rsidR="00840D73" w:rsidRDefault="00840D73" w:rsidP="005C6528">
      <w:pPr>
        <w:spacing w:after="0" w:line="240" w:lineRule="auto"/>
      </w:pPr>
      <w:r>
        <w:separator/>
      </w:r>
    </w:p>
  </w:footnote>
  <w:footnote w:type="continuationSeparator" w:id="0">
    <w:p w14:paraId="1BD8D647" w14:textId="77777777" w:rsidR="00840D73" w:rsidRDefault="00840D73" w:rsidP="005C6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3CDE"/>
    <w:multiLevelType w:val="multilevel"/>
    <w:tmpl w:val="BFF2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62222"/>
    <w:multiLevelType w:val="multilevel"/>
    <w:tmpl w:val="448C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D2D0A"/>
    <w:multiLevelType w:val="multilevel"/>
    <w:tmpl w:val="37B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017CA"/>
    <w:multiLevelType w:val="hybridMultilevel"/>
    <w:tmpl w:val="9B1AA6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6D0E60"/>
    <w:multiLevelType w:val="multilevel"/>
    <w:tmpl w:val="6B22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D3EFD"/>
    <w:multiLevelType w:val="multilevel"/>
    <w:tmpl w:val="466E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F3BD0"/>
    <w:multiLevelType w:val="multilevel"/>
    <w:tmpl w:val="A0FC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3662D"/>
    <w:multiLevelType w:val="multilevel"/>
    <w:tmpl w:val="344E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A56DA"/>
    <w:multiLevelType w:val="multilevel"/>
    <w:tmpl w:val="45FE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C4BC7"/>
    <w:multiLevelType w:val="multilevel"/>
    <w:tmpl w:val="94BC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84C28"/>
    <w:multiLevelType w:val="multilevel"/>
    <w:tmpl w:val="B10C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650370"/>
    <w:multiLevelType w:val="multilevel"/>
    <w:tmpl w:val="4420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033641"/>
    <w:multiLevelType w:val="multilevel"/>
    <w:tmpl w:val="2138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A92FA0"/>
    <w:multiLevelType w:val="multilevel"/>
    <w:tmpl w:val="98E0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592525">
    <w:abstractNumId w:val="10"/>
  </w:num>
  <w:num w:numId="2" w16cid:durableId="800807268">
    <w:abstractNumId w:val="12"/>
  </w:num>
  <w:num w:numId="3" w16cid:durableId="1436904560">
    <w:abstractNumId w:val="2"/>
  </w:num>
  <w:num w:numId="4" w16cid:durableId="1318731228">
    <w:abstractNumId w:val="8"/>
  </w:num>
  <w:num w:numId="5" w16cid:durableId="1794976067">
    <w:abstractNumId w:val="9"/>
  </w:num>
  <w:num w:numId="6" w16cid:durableId="961616818">
    <w:abstractNumId w:val="6"/>
  </w:num>
  <w:num w:numId="7" w16cid:durableId="483351540">
    <w:abstractNumId w:val="1"/>
  </w:num>
  <w:num w:numId="8" w16cid:durableId="483359386">
    <w:abstractNumId w:val="13"/>
  </w:num>
  <w:num w:numId="9" w16cid:durableId="545021801">
    <w:abstractNumId w:val="3"/>
  </w:num>
  <w:num w:numId="10" w16cid:durableId="432634429">
    <w:abstractNumId w:val="5"/>
  </w:num>
  <w:num w:numId="11" w16cid:durableId="1569463663">
    <w:abstractNumId w:val="11"/>
  </w:num>
  <w:num w:numId="12" w16cid:durableId="1717002908">
    <w:abstractNumId w:val="7"/>
  </w:num>
  <w:num w:numId="13" w16cid:durableId="1699887675">
    <w:abstractNumId w:val="4"/>
  </w:num>
  <w:num w:numId="14" w16cid:durableId="120136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AE"/>
    <w:rsid w:val="00047F92"/>
    <w:rsid w:val="0005656D"/>
    <w:rsid w:val="000674BC"/>
    <w:rsid w:val="00070E02"/>
    <w:rsid w:val="00080B7F"/>
    <w:rsid w:val="000933E8"/>
    <w:rsid w:val="000B2052"/>
    <w:rsid w:val="000C5A57"/>
    <w:rsid w:val="000D6926"/>
    <w:rsid w:val="000F7363"/>
    <w:rsid w:val="000F78D5"/>
    <w:rsid w:val="0016347B"/>
    <w:rsid w:val="00165EB3"/>
    <w:rsid w:val="001926F7"/>
    <w:rsid w:val="00194BD8"/>
    <w:rsid w:val="001A61CF"/>
    <w:rsid w:val="001C02DC"/>
    <w:rsid w:val="001D563C"/>
    <w:rsid w:val="002004C5"/>
    <w:rsid w:val="00211462"/>
    <w:rsid w:val="002207A5"/>
    <w:rsid w:val="00242EB0"/>
    <w:rsid w:val="00251144"/>
    <w:rsid w:val="00252B4E"/>
    <w:rsid w:val="002537E9"/>
    <w:rsid w:val="002615BC"/>
    <w:rsid w:val="00264176"/>
    <w:rsid w:val="0027154A"/>
    <w:rsid w:val="0028759C"/>
    <w:rsid w:val="002968A7"/>
    <w:rsid w:val="002C2795"/>
    <w:rsid w:val="00305963"/>
    <w:rsid w:val="00320DE7"/>
    <w:rsid w:val="00323A6C"/>
    <w:rsid w:val="003470A9"/>
    <w:rsid w:val="00360134"/>
    <w:rsid w:val="003623E0"/>
    <w:rsid w:val="003A3627"/>
    <w:rsid w:val="003A7B3A"/>
    <w:rsid w:val="003B2922"/>
    <w:rsid w:val="003C6674"/>
    <w:rsid w:val="00415368"/>
    <w:rsid w:val="00464A21"/>
    <w:rsid w:val="004C3F50"/>
    <w:rsid w:val="004E1770"/>
    <w:rsid w:val="004E1A14"/>
    <w:rsid w:val="004F3E1D"/>
    <w:rsid w:val="00510118"/>
    <w:rsid w:val="00512960"/>
    <w:rsid w:val="005272C1"/>
    <w:rsid w:val="005333CD"/>
    <w:rsid w:val="0057445B"/>
    <w:rsid w:val="005C16D9"/>
    <w:rsid w:val="005C6528"/>
    <w:rsid w:val="005D109B"/>
    <w:rsid w:val="005D55AC"/>
    <w:rsid w:val="005E033B"/>
    <w:rsid w:val="005F181F"/>
    <w:rsid w:val="006038C9"/>
    <w:rsid w:val="00617B6A"/>
    <w:rsid w:val="00622A33"/>
    <w:rsid w:val="00630376"/>
    <w:rsid w:val="00645447"/>
    <w:rsid w:val="0067366B"/>
    <w:rsid w:val="00683DB1"/>
    <w:rsid w:val="006B65CB"/>
    <w:rsid w:val="006C5D6E"/>
    <w:rsid w:val="006D4F17"/>
    <w:rsid w:val="006E232D"/>
    <w:rsid w:val="006E4032"/>
    <w:rsid w:val="006F0E57"/>
    <w:rsid w:val="007022F4"/>
    <w:rsid w:val="0071351B"/>
    <w:rsid w:val="007164E0"/>
    <w:rsid w:val="00723041"/>
    <w:rsid w:val="007237A8"/>
    <w:rsid w:val="00732AA8"/>
    <w:rsid w:val="007503DF"/>
    <w:rsid w:val="00782648"/>
    <w:rsid w:val="007A7747"/>
    <w:rsid w:val="007B0CF1"/>
    <w:rsid w:val="007D705C"/>
    <w:rsid w:val="007E19BC"/>
    <w:rsid w:val="007E25A6"/>
    <w:rsid w:val="007E42AD"/>
    <w:rsid w:val="007F7607"/>
    <w:rsid w:val="00815A8F"/>
    <w:rsid w:val="00824844"/>
    <w:rsid w:val="0082752E"/>
    <w:rsid w:val="008347C0"/>
    <w:rsid w:val="00835A6E"/>
    <w:rsid w:val="00840D73"/>
    <w:rsid w:val="00881153"/>
    <w:rsid w:val="00897150"/>
    <w:rsid w:val="00897978"/>
    <w:rsid w:val="008D6DFF"/>
    <w:rsid w:val="008E64A0"/>
    <w:rsid w:val="008F08C3"/>
    <w:rsid w:val="00920FB7"/>
    <w:rsid w:val="009337DE"/>
    <w:rsid w:val="009809BE"/>
    <w:rsid w:val="00986126"/>
    <w:rsid w:val="009A0E3D"/>
    <w:rsid w:val="009A3EC1"/>
    <w:rsid w:val="009B30AE"/>
    <w:rsid w:val="009B753B"/>
    <w:rsid w:val="009C4398"/>
    <w:rsid w:val="009C5C4C"/>
    <w:rsid w:val="009D466D"/>
    <w:rsid w:val="009F5124"/>
    <w:rsid w:val="009F7291"/>
    <w:rsid w:val="00A17E4C"/>
    <w:rsid w:val="00A52FAE"/>
    <w:rsid w:val="00A75CCB"/>
    <w:rsid w:val="00A85FAF"/>
    <w:rsid w:val="00A93DC3"/>
    <w:rsid w:val="00AB06F0"/>
    <w:rsid w:val="00AB5BA7"/>
    <w:rsid w:val="00AE16AF"/>
    <w:rsid w:val="00AE6C2E"/>
    <w:rsid w:val="00AF13F9"/>
    <w:rsid w:val="00B12DDA"/>
    <w:rsid w:val="00B17BFD"/>
    <w:rsid w:val="00B22424"/>
    <w:rsid w:val="00B23F7F"/>
    <w:rsid w:val="00B45FC6"/>
    <w:rsid w:val="00B61D18"/>
    <w:rsid w:val="00B94DEA"/>
    <w:rsid w:val="00BA7B20"/>
    <w:rsid w:val="00BB308E"/>
    <w:rsid w:val="00BB6231"/>
    <w:rsid w:val="00BC2877"/>
    <w:rsid w:val="00BC2D06"/>
    <w:rsid w:val="00BD581E"/>
    <w:rsid w:val="00BF7FBF"/>
    <w:rsid w:val="00C06750"/>
    <w:rsid w:val="00C464F1"/>
    <w:rsid w:val="00C95518"/>
    <w:rsid w:val="00CB457F"/>
    <w:rsid w:val="00CD237A"/>
    <w:rsid w:val="00CE4E57"/>
    <w:rsid w:val="00CF711A"/>
    <w:rsid w:val="00D45C75"/>
    <w:rsid w:val="00D53A39"/>
    <w:rsid w:val="00D608F0"/>
    <w:rsid w:val="00D71D51"/>
    <w:rsid w:val="00D931AB"/>
    <w:rsid w:val="00D93984"/>
    <w:rsid w:val="00DA70DF"/>
    <w:rsid w:val="00DA7E30"/>
    <w:rsid w:val="00DC0C4E"/>
    <w:rsid w:val="00DC7C32"/>
    <w:rsid w:val="00E4394D"/>
    <w:rsid w:val="00E46857"/>
    <w:rsid w:val="00E4733A"/>
    <w:rsid w:val="00E74A6F"/>
    <w:rsid w:val="00E74D9D"/>
    <w:rsid w:val="00E962FD"/>
    <w:rsid w:val="00E97A37"/>
    <w:rsid w:val="00EA222E"/>
    <w:rsid w:val="00EB0504"/>
    <w:rsid w:val="00EB5C00"/>
    <w:rsid w:val="00F020F6"/>
    <w:rsid w:val="00F04768"/>
    <w:rsid w:val="00F058A7"/>
    <w:rsid w:val="00F1470A"/>
    <w:rsid w:val="00F60334"/>
    <w:rsid w:val="00F62B53"/>
    <w:rsid w:val="00F64414"/>
    <w:rsid w:val="00F7624A"/>
    <w:rsid w:val="00F94510"/>
    <w:rsid w:val="00FA146B"/>
    <w:rsid w:val="00FB75A4"/>
    <w:rsid w:val="00FC0870"/>
    <w:rsid w:val="00FC7AD2"/>
    <w:rsid w:val="00FD0556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3121"/>
  <w15:chartTrackingRefBased/>
  <w15:docId w15:val="{C62F3BFE-78A3-4C21-BF26-ACFD86E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0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0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0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0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0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0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0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0A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52B4E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11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6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28"/>
  </w:style>
  <w:style w:type="paragraph" w:styleId="Footer">
    <w:name w:val="footer"/>
    <w:basedOn w:val="Normal"/>
    <w:link w:val="FooterChar"/>
    <w:uiPriority w:val="99"/>
    <w:unhideWhenUsed/>
    <w:rsid w:val="005C6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0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kehinde Alegu</dc:creator>
  <cp:keywords/>
  <dc:description/>
  <cp:lastModifiedBy>kehinde Alegu</cp:lastModifiedBy>
  <cp:revision>2</cp:revision>
  <dcterms:created xsi:type="dcterms:W3CDTF">2024-11-20T23:00:00Z</dcterms:created>
  <dcterms:modified xsi:type="dcterms:W3CDTF">2024-11-20T23:00:00Z</dcterms:modified>
</cp:coreProperties>
</file>