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2BE" w:rsidRPr="00B772BE" w:rsidRDefault="00B772BE" w:rsidP="00B772BE">
      <w:pPr>
        <w:pStyle w:val="Heading3"/>
        <w:jc w:val="both"/>
        <w:rPr>
          <w:rFonts w:asciiTheme="minorHAnsi" w:eastAsiaTheme="minorHAnsi" w:hAnsiTheme="minorHAnsi" w:cstheme="minorBidi"/>
          <w:b w:val="0"/>
          <w:bCs w:val="0"/>
          <w:sz w:val="22"/>
          <w:szCs w:val="22"/>
        </w:rPr>
      </w:pPr>
      <w:r w:rsidRPr="00B772BE">
        <w:rPr>
          <w:rFonts w:asciiTheme="minorHAnsi" w:eastAsiaTheme="minorHAnsi" w:hAnsiTheme="minorHAnsi" w:cstheme="minorBidi"/>
          <w:b w:val="0"/>
          <w:bCs w:val="0"/>
          <w:sz w:val="22"/>
          <w:szCs w:val="22"/>
        </w:rPr>
        <w:t>This comprehensive financial ratio analysis examines key performance metrics across liquidity, profitability, solvency, asset utilization, and investor ratios. The analysis provides insights into operational efficiency, financial stability, and overall business performance through detailed examination of various financial ratios from 2020 to 2022.</w:t>
      </w:r>
      <w:bookmarkStart w:id="0" w:name="_GoBack"/>
      <w:bookmarkEnd w:id="0"/>
    </w:p>
    <w:p w:rsidR="00AE0A8C" w:rsidRDefault="00AE0A8C" w:rsidP="00AE0A8C">
      <w:pPr>
        <w:pStyle w:val="Heading3"/>
      </w:pPr>
      <w:r>
        <w:t>1. LIQUIDITY RATIOS</w:t>
      </w:r>
    </w:p>
    <w:p w:rsidR="00AE0A8C" w:rsidRDefault="00AE0A8C" w:rsidP="00AE0A8C">
      <w:pPr>
        <w:pStyle w:val="Heading2"/>
      </w:pPr>
      <w:r>
        <w:t>1.1 Current Ratio</w:t>
      </w:r>
    </w:p>
    <w:p w:rsidR="00724D2D" w:rsidRDefault="00561C5B" w:rsidP="00AE0A8C">
      <w:pPr>
        <w:pStyle w:val="Heading2"/>
      </w:pPr>
      <w:r>
        <w:rPr>
          <w:noProof/>
        </w:rPr>
        <w:drawing>
          <wp:inline distT="0" distB="0" distL="0" distR="0" wp14:anchorId="1929F9D4" wp14:editId="3A1A6910">
            <wp:extent cx="3676650" cy="2366962"/>
            <wp:effectExtent l="0" t="0" r="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E0A8C" w:rsidRDefault="00AE0A8C" w:rsidP="00724D2D">
      <w:pPr>
        <w:spacing w:after="0" w:line="240" w:lineRule="auto"/>
      </w:pPr>
      <w:r>
        <w:rPr>
          <w:rStyle w:val="Strong"/>
        </w:rPr>
        <w:t>Interpretation</w:t>
      </w:r>
      <w:r>
        <w:t>: Declining current ratio indicates reduced short-term liquidity</w:t>
      </w:r>
      <w:r w:rsidR="00817BE5">
        <w:t xml:space="preserve"> p</w:t>
      </w:r>
      <w:r>
        <w:t>otential concern: Ability to cover short-term obligations is weakening</w:t>
      </w:r>
      <w:r w:rsidR="00724D2D">
        <w:t>,</w:t>
      </w:r>
      <w:r w:rsidR="0007209C">
        <w:t xml:space="preserve"> </w:t>
      </w:r>
      <w:r w:rsidR="0007209C">
        <w:t>Declined from 1.36 (2020) to 0.88 (2022), suggesting Apple’s ability to cover short-term li</w:t>
      </w:r>
      <w:r w:rsidR="0007209C">
        <w:t xml:space="preserve">abilities is weakening. This </w:t>
      </w:r>
      <w:r w:rsidR="0007209C">
        <w:t>indicates potential liquidity pressure.</w:t>
      </w:r>
    </w:p>
    <w:p w:rsidR="00724D2D" w:rsidRDefault="00724D2D" w:rsidP="007875B8">
      <w:pPr>
        <w:spacing w:after="0" w:line="240" w:lineRule="auto"/>
        <w:ind w:left="720"/>
      </w:pPr>
    </w:p>
    <w:p w:rsidR="00AE0A8C" w:rsidRDefault="00AE0A8C" w:rsidP="00AE0A8C">
      <w:pPr>
        <w:pStyle w:val="Heading2"/>
      </w:pPr>
      <w:r>
        <w:t>1.2 Quick Ratio</w:t>
      </w:r>
    </w:p>
    <w:p w:rsidR="00724D2D" w:rsidRDefault="00561C5B" w:rsidP="00AE0A8C">
      <w:pPr>
        <w:pStyle w:val="Heading2"/>
      </w:pPr>
      <w:r>
        <w:rPr>
          <w:noProof/>
        </w:rPr>
        <w:drawing>
          <wp:inline distT="0" distB="0" distL="0" distR="0" wp14:anchorId="057F67FE" wp14:editId="5EBE9C5C">
            <wp:extent cx="3752850" cy="2347595"/>
            <wp:effectExtent l="0" t="0" r="0"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E0A8C" w:rsidRDefault="00AE0A8C" w:rsidP="00C23A1C">
      <w:pPr>
        <w:spacing w:after="0" w:line="240" w:lineRule="auto"/>
      </w:pPr>
      <w:r w:rsidRPr="007875B8">
        <w:rPr>
          <w:b/>
          <w:bCs/>
        </w:rPr>
        <w:lastRenderedPageBreak/>
        <w:t>Interpretation</w:t>
      </w:r>
      <w:r>
        <w:t xml:space="preserve">: Similar to current ratio, </w:t>
      </w:r>
      <w:r w:rsidR="00817BE5">
        <w:t xml:space="preserve">quick or acid test ratio </w:t>
      </w:r>
      <w:r>
        <w:t>shows diminishing liquid asset coverage</w:t>
      </w:r>
    </w:p>
    <w:p w:rsidR="00AE0A8C" w:rsidRDefault="00AE0A8C" w:rsidP="00C23A1C">
      <w:pPr>
        <w:spacing w:after="0" w:line="240" w:lineRule="auto"/>
      </w:pPr>
      <w:r>
        <w:t>Suggests potential cash flow challenges</w:t>
      </w:r>
      <w:r w:rsidR="00C23A1C">
        <w:t>.</w:t>
      </w:r>
      <w:r w:rsidR="0007209C">
        <w:t xml:space="preserve"> </w:t>
      </w:r>
      <w:r w:rsidR="0007209C">
        <w:t xml:space="preserve">Decreased </w:t>
      </w:r>
      <w:r w:rsidR="0007209C">
        <w:t xml:space="preserve">in acid test ratio </w:t>
      </w:r>
      <w:r w:rsidR="0007209C">
        <w:t>from 1.33 (2020) to 0.85 (2022), highlighting reduced liquidity when excluding inventory. This trend reflects tight cash flow management.</w:t>
      </w:r>
    </w:p>
    <w:p w:rsidR="00AE0A8C" w:rsidRDefault="00AE0A8C" w:rsidP="00AE0A8C">
      <w:pPr>
        <w:pStyle w:val="Heading2"/>
      </w:pPr>
      <w:r>
        <w:t>1.3 Cash Ratio</w:t>
      </w:r>
    </w:p>
    <w:p w:rsidR="00561C5B" w:rsidRDefault="00561C5B" w:rsidP="00AE0A8C">
      <w:pPr>
        <w:pStyle w:val="Heading2"/>
      </w:pPr>
      <w:r>
        <w:rPr>
          <w:noProof/>
        </w:rPr>
        <w:drawing>
          <wp:inline distT="0" distB="0" distL="0" distR="0" wp14:anchorId="68E60A3D" wp14:editId="01928FB1">
            <wp:extent cx="3971925" cy="2357120"/>
            <wp:effectExtent l="0" t="0" r="9525" b="50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E0A8C" w:rsidRDefault="00AE0A8C" w:rsidP="007875B8">
      <w:pPr>
        <w:spacing w:after="0" w:line="240" w:lineRule="auto"/>
        <w:ind w:left="720"/>
      </w:pPr>
      <w:r w:rsidRPr="007875B8">
        <w:rPr>
          <w:b/>
          <w:bCs/>
        </w:rPr>
        <w:t>Interpretation</w:t>
      </w:r>
      <w:r>
        <w:t>: Significant reduction in cash and cash equivalents</w:t>
      </w:r>
      <w:r w:rsidR="00817BE5">
        <w:t xml:space="preserve"> </w:t>
      </w:r>
      <w:r>
        <w:t>Indicates decreased immediate liquidity and financial flexibility</w:t>
      </w:r>
      <w:r w:rsidR="0007209C">
        <w:t xml:space="preserve">. </w:t>
      </w:r>
      <w:r w:rsidR="0007209C">
        <w:t xml:space="preserve">Dropped sharply </w:t>
      </w:r>
      <w:r w:rsidR="0007209C">
        <w:t>from 0.36 (2020) to 0.15 (2022)</w:t>
      </w:r>
      <w:r w:rsidR="0007209C">
        <w:t xml:space="preserve"> Indicates a reduction in immediate liquid cash available to meet liabilities, which could limit financial flexibility.</w:t>
      </w:r>
    </w:p>
    <w:p w:rsidR="00AE0A8C" w:rsidRDefault="00AE0A8C" w:rsidP="00AE0A8C">
      <w:pPr>
        <w:pStyle w:val="Heading2"/>
      </w:pPr>
      <w:r>
        <w:t>1.4 Defensive Interval</w:t>
      </w:r>
    </w:p>
    <w:p w:rsidR="00561C5B" w:rsidRDefault="00561C5B" w:rsidP="00AE0A8C">
      <w:pPr>
        <w:pStyle w:val="Heading2"/>
      </w:pPr>
      <w:r>
        <w:rPr>
          <w:noProof/>
        </w:rPr>
        <w:drawing>
          <wp:inline distT="0" distB="0" distL="0" distR="0" wp14:anchorId="22B135CB" wp14:editId="4FDBC375">
            <wp:extent cx="4105275" cy="2328545"/>
            <wp:effectExtent l="0" t="0" r="9525" b="146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E0A8C" w:rsidRDefault="00AE0A8C" w:rsidP="007875B8">
      <w:pPr>
        <w:spacing w:after="0" w:line="240" w:lineRule="auto"/>
        <w:ind w:left="720"/>
      </w:pPr>
      <w:r w:rsidRPr="007875B8">
        <w:rPr>
          <w:b/>
          <w:bCs/>
        </w:rPr>
        <w:t>Interpretation</w:t>
      </w:r>
      <w:r>
        <w:t xml:space="preserve">: </w:t>
      </w:r>
      <w:r w:rsidR="00047269">
        <w:t>Declining ratio (0.0019 to 0.0013 over three years) implies that Apple’s current cash and liquid assets are insufficient to cover daily operational expenses for extended periods.</w:t>
      </w:r>
      <w:r w:rsidR="00817BE5">
        <w:t xml:space="preserve"> </w:t>
      </w:r>
    </w:p>
    <w:p w:rsidR="00AE0A8C" w:rsidRDefault="00AE0A8C" w:rsidP="00AE0A8C">
      <w:pPr>
        <w:pStyle w:val="Heading2"/>
      </w:pPr>
      <w:r>
        <w:lastRenderedPageBreak/>
        <w:t>1.5 Inventory Days</w:t>
      </w:r>
    </w:p>
    <w:p w:rsidR="00561C5B" w:rsidRDefault="00561C5B" w:rsidP="00AE0A8C">
      <w:pPr>
        <w:pStyle w:val="Heading2"/>
      </w:pPr>
      <w:r>
        <w:rPr>
          <w:noProof/>
        </w:rPr>
        <w:drawing>
          <wp:inline distT="0" distB="0" distL="0" distR="0" wp14:anchorId="5407BFF0" wp14:editId="20526E77">
            <wp:extent cx="3895725" cy="2395537"/>
            <wp:effectExtent l="0" t="0" r="9525" b="50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E0A8C" w:rsidRDefault="00AE0A8C" w:rsidP="007875B8">
      <w:pPr>
        <w:spacing w:after="0" w:line="240" w:lineRule="auto"/>
        <w:ind w:left="720"/>
      </w:pPr>
      <w:r w:rsidRPr="007875B8">
        <w:rPr>
          <w:b/>
          <w:bCs/>
        </w:rPr>
        <w:t>Interpretation</w:t>
      </w:r>
      <w:r>
        <w:t>: Significant improvement in inventory management</w:t>
      </w:r>
      <w:r w:rsidR="00817BE5">
        <w:t xml:space="preserve"> r</w:t>
      </w:r>
      <w:r>
        <w:t>educed inventory holding period indicates more efficient stock control</w:t>
      </w:r>
      <w:r w:rsidR="00047269">
        <w:t xml:space="preserve">. </w:t>
      </w:r>
      <w:r w:rsidR="00817BE5">
        <w:t>Inventory days i</w:t>
      </w:r>
      <w:r w:rsidR="00047269">
        <w:t>mproved significantly from 83.51 days (2020) to 38.79 days (2022), reflecting efficient inventory management and better demand forecasting.</w:t>
      </w:r>
    </w:p>
    <w:p w:rsidR="00AE0A8C" w:rsidRDefault="00AE0A8C" w:rsidP="00AE0A8C">
      <w:pPr>
        <w:pStyle w:val="Heading2"/>
      </w:pPr>
      <w:r>
        <w:t>1.6 Payable Days</w:t>
      </w:r>
    </w:p>
    <w:p w:rsidR="00561C5B" w:rsidRDefault="00561C5B" w:rsidP="00AE0A8C">
      <w:pPr>
        <w:pStyle w:val="Heading2"/>
      </w:pPr>
      <w:r>
        <w:rPr>
          <w:noProof/>
        </w:rPr>
        <w:drawing>
          <wp:inline distT="0" distB="0" distL="0" distR="0" wp14:anchorId="2780ADC2" wp14:editId="74D8A5FC">
            <wp:extent cx="4010025" cy="2433637"/>
            <wp:effectExtent l="0" t="0" r="9525" b="508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E0A8C" w:rsidRDefault="00AE0A8C" w:rsidP="007875B8">
      <w:pPr>
        <w:spacing w:after="0" w:line="240" w:lineRule="auto"/>
        <w:ind w:left="720"/>
      </w:pPr>
      <w:r w:rsidRPr="007875B8">
        <w:rPr>
          <w:b/>
          <w:bCs/>
        </w:rPr>
        <w:t>Interpretation</w:t>
      </w:r>
      <w:r>
        <w:t>: Increasing payable days suggest extended payment terms with suppliers</w:t>
      </w:r>
    </w:p>
    <w:p w:rsidR="00AE0A8C" w:rsidRDefault="00AE0A8C" w:rsidP="007875B8">
      <w:pPr>
        <w:spacing w:after="0" w:line="240" w:lineRule="auto"/>
        <w:ind w:left="720"/>
      </w:pPr>
      <w:r>
        <w:t>Potential cash flow management strategy</w:t>
      </w:r>
      <w:r w:rsidR="00047269">
        <w:t xml:space="preserve">. </w:t>
      </w:r>
      <w:r w:rsidR="00047269">
        <w:t>Increased to 104.69 days in 2022, indicating extended payment terms to suppliers. While this helps cash flow, it increases reliance on vendor financing.</w:t>
      </w:r>
    </w:p>
    <w:p w:rsidR="00AE0A8C" w:rsidRDefault="00AE0A8C" w:rsidP="00AE0A8C">
      <w:pPr>
        <w:pStyle w:val="Heading2"/>
      </w:pPr>
      <w:r>
        <w:t>1.7 Receivable Days</w:t>
      </w:r>
    </w:p>
    <w:p w:rsidR="00561C5B" w:rsidRDefault="00561C5B" w:rsidP="00AE0A8C">
      <w:pPr>
        <w:pStyle w:val="Heading2"/>
      </w:pPr>
      <w:r>
        <w:rPr>
          <w:noProof/>
        </w:rPr>
        <w:lastRenderedPageBreak/>
        <w:drawing>
          <wp:inline distT="0" distB="0" distL="0" distR="0" wp14:anchorId="66569F91" wp14:editId="0D8EB8A2">
            <wp:extent cx="3886200" cy="2405062"/>
            <wp:effectExtent l="0" t="0" r="0" b="146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E0A8C" w:rsidRDefault="00AE0A8C" w:rsidP="007875B8">
      <w:pPr>
        <w:spacing w:after="0" w:line="240" w:lineRule="auto"/>
        <w:ind w:left="720"/>
      </w:pPr>
      <w:r w:rsidRPr="007875B8">
        <w:rPr>
          <w:b/>
          <w:bCs/>
        </w:rPr>
        <w:t>Interpretation</w:t>
      </w:r>
      <w:r>
        <w:t>: Slight increase in time to collect receivables</w:t>
      </w:r>
      <w:r w:rsidR="00251B7E">
        <w:t xml:space="preserve"> p</w:t>
      </w:r>
      <w:r>
        <w:t>otential slight deterioration in collection efficiency</w:t>
      </w:r>
      <w:r w:rsidR="00047269">
        <w:t xml:space="preserve">. </w:t>
      </w:r>
      <w:r w:rsidR="00251B7E">
        <w:t xml:space="preserve">Receivable days remained stable at </w:t>
      </w:r>
      <w:r w:rsidR="00047269">
        <w:t>26 days over the past two years, suggesting effective credit collection practices.</w:t>
      </w:r>
    </w:p>
    <w:p w:rsidR="00AE0A8C" w:rsidRDefault="00AE0A8C" w:rsidP="00AE0A8C">
      <w:pPr>
        <w:pStyle w:val="Heading2"/>
      </w:pPr>
      <w:r>
        <w:t>1.8 Net Trading Cycle</w:t>
      </w:r>
    </w:p>
    <w:p w:rsidR="00561C5B" w:rsidRDefault="00561C5B" w:rsidP="00AE0A8C">
      <w:pPr>
        <w:pStyle w:val="Heading2"/>
      </w:pPr>
      <w:r>
        <w:rPr>
          <w:noProof/>
        </w:rPr>
        <w:drawing>
          <wp:inline distT="0" distB="0" distL="0" distR="0" wp14:anchorId="7300A1D3" wp14:editId="132C50FA">
            <wp:extent cx="3819525" cy="2405062"/>
            <wp:effectExtent l="0" t="0" r="9525" b="146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E0A8C" w:rsidRDefault="00AE0A8C" w:rsidP="007875B8">
      <w:pPr>
        <w:spacing w:after="0" w:line="240" w:lineRule="auto"/>
        <w:ind w:left="720"/>
      </w:pPr>
      <w:r w:rsidRPr="007875B8">
        <w:rPr>
          <w:b/>
          <w:bCs/>
        </w:rPr>
        <w:t>Interpretation</w:t>
      </w:r>
      <w:r>
        <w:t>: Negative cycle indicates efficient working capital management</w:t>
      </w:r>
      <w:r w:rsidR="00B143F7">
        <w:t xml:space="preserve">. </w:t>
      </w:r>
      <w:r>
        <w:t>Apple can fund operations before paying suppliers</w:t>
      </w:r>
      <w:r w:rsidR="00047269">
        <w:t xml:space="preserve">. </w:t>
      </w:r>
      <w:r w:rsidR="00047269">
        <w:t>Negative cycle (-70.52 days in 2022) demonstrates Apple’s ability to generate cash from operations quickly. However, this relies heavily on delaying payables.</w:t>
      </w:r>
    </w:p>
    <w:p w:rsidR="00AE0A8C" w:rsidRDefault="00AE0A8C" w:rsidP="00AE0A8C">
      <w:pPr>
        <w:pStyle w:val="Heading2"/>
      </w:pPr>
      <w:r>
        <w:t>1.9 Working Capital as a % of Sales</w:t>
      </w:r>
    </w:p>
    <w:p w:rsidR="0027560C" w:rsidRDefault="0027560C" w:rsidP="00AE0A8C">
      <w:pPr>
        <w:pStyle w:val="Heading2"/>
      </w:pPr>
    </w:p>
    <w:p w:rsidR="00107DCC" w:rsidRDefault="00094B88" w:rsidP="00AE0A8C">
      <w:pPr>
        <w:pStyle w:val="Heading2"/>
      </w:pPr>
      <w:r>
        <w:rPr>
          <w:noProof/>
        </w:rPr>
        <w:lastRenderedPageBreak/>
        <w:drawing>
          <wp:inline distT="0" distB="0" distL="0" distR="0" wp14:anchorId="2D65A990" wp14:editId="58D022B8">
            <wp:extent cx="3700463" cy="2281237"/>
            <wp:effectExtent l="0" t="0" r="14605" b="508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E0A8C" w:rsidRDefault="00AE0A8C" w:rsidP="007875B8">
      <w:pPr>
        <w:spacing w:after="0" w:line="240" w:lineRule="auto"/>
        <w:ind w:left="720"/>
      </w:pPr>
      <w:r w:rsidRPr="007875B8">
        <w:rPr>
          <w:b/>
          <w:bCs/>
        </w:rPr>
        <w:t>Interpretation</w:t>
      </w:r>
      <w:r>
        <w:t>: Declining working capital percentage</w:t>
      </w:r>
      <w:r w:rsidR="00094B88">
        <w:t xml:space="preserve"> s</w:t>
      </w:r>
      <w:r>
        <w:t>uggests potential challenges in maintaining working capital</w:t>
      </w:r>
      <w:r w:rsidR="00047269">
        <w:t xml:space="preserve">. </w:t>
      </w:r>
      <w:r w:rsidR="00047269">
        <w:t>Dropped significantly from 13.96% (2020) to -4.71% (2022), indicating a potential strain on operational funding. Negative working capital of -$18,577M in 2022 is concerning.</w:t>
      </w:r>
    </w:p>
    <w:p w:rsidR="00AE0A8C" w:rsidRDefault="00AE0A8C" w:rsidP="00AE0A8C">
      <w:pPr>
        <w:pStyle w:val="Heading3"/>
      </w:pPr>
      <w:r>
        <w:t>2. PROFITABILITY METRICS</w:t>
      </w:r>
    </w:p>
    <w:p w:rsidR="00AE0A8C" w:rsidRDefault="00AE0A8C" w:rsidP="00AE0A8C">
      <w:pPr>
        <w:pStyle w:val="Heading2"/>
      </w:pPr>
      <w:r>
        <w:t>2.1 Gross Margin</w:t>
      </w:r>
    </w:p>
    <w:p w:rsidR="0027560C" w:rsidRDefault="0027560C" w:rsidP="00AE0A8C">
      <w:pPr>
        <w:pStyle w:val="Heading2"/>
      </w:pPr>
      <w:r>
        <w:rPr>
          <w:noProof/>
        </w:rPr>
        <w:drawing>
          <wp:inline distT="0" distB="0" distL="0" distR="0" wp14:anchorId="1EB2635F" wp14:editId="61B20C04">
            <wp:extent cx="3962400" cy="2385695"/>
            <wp:effectExtent l="0" t="0" r="0" b="146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E0A8C" w:rsidRDefault="00AE0A8C" w:rsidP="007875B8">
      <w:pPr>
        <w:spacing w:after="0" w:line="240" w:lineRule="auto"/>
        <w:ind w:left="720"/>
      </w:pPr>
      <w:r w:rsidRPr="007875B8">
        <w:rPr>
          <w:b/>
          <w:bCs/>
        </w:rPr>
        <w:t>Interpretation</w:t>
      </w:r>
      <w:r>
        <w:t>: Consistent improvement in gross profit percentage</w:t>
      </w:r>
      <w:r w:rsidR="00687B40">
        <w:t xml:space="preserve"> i</w:t>
      </w:r>
      <w:r>
        <w:t>ndicates effective pricing and cost management</w:t>
      </w:r>
      <w:r w:rsidR="00047269">
        <w:t xml:space="preserve">. </w:t>
      </w:r>
      <w:r w:rsidR="00047269">
        <w:t>Increased from 38% (2020) to 43% (2022), highlighting improved cost efficiency and favorable product pricing strategies.</w:t>
      </w:r>
    </w:p>
    <w:p w:rsidR="00AE0A8C" w:rsidRDefault="00AE0A8C" w:rsidP="00AE0A8C">
      <w:pPr>
        <w:pStyle w:val="Heading2"/>
      </w:pPr>
      <w:r>
        <w:t>2.2 EBITDA Margin</w:t>
      </w:r>
    </w:p>
    <w:p w:rsidR="0027560C" w:rsidRDefault="0027560C" w:rsidP="00AE0A8C">
      <w:pPr>
        <w:pStyle w:val="Heading2"/>
      </w:pPr>
      <w:r>
        <w:rPr>
          <w:noProof/>
        </w:rPr>
        <w:lastRenderedPageBreak/>
        <w:drawing>
          <wp:inline distT="0" distB="0" distL="0" distR="0" wp14:anchorId="6B01D940" wp14:editId="7D4EE8B2">
            <wp:extent cx="3886200" cy="2480945"/>
            <wp:effectExtent l="0" t="0" r="0" b="1460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E0A8C" w:rsidRDefault="00AE0A8C" w:rsidP="007875B8">
      <w:pPr>
        <w:spacing w:after="0" w:line="240" w:lineRule="auto"/>
        <w:ind w:left="720"/>
      </w:pPr>
      <w:r w:rsidRPr="007875B8">
        <w:rPr>
          <w:b/>
          <w:bCs/>
        </w:rPr>
        <w:t>Interpretation</w:t>
      </w:r>
      <w:r>
        <w:t>: Significant improvement in operational profitability</w:t>
      </w:r>
      <w:r w:rsidR="00687B40">
        <w:t xml:space="preserve"> d</w:t>
      </w:r>
      <w:r>
        <w:t>emonstrates operational efficiency</w:t>
      </w:r>
      <w:r w:rsidR="00047269">
        <w:t xml:space="preserve">. </w:t>
      </w:r>
      <w:r w:rsidR="00047269">
        <w:t>Stable at ~33.7% over the last two years, indicating consistent operational efficiency despite economic challenges.</w:t>
      </w:r>
    </w:p>
    <w:p w:rsidR="00AE0A8C" w:rsidRDefault="00AE0A8C" w:rsidP="00AE0A8C">
      <w:pPr>
        <w:pStyle w:val="Heading2"/>
      </w:pPr>
      <w:r>
        <w:t>2.3 EBIT Margin</w:t>
      </w:r>
    </w:p>
    <w:p w:rsidR="0027560C" w:rsidRDefault="0027560C" w:rsidP="00AE0A8C">
      <w:pPr>
        <w:pStyle w:val="Heading2"/>
      </w:pPr>
      <w:r>
        <w:rPr>
          <w:noProof/>
        </w:rPr>
        <w:drawing>
          <wp:inline distT="0" distB="0" distL="0" distR="0" wp14:anchorId="34E62F4A" wp14:editId="37175417">
            <wp:extent cx="3924300" cy="2509520"/>
            <wp:effectExtent l="0" t="0" r="0" b="508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E0A8C" w:rsidRDefault="00AE0A8C" w:rsidP="007875B8">
      <w:pPr>
        <w:spacing w:after="0" w:line="240" w:lineRule="auto"/>
        <w:ind w:left="720"/>
      </w:pPr>
      <w:r w:rsidRPr="007875B8">
        <w:rPr>
          <w:b/>
          <w:bCs/>
        </w:rPr>
        <w:t>Interpretation</w:t>
      </w:r>
      <w:r>
        <w:t>: Strong growth in operational profitability</w:t>
      </w:r>
      <w:r w:rsidR="00687B40">
        <w:t xml:space="preserve"> r</w:t>
      </w:r>
      <w:r>
        <w:t>eflects effective cost control and operational strategies</w:t>
      </w:r>
      <w:r w:rsidR="00047269">
        <w:t xml:space="preserve">. </w:t>
      </w:r>
      <w:r w:rsidR="00047269">
        <w:t>Margins grew steadily from 25.53% (2020) to 30.93% (2022), reflecting Apple’s ability to control operating costs while increasing profitability.</w:t>
      </w:r>
    </w:p>
    <w:p w:rsidR="00AE0A8C" w:rsidRDefault="00AE0A8C" w:rsidP="00AE0A8C">
      <w:pPr>
        <w:pStyle w:val="Heading2"/>
      </w:pPr>
      <w:r>
        <w:t>2.4 Net Margin</w:t>
      </w:r>
    </w:p>
    <w:p w:rsidR="0027560C" w:rsidRDefault="0027560C" w:rsidP="00AE0A8C">
      <w:pPr>
        <w:pStyle w:val="Heading2"/>
      </w:pPr>
      <w:r>
        <w:rPr>
          <w:noProof/>
        </w:rPr>
        <w:lastRenderedPageBreak/>
        <w:drawing>
          <wp:inline distT="0" distB="0" distL="0" distR="0" wp14:anchorId="68B12055" wp14:editId="05A6C1D2">
            <wp:extent cx="3981450" cy="2442845"/>
            <wp:effectExtent l="0" t="0" r="0" b="1460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E0A8C" w:rsidRDefault="00AE0A8C" w:rsidP="007875B8">
      <w:pPr>
        <w:spacing w:after="0" w:line="240" w:lineRule="auto"/>
        <w:ind w:left="720"/>
      </w:pPr>
      <w:r w:rsidRPr="007875B8">
        <w:rPr>
          <w:b/>
          <w:bCs/>
        </w:rPr>
        <w:t>Interpretation</w:t>
      </w:r>
      <w:r>
        <w:t>: Consistent improvement in overall profitability</w:t>
      </w:r>
      <w:r w:rsidR="008967D1">
        <w:t xml:space="preserve"> s</w:t>
      </w:r>
      <w:r>
        <w:t>light moderation in 2022 but still strong performance</w:t>
      </w:r>
      <w:r w:rsidR="00047269">
        <w:t xml:space="preserve">. </w:t>
      </w:r>
      <w:r w:rsidR="00047269">
        <w:t>Declined slightly from 26% (2021) to 25% (2022). While still strong, it suggests minor pressure on net income growth.</w:t>
      </w:r>
    </w:p>
    <w:p w:rsidR="00AE0A8C" w:rsidRDefault="00AE0A8C" w:rsidP="00AE0A8C">
      <w:pPr>
        <w:pStyle w:val="Heading3"/>
      </w:pPr>
      <w:r>
        <w:t>3. SOLVENCY/DEBT MANAGEMENT</w:t>
      </w:r>
    </w:p>
    <w:p w:rsidR="00AE0A8C" w:rsidRDefault="00AE0A8C" w:rsidP="00AE0A8C">
      <w:pPr>
        <w:pStyle w:val="Heading2"/>
      </w:pPr>
      <w:r>
        <w:t>3.1 Debt to Equity (D/E)</w:t>
      </w:r>
    </w:p>
    <w:p w:rsidR="003806B3" w:rsidRDefault="003806B3" w:rsidP="00AE0A8C">
      <w:pPr>
        <w:pStyle w:val="Heading2"/>
      </w:pPr>
      <w:r>
        <w:rPr>
          <w:noProof/>
        </w:rPr>
        <w:drawing>
          <wp:inline distT="0" distB="0" distL="0" distR="0" wp14:anchorId="284E7A86" wp14:editId="591B4364">
            <wp:extent cx="3924300" cy="2443162"/>
            <wp:effectExtent l="0" t="0" r="0" b="1460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E0A8C" w:rsidRDefault="00AE0A8C" w:rsidP="007875B8">
      <w:pPr>
        <w:spacing w:after="0" w:line="240" w:lineRule="auto"/>
        <w:ind w:left="720"/>
      </w:pPr>
      <w:r w:rsidRPr="007875B8">
        <w:rPr>
          <w:b/>
          <w:bCs/>
        </w:rPr>
        <w:t>Interpretation</w:t>
      </w:r>
      <w:r>
        <w:t>: Rising leverage</w:t>
      </w:r>
      <w:r w:rsidR="008967D1">
        <w:t xml:space="preserve"> i</w:t>
      </w:r>
      <w:r>
        <w:t>ncreased financial risk and reliance on debt financing</w:t>
      </w:r>
      <w:r w:rsidR="00E2561C">
        <w:t xml:space="preserve">. </w:t>
      </w:r>
      <w:r w:rsidR="00E2561C">
        <w:t>Increased substantially to 5.96 in 2022, reflecting growing reliance on debt financing, which raises financial risk.</w:t>
      </w:r>
    </w:p>
    <w:p w:rsidR="00AE0A8C" w:rsidRDefault="00AE0A8C" w:rsidP="00AE0A8C">
      <w:pPr>
        <w:pStyle w:val="Heading2"/>
      </w:pPr>
      <w:r>
        <w:t>3.2 Debt to Total Assets</w:t>
      </w:r>
    </w:p>
    <w:p w:rsidR="003806B3" w:rsidRDefault="003806B3" w:rsidP="00AE0A8C">
      <w:pPr>
        <w:pStyle w:val="Heading2"/>
      </w:pPr>
      <w:r>
        <w:rPr>
          <w:noProof/>
        </w:rPr>
        <w:lastRenderedPageBreak/>
        <w:drawing>
          <wp:inline distT="0" distB="0" distL="0" distR="0" wp14:anchorId="27C4D900" wp14:editId="440FEE33">
            <wp:extent cx="3876675" cy="2481262"/>
            <wp:effectExtent l="0" t="0" r="9525" b="1460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E0A8C" w:rsidRDefault="00AE0A8C" w:rsidP="007875B8">
      <w:pPr>
        <w:spacing w:after="0" w:line="240" w:lineRule="auto"/>
        <w:ind w:left="720"/>
      </w:pPr>
      <w:r w:rsidRPr="007875B8">
        <w:rPr>
          <w:b/>
          <w:bCs/>
        </w:rPr>
        <w:t>Interpretation</w:t>
      </w:r>
      <w:r>
        <w:t>: Growing proportion of assets financed by debt</w:t>
      </w:r>
      <w:r w:rsidR="008967D1">
        <w:t xml:space="preserve"> p</w:t>
      </w:r>
      <w:r>
        <w:t>otential increase in financial vulnerability</w:t>
      </w:r>
      <w:r w:rsidR="00E2561C">
        <w:t xml:space="preserve">. </w:t>
      </w:r>
      <w:r w:rsidR="00E2561C">
        <w:t>Rose slightly to 0.86 in 2022 from 0.82 (2021), showing that a greater proportion of Apple’s assets is funded by debt.</w:t>
      </w:r>
    </w:p>
    <w:p w:rsidR="00AE0A8C" w:rsidRDefault="00AE0A8C" w:rsidP="00AE0A8C">
      <w:pPr>
        <w:pStyle w:val="Heading2"/>
      </w:pPr>
      <w:r>
        <w:t>3.3 Long-term Debt to Capital</w:t>
      </w:r>
    </w:p>
    <w:p w:rsidR="00E9699F" w:rsidRDefault="00E9699F" w:rsidP="00AE0A8C">
      <w:pPr>
        <w:pStyle w:val="Heading2"/>
      </w:pPr>
      <w:r>
        <w:rPr>
          <w:noProof/>
        </w:rPr>
        <w:drawing>
          <wp:inline distT="0" distB="0" distL="0" distR="0" wp14:anchorId="31CE05C8" wp14:editId="4885C5F3">
            <wp:extent cx="3876675" cy="2424112"/>
            <wp:effectExtent l="0" t="0" r="9525" b="1460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9699F" w:rsidRDefault="00E9699F" w:rsidP="007875B8">
      <w:pPr>
        <w:spacing w:after="0" w:line="240" w:lineRule="auto"/>
        <w:ind w:left="720"/>
      </w:pPr>
    </w:p>
    <w:p w:rsidR="00AE0A8C" w:rsidRDefault="00AE0A8C" w:rsidP="007875B8">
      <w:pPr>
        <w:spacing w:after="0" w:line="240" w:lineRule="auto"/>
        <w:ind w:left="720"/>
      </w:pPr>
      <w:r w:rsidRPr="007875B8">
        <w:rPr>
          <w:b/>
          <w:bCs/>
        </w:rPr>
        <w:t>Interpretation</w:t>
      </w:r>
      <w:r>
        <w:t>: Increasing long-term debt proportion</w:t>
      </w:r>
      <w:r w:rsidR="008967D1">
        <w:t xml:space="preserve"> s</w:t>
      </w:r>
      <w:r>
        <w:t>uggests more capital being sourced through long-term borrowing</w:t>
      </w:r>
      <w:r w:rsidR="00E2561C">
        <w:t xml:space="preserve">. </w:t>
      </w:r>
      <w:r w:rsidR="00E2561C">
        <w:t>Increased to 0.66 in 2022, which suggests Apple is leveraging more long-term debt relative to equity and retained earnings.</w:t>
      </w:r>
    </w:p>
    <w:p w:rsidR="00AE0A8C" w:rsidRDefault="00AE0A8C" w:rsidP="00AE0A8C">
      <w:pPr>
        <w:pStyle w:val="Heading2"/>
      </w:pPr>
      <w:r>
        <w:t>3.4 Times Interest Earned</w:t>
      </w:r>
    </w:p>
    <w:p w:rsidR="00E9699F" w:rsidRDefault="00E9699F" w:rsidP="00AE0A8C">
      <w:pPr>
        <w:pStyle w:val="Heading2"/>
      </w:pPr>
      <w:r>
        <w:rPr>
          <w:noProof/>
        </w:rPr>
        <w:lastRenderedPageBreak/>
        <w:drawing>
          <wp:inline distT="0" distB="0" distL="0" distR="0" wp14:anchorId="3E83655C" wp14:editId="12C81792">
            <wp:extent cx="3857625" cy="2424112"/>
            <wp:effectExtent l="0" t="0" r="9525" b="1460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E0A8C" w:rsidRDefault="00AE0A8C" w:rsidP="007875B8">
      <w:pPr>
        <w:spacing w:after="0" w:line="240" w:lineRule="auto"/>
        <w:ind w:left="720"/>
      </w:pPr>
      <w:r w:rsidRPr="007875B8">
        <w:rPr>
          <w:b/>
          <w:bCs/>
        </w:rPr>
        <w:t>Interpretation</w:t>
      </w:r>
      <w:r>
        <w:t>: Excellent ability to cover interest expenses</w:t>
      </w:r>
      <w:r w:rsidR="008967D1">
        <w:t xml:space="preserve"> s</w:t>
      </w:r>
      <w:r>
        <w:t>trong improvement in debt servicing capacity</w:t>
      </w:r>
      <w:r w:rsidR="00E2561C">
        <w:t xml:space="preserve">. </w:t>
      </w:r>
      <w:r w:rsidR="00E2561C">
        <w:t>Improved slightly to 41.69 in 2022, indicating Apple’s strong capacity to meet interest payments despite rising debt levels.</w:t>
      </w:r>
    </w:p>
    <w:p w:rsidR="00AE0A8C" w:rsidRDefault="00AE0A8C" w:rsidP="00AE0A8C">
      <w:pPr>
        <w:pStyle w:val="Heading2"/>
      </w:pPr>
      <w:r>
        <w:t>3.5 Debt Coverage</w:t>
      </w:r>
    </w:p>
    <w:p w:rsidR="00E9699F" w:rsidRDefault="00E9699F" w:rsidP="00AE0A8C">
      <w:pPr>
        <w:pStyle w:val="Heading2"/>
      </w:pPr>
      <w:r>
        <w:rPr>
          <w:noProof/>
        </w:rPr>
        <w:drawing>
          <wp:inline distT="0" distB="0" distL="0" distR="0" wp14:anchorId="51E36A9C" wp14:editId="7E2C7E8B">
            <wp:extent cx="3857625" cy="2386012"/>
            <wp:effectExtent l="0" t="0" r="9525" b="1460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E0A8C" w:rsidRDefault="00AE0A8C" w:rsidP="007875B8">
      <w:pPr>
        <w:spacing w:after="0" w:line="240" w:lineRule="auto"/>
        <w:ind w:left="720"/>
      </w:pPr>
      <w:r w:rsidRPr="007875B8">
        <w:rPr>
          <w:b/>
          <w:bCs/>
        </w:rPr>
        <w:t>Interpretation</w:t>
      </w:r>
      <w:r>
        <w:t>: Significant improvement in debt coverage</w:t>
      </w:r>
      <w:r w:rsidR="008967D1">
        <w:t xml:space="preserve"> i</w:t>
      </w:r>
      <w:r>
        <w:t>ndicates robust ability to meet debt obligations</w:t>
      </w:r>
      <w:r w:rsidR="00E2561C">
        <w:t xml:space="preserve">. </w:t>
      </w:r>
      <w:r w:rsidR="00E2561C">
        <w:t>Remained stable (~9.6), reflecting Apple’s solid ability to cover debt obligations with operating cash flows.</w:t>
      </w:r>
    </w:p>
    <w:p w:rsidR="00AE0A8C" w:rsidRDefault="00AE0A8C" w:rsidP="00AE0A8C">
      <w:pPr>
        <w:pStyle w:val="Heading3"/>
      </w:pPr>
      <w:r>
        <w:t>4. ASSET UTILIZATION</w:t>
      </w:r>
    </w:p>
    <w:p w:rsidR="00AE0A8C" w:rsidRDefault="00AE0A8C" w:rsidP="00AE0A8C">
      <w:pPr>
        <w:pStyle w:val="Heading2"/>
      </w:pPr>
      <w:r>
        <w:t>4.1 Total Asset Turnover</w:t>
      </w:r>
    </w:p>
    <w:p w:rsidR="00E9699F" w:rsidRDefault="00E9699F" w:rsidP="00AE0A8C">
      <w:pPr>
        <w:pStyle w:val="Heading2"/>
      </w:pPr>
      <w:r>
        <w:rPr>
          <w:noProof/>
        </w:rPr>
        <w:lastRenderedPageBreak/>
        <w:drawing>
          <wp:inline distT="0" distB="0" distL="0" distR="0" wp14:anchorId="6C6CB4E3" wp14:editId="0C105DFC">
            <wp:extent cx="3886200" cy="2395537"/>
            <wp:effectExtent l="0" t="0" r="0" b="508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E0A8C" w:rsidRDefault="00AE0A8C" w:rsidP="007875B8">
      <w:pPr>
        <w:spacing w:after="0" w:line="240" w:lineRule="auto"/>
        <w:ind w:left="720"/>
      </w:pPr>
      <w:r w:rsidRPr="007875B8">
        <w:rPr>
          <w:b/>
          <w:bCs/>
        </w:rPr>
        <w:t>Interpretation</w:t>
      </w:r>
      <w:r>
        <w:t>: Reduced efficiency in asset utilization</w:t>
      </w:r>
      <w:r w:rsidR="008967D1">
        <w:t xml:space="preserve"> s</w:t>
      </w:r>
      <w:r>
        <w:t>uggests potential need for more effective asset deployment</w:t>
      </w:r>
      <w:r w:rsidR="00D0599F">
        <w:t xml:space="preserve">. </w:t>
      </w:r>
      <w:r w:rsidR="00D0599F">
        <w:t>Declined from 1.70 (2020) to 1.12 (2022), signaling lower efficiency in generating revenue from total assets.</w:t>
      </w:r>
    </w:p>
    <w:p w:rsidR="00AE0A8C" w:rsidRDefault="00AE0A8C" w:rsidP="00AE0A8C">
      <w:pPr>
        <w:pStyle w:val="Heading2"/>
      </w:pPr>
      <w:r>
        <w:t>4.2 Fixed Asset Turnover</w:t>
      </w:r>
    </w:p>
    <w:p w:rsidR="00E9699F" w:rsidRDefault="00E9699F" w:rsidP="00AE0A8C">
      <w:pPr>
        <w:pStyle w:val="Heading2"/>
      </w:pPr>
      <w:r>
        <w:rPr>
          <w:noProof/>
        </w:rPr>
        <w:drawing>
          <wp:inline distT="0" distB="0" distL="0" distR="0" wp14:anchorId="7C89D7C8" wp14:editId="228DF9D2">
            <wp:extent cx="3848100" cy="2433320"/>
            <wp:effectExtent l="0" t="0" r="0" b="508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E0A8C" w:rsidRDefault="00AE0A8C" w:rsidP="007875B8">
      <w:pPr>
        <w:spacing w:after="0" w:line="240" w:lineRule="auto"/>
        <w:ind w:left="720"/>
      </w:pPr>
      <w:r w:rsidRPr="007875B8">
        <w:rPr>
          <w:b/>
          <w:bCs/>
        </w:rPr>
        <w:t>Interpretation</w:t>
      </w:r>
      <w:r>
        <w:t>: Decreased efficiency in fixed asset usage</w:t>
      </w:r>
      <w:r w:rsidR="008967D1">
        <w:t xml:space="preserve"> i</w:t>
      </w:r>
      <w:r>
        <w:t>ndicates potential overcapitalization or underutilization</w:t>
      </w:r>
      <w:r w:rsidR="00D0599F">
        <w:t xml:space="preserve">. </w:t>
      </w:r>
      <w:r w:rsidR="00D0599F">
        <w:t>Dropped significantly from 3.05 (2020) to 1.82 (2022), indicating potential underutilization of fixed assets or slower revenue growth relative to investments.</w:t>
      </w:r>
    </w:p>
    <w:p w:rsidR="00AE0A8C" w:rsidRDefault="00AE0A8C" w:rsidP="00AE0A8C">
      <w:pPr>
        <w:pStyle w:val="Heading2"/>
      </w:pPr>
      <w:r>
        <w:t>4.3 Inventory Turnover</w:t>
      </w:r>
    </w:p>
    <w:p w:rsidR="00E9699F" w:rsidRDefault="00E9699F" w:rsidP="00AE0A8C">
      <w:pPr>
        <w:pStyle w:val="Heading2"/>
      </w:pPr>
      <w:r>
        <w:rPr>
          <w:noProof/>
        </w:rPr>
        <w:lastRenderedPageBreak/>
        <w:drawing>
          <wp:inline distT="0" distB="0" distL="0" distR="0" wp14:anchorId="41470B5F" wp14:editId="45155E72">
            <wp:extent cx="3886200" cy="2414587"/>
            <wp:effectExtent l="0" t="0" r="0" b="508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E0A8C" w:rsidRDefault="00AE0A8C" w:rsidP="007875B8">
      <w:pPr>
        <w:spacing w:after="0" w:line="240" w:lineRule="auto"/>
        <w:ind w:left="720"/>
      </w:pPr>
      <w:r w:rsidRPr="007875B8">
        <w:rPr>
          <w:b/>
          <w:bCs/>
        </w:rPr>
        <w:t>Interpretation</w:t>
      </w:r>
      <w:r>
        <w:t>: Reduced inventory turnover</w:t>
      </w:r>
      <w:r w:rsidR="008967D1">
        <w:t xml:space="preserve"> s</w:t>
      </w:r>
      <w:r>
        <w:t>uggests changes in inventory management strategy</w:t>
      </w:r>
      <w:r w:rsidR="00D0599F">
        <w:t xml:space="preserve">. </w:t>
      </w:r>
      <w:r w:rsidR="00D0599F">
        <w:t>Steady improvement from 2020 (83.51) to 2022 (38.79), showcasing better inventory management and faster stock movement.</w:t>
      </w:r>
    </w:p>
    <w:p w:rsidR="00AE0A8C" w:rsidRDefault="00AE0A8C" w:rsidP="00AE0A8C">
      <w:pPr>
        <w:pStyle w:val="Heading2"/>
      </w:pPr>
      <w:r>
        <w:t>4.4 Return on Assets (ROA)</w:t>
      </w:r>
    </w:p>
    <w:p w:rsidR="00E9699F" w:rsidRDefault="00E9699F" w:rsidP="00AE0A8C">
      <w:pPr>
        <w:pStyle w:val="Heading2"/>
      </w:pPr>
      <w:r>
        <w:rPr>
          <w:noProof/>
        </w:rPr>
        <w:drawing>
          <wp:inline distT="0" distB="0" distL="0" distR="0" wp14:anchorId="524C8F10" wp14:editId="3599F8D6">
            <wp:extent cx="4038600" cy="2509837"/>
            <wp:effectExtent l="0" t="0" r="0" b="508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E0A8C" w:rsidRDefault="00AE0A8C" w:rsidP="007875B8">
      <w:pPr>
        <w:spacing w:after="0" w:line="240" w:lineRule="auto"/>
        <w:ind w:left="720"/>
      </w:pPr>
      <w:r w:rsidRPr="007875B8">
        <w:t>Interpretation</w:t>
      </w:r>
      <w:r>
        <w:t>: Consistent improvement in asset profitability</w:t>
      </w:r>
      <w:r w:rsidR="008967D1">
        <w:t xml:space="preserve"> d</w:t>
      </w:r>
      <w:r>
        <w:t>emonstrates effective asset utilization for generating profits</w:t>
      </w:r>
      <w:r w:rsidR="00D0599F">
        <w:t xml:space="preserve">. </w:t>
      </w:r>
      <w:r w:rsidR="00D0599F">
        <w:t>ROA improved from 0.20 (2020) to 0.34 (2022), reflecting enhanced profitability from the company’s asset base.</w:t>
      </w:r>
    </w:p>
    <w:p w:rsidR="00AE0A8C" w:rsidRDefault="00AE0A8C" w:rsidP="00AE0A8C">
      <w:pPr>
        <w:pStyle w:val="Heading3"/>
      </w:pPr>
      <w:r>
        <w:t>5. INVESTOR/MARKET RATIOS</w:t>
      </w:r>
    </w:p>
    <w:p w:rsidR="00AE0A8C" w:rsidRDefault="00AE0A8C" w:rsidP="00AE0A8C">
      <w:pPr>
        <w:pStyle w:val="Heading2"/>
      </w:pPr>
      <w:r>
        <w:t xml:space="preserve">5.2 Earnings </w:t>
      </w:r>
      <w:proofErr w:type="gramStart"/>
      <w:r>
        <w:t>Per</w:t>
      </w:r>
      <w:proofErr w:type="gramEnd"/>
      <w:r>
        <w:t xml:space="preserve"> Share (EPS)</w:t>
      </w:r>
    </w:p>
    <w:p w:rsidR="00A63FF4" w:rsidRDefault="00A63FF4" w:rsidP="00AE0A8C">
      <w:pPr>
        <w:pStyle w:val="Heading2"/>
      </w:pPr>
      <w:r>
        <w:rPr>
          <w:noProof/>
        </w:rPr>
        <w:lastRenderedPageBreak/>
        <w:drawing>
          <wp:inline distT="0" distB="0" distL="0" distR="0" wp14:anchorId="629DD531" wp14:editId="3681BB80">
            <wp:extent cx="3881438" cy="2328862"/>
            <wp:effectExtent l="0" t="0" r="5080"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E0A8C" w:rsidRDefault="00AE0A8C" w:rsidP="007875B8">
      <w:pPr>
        <w:spacing w:after="0" w:line="240" w:lineRule="auto"/>
        <w:ind w:left="720"/>
      </w:pPr>
      <w:r w:rsidRPr="007875B8">
        <w:rPr>
          <w:b/>
          <w:bCs/>
        </w:rPr>
        <w:t>Interpretation</w:t>
      </w:r>
      <w:r>
        <w:t>: Strong and consistent EPS growth</w:t>
      </w:r>
      <w:r w:rsidR="008967D1">
        <w:t xml:space="preserve"> i</w:t>
      </w:r>
      <w:r>
        <w:t>ndicates improving profitability and shareholder value</w:t>
      </w:r>
      <w:r w:rsidR="00D0599F">
        <w:t xml:space="preserve">. </w:t>
      </w:r>
      <w:r w:rsidR="00D0599F">
        <w:t>Increased steadily to $6.15 in 2022, supported by improved profitability and effective share management.</w:t>
      </w:r>
    </w:p>
    <w:p w:rsidR="00AE0A8C" w:rsidRDefault="00AE0A8C" w:rsidP="00AE0A8C">
      <w:pPr>
        <w:pStyle w:val="Heading2"/>
      </w:pPr>
      <w:r>
        <w:t>5.5 Dividend Payout Ratio</w:t>
      </w:r>
    </w:p>
    <w:p w:rsidR="00A63FF4" w:rsidRDefault="00A63FF4" w:rsidP="00AE0A8C">
      <w:pPr>
        <w:pStyle w:val="Heading2"/>
      </w:pPr>
      <w:r>
        <w:rPr>
          <w:noProof/>
        </w:rPr>
        <w:drawing>
          <wp:inline distT="0" distB="0" distL="0" distR="0" wp14:anchorId="5A7F4281" wp14:editId="120C0EF0">
            <wp:extent cx="3881120" cy="2480945"/>
            <wp:effectExtent l="0" t="0" r="5080" b="1460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E0A8C" w:rsidRDefault="00AE0A8C" w:rsidP="007875B8">
      <w:pPr>
        <w:spacing w:after="0" w:line="240" w:lineRule="auto"/>
        <w:ind w:left="720"/>
      </w:pPr>
      <w:r w:rsidRPr="007875B8">
        <w:rPr>
          <w:b/>
          <w:bCs/>
        </w:rPr>
        <w:t>Interpretation</w:t>
      </w:r>
      <w:r>
        <w:t>: Reduced dividend distribution</w:t>
      </w:r>
      <w:r w:rsidR="008967D1">
        <w:t xml:space="preserve"> s</w:t>
      </w:r>
      <w:r>
        <w:t>uggests retention of earnings for reinvestment</w:t>
      </w:r>
    </w:p>
    <w:p w:rsidR="00AE0A8C" w:rsidRDefault="00AE0A8C" w:rsidP="00AE0A8C">
      <w:pPr>
        <w:pStyle w:val="Heading2"/>
      </w:pPr>
      <w:r>
        <w:t xml:space="preserve">5.6 Dividend </w:t>
      </w:r>
      <w:proofErr w:type="gramStart"/>
      <w:r>
        <w:t>Per</w:t>
      </w:r>
      <w:proofErr w:type="gramEnd"/>
      <w:r>
        <w:t xml:space="preserve"> Share</w:t>
      </w:r>
    </w:p>
    <w:p w:rsidR="00A63FF4" w:rsidRDefault="00A63FF4" w:rsidP="00AE0A8C">
      <w:pPr>
        <w:pStyle w:val="Heading2"/>
      </w:pPr>
      <w:r>
        <w:rPr>
          <w:noProof/>
        </w:rPr>
        <w:lastRenderedPageBreak/>
        <w:drawing>
          <wp:inline distT="0" distB="0" distL="0" distR="0" wp14:anchorId="681D8417" wp14:editId="0216B8E3">
            <wp:extent cx="4014788" cy="2528887"/>
            <wp:effectExtent l="0" t="0" r="5080" b="508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E0A8C" w:rsidRDefault="00AE0A8C" w:rsidP="007875B8">
      <w:pPr>
        <w:spacing w:after="0" w:line="240" w:lineRule="auto"/>
        <w:ind w:left="720"/>
      </w:pPr>
      <w:r w:rsidRPr="007875B8">
        <w:rPr>
          <w:b/>
          <w:bCs/>
        </w:rPr>
        <w:t>Interpretation</w:t>
      </w:r>
      <w:r>
        <w:t>: Consistent growth in dividend payments</w:t>
      </w:r>
      <w:r w:rsidR="008967D1">
        <w:t xml:space="preserve"> d</w:t>
      </w:r>
      <w:r>
        <w:t>emonstrates commitment to shareholder returns</w:t>
      </w:r>
      <w:r w:rsidR="00D0599F">
        <w:t xml:space="preserve">. </w:t>
      </w:r>
      <w:r w:rsidR="00D0599F">
        <w:t>Grew from $0.81 (2020) to $0.92 (2022), aligning with the company’s earnings growth.</w:t>
      </w:r>
    </w:p>
    <w:p w:rsidR="00AE0A8C" w:rsidRDefault="00AE0A8C" w:rsidP="00AE0A8C">
      <w:pPr>
        <w:pStyle w:val="Heading2"/>
      </w:pPr>
      <w:r>
        <w:t>Additional Investor Metrics</w:t>
      </w:r>
    </w:p>
    <w:p w:rsidR="00AE0A8C" w:rsidRPr="00B139CA" w:rsidRDefault="00AE0A8C" w:rsidP="00AE0A8C">
      <w:pPr>
        <w:pStyle w:val="Heading5"/>
        <w:rPr>
          <w:rFonts w:ascii="Times New Roman" w:eastAsia="Times New Roman" w:hAnsi="Times New Roman" w:cs="Times New Roman"/>
          <w:b/>
          <w:bCs/>
          <w:color w:val="auto"/>
          <w:sz w:val="36"/>
          <w:szCs w:val="36"/>
        </w:rPr>
      </w:pPr>
      <w:r w:rsidRPr="00B139CA">
        <w:rPr>
          <w:rFonts w:ascii="Times New Roman" w:eastAsia="Times New Roman" w:hAnsi="Times New Roman" w:cs="Times New Roman"/>
          <w:b/>
          <w:bCs/>
          <w:color w:val="auto"/>
          <w:sz w:val="36"/>
          <w:szCs w:val="36"/>
        </w:rPr>
        <w:t>Return on Equity (ROE)</w:t>
      </w:r>
    </w:p>
    <w:p w:rsidR="00B139CA" w:rsidRPr="00B139CA" w:rsidRDefault="00B139CA" w:rsidP="00B139CA">
      <w:r>
        <w:rPr>
          <w:noProof/>
        </w:rPr>
        <w:drawing>
          <wp:inline distT="0" distB="0" distL="0" distR="0" wp14:anchorId="436901EB" wp14:editId="16633924">
            <wp:extent cx="4033838" cy="2443162"/>
            <wp:effectExtent l="0" t="0" r="5080" b="1460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E0A8C" w:rsidRDefault="00AE0A8C" w:rsidP="007875B8">
      <w:pPr>
        <w:spacing w:after="0" w:line="240" w:lineRule="auto"/>
        <w:ind w:left="720"/>
      </w:pPr>
      <w:r w:rsidRPr="007875B8">
        <w:rPr>
          <w:b/>
          <w:bCs/>
        </w:rPr>
        <w:t>Interpretation</w:t>
      </w:r>
      <w:r>
        <w:t>: Improving shareholder returns</w:t>
      </w:r>
      <w:r w:rsidR="0097047A">
        <w:t xml:space="preserve"> i</w:t>
      </w:r>
      <w:r>
        <w:t>ndicates more efficient use of equity capital</w:t>
      </w:r>
      <w:r w:rsidR="00D0599F">
        <w:t xml:space="preserve">. </w:t>
      </w:r>
      <w:r w:rsidR="00D0599F">
        <w:t>Improved significantly to 1.97 (2022) from 0.88 (2020), reflecting strong shareholder returns driven by growing net income.</w:t>
      </w:r>
    </w:p>
    <w:p w:rsidR="00AE0A8C" w:rsidRDefault="00AE0A8C" w:rsidP="00AE0A8C">
      <w:pPr>
        <w:pStyle w:val="Heading5"/>
        <w:rPr>
          <w:color w:val="auto"/>
        </w:rPr>
      </w:pPr>
      <w:r w:rsidRPr="00B139CA">
        <w:rPr>
          <w:rFonts w:ascii="Times New Roman" w:eastAsia="Times New Roman" w:hAnsi="Times New Roman" w:cs="Times New Roman"/>
          <w:b/>
          <w:bCs/>
          <w:color w:val="auto"/>
          <w:sz w:val="36"/>
          <w:szCs w:val="36"/>
        </w:rPr>
        <w:lastRenderedPageBreak/>
        <w:t>Return on Capital Employed (ROCE)</w:t>
      </w:r>
    </w:p>
    <w:p w:rsidR="00B139CA" w:rsidRPr="00B139CA" w:rsidRDefault="00B139CA" w:rsidP="00B139CA">
      <w:r>
        <w:rPr>
          <w:noProof/>
        </w:rPr>
        <w:drawing>
          <wp:inline distT="0" distB="0" distL="0" distR="0" wp14:anchorId="25E0A92C" wp14:editId="7F718A0C">
            <wp:extent cx="3986213" cy="2452687"/>
            <wp:effectExtent l="0" t="0" r="14605" b="508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E0A8C" w:rsidRDefault="00AE0A8C" w:rsidP="007875B8">
      <w:pPr>
        <w:spacing w:after="0" w:line="240" w:lineRule="auto"/>
        <w:ind w:left="720"/>
      </w:pPr>
      <w:r w:rsidRPr="007875B8">
        <w:rPr>
          <w:b/>
          <w:bCs/>
        </w:rPr>
        <w:t>Interpretation</w:t>
      </w:r>
      <w:r>
        <w:t>: Significant improvement in capital utilization</w:t>
      </w:r>
      <w:r w:rsidR="0097047A">
        <w:t xml:space="preserve"> d</w:t>
      </w:r>
      <w:r>
        <w:t>emonstrates enhanced efficiency in generating returns</w:t>
      </w:r>
      <w:r w:rsidR="00D0599F">
        <w:t xml:space="preserve">. </w:t>
      </w:r>
      <w:r w:rsidR="00D0599F">
        <w:t>Increased from 0.30 (2020) to 0.60 (2022), suggesting more efficient use of capital to generate returns.</w:t>
      </w:r>
    </w:p>
    <w:p w:rsidR="004351F5" w:rsidRPr="00AE0A8C" w:rsidRDefault="0096102A" w:rsidP="00AE0A8C"/>
    <w:sectPr w:rsidR="004351F5" w:rsidRPr="00AE0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65361"/>
    <w:multiLevelType w:val="multilevel"/>
    <w:tmpl w:val="E660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62CE1"/>
    <w:multiLevelType w:val="multilevel"/>
    <w:tmpl w:val="DC0AE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234347"/>
    <w:multiLevelType w:val="multilevel"/>
    <w:tmpl w:val="56AA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E04623"/>
    <w:multiLevelType w:val="multilevel"/>
    <w:tmpl w:val="D882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04E62"/>
    <w:multiLevelType w:val="multilevel"/>
    <w:tmpl w:val="847E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426E78"/>
    <w:multiLevelType w:val="multilevel"/>
    <w:tmpl w:val="774C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2D4556"/>
    <w:multiLevelType w:val="multilevel"/>
    <w:tmpl w:val="5C64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596233"/>
    <w:multiLevelType w:val="multilevel"/>
    <w:tmpl w:val="0BB2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5A7E7D"/>
    <w:multiLevelType w:val="multilevel"/>
    <w:tmpl w:val="A3CA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8806EA"/>
    <w:multiLevelType w:val="multilevel"/>
    <w:tmpl w:val="DD1E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406C3D"/>
    <w:multiLevelType w:val="multilevel"/>
    <w:tmpl w:val="7BE6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843EE5"/>
    <w:multiLevelType w:val="multilevel"/>
    <w:tmpl w:val="2434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1C3508"/>
    <w:multiLevelType w:val="multilevel"/>
    <w:tmpl w:val="451C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116223"/>
    <w:multiLevelType w:val="multilevel"/>
    <w:tmpl w:val="4CE41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F30CE5"/>
    <w:multiLevelType w:val="multilevel"/>
    <w:tmpl w:val="BAE0B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A4688E"/>
    <w:multiLevelType w:val="multilevel"/>
    <w:tmpl w:val="A7C2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4E3EA7"/>
    <w:multiLevelType w:val="multilevel"/>
    <w:tmpl w:val="806C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874603"/>
    <w:multiLevelType w:val="multilevel"/>
    <w:tmpl w:val="4C4A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2D1EF1"/>
    <w:multiLevelType w:val="multilevel"/>
    <w:tmpl w:val="6C6E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AA09BB"/>
    <w:multiLevelType w:val="multilevel"/>
    <w:tmpl w:val="ED24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0743F4"/>
    <w:multiLevelType w:val="multilevel"/>
    <w:tmpl w:val="6C324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613F30"/>
    <w:multiLevelType w:val="multilevel"/>
    <w:tmpl w:val="A1D8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A4026E"/>
    <w:multiLevelType w:val="multilevel"/>
    <w:tmpl w:val="BFAA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502076"/>
    <w:multiLevelType w:val="multilevel"/>
    <w:tmpl w:val="0290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9B1243"/>
    <w:multiLevelType w:val="multilevel"/>
    <w:tmpl w:val="86A6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6A23FC"/>
    <w:multiLevelType w:val="multilevel"/>
    <w:tmpl w:val="8A0E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141980"/>
    <w:multiLevelType w:val="multilevel"/>
    <w:tmpl w:val="0B38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9A16E4"/>
    <w:multiLevelType w:val="multilevel"/>
    <w:tmpl w:val="D4F41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3F0C20"/>
    <w:multiLevelType w:val="multilevel"/>
    <w:tmpl w:val="A348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C16A93"/>
    <w:multiLevelType w:val="multilevel"/>
    <w:tmpl w:val="B6D21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CB462F"/>
    <w:multiLevelType w:val="multilevel"/>
    <w:tmpl w:val="7EA2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590EEC"/>
    <w:multiLevelType w:val="multilevel"/>
    <w:tmpl w:val="71EE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624FB3"/>
    <w:multiLevelType w:val="multilevel"/>
    <w:tmpl w:val="BCF8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FE0265"/>
    <w:multiLevelType w:val="multilevel"/>
    <w:tmpl w:val="315AB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27"/>
  </w:num>
  <w:num w:numId="4">
    <w:abstractNumId w:val="29"/>
  </w:num>
  <w:num w:numId="5">
    <w:abstractNumId w:val="33"/>
  </w:num>
  <w:num w:numId="6">
    <w:abstractNumId w:val="1"/>
  </w:num>
  <w:num w:numId="7">
    <w:abstractNumId w:val="21"/>
  </w:num>
  <w:num w:numId="8">
    <w:abstractNumId w:val="2"/>
  </w:num>
  <w:num w:numId="9">
    <w:abstractNumId w:val="9"/>
  </w:num>
  <w:num w:numId="10">
    <w:abstractNumId w:val="5"/>
  </w:num>
  <w:num w:numId="11">
    <w:abstractNumId w:val="32"/>
  </w:num>
  <w:num w:numId="12">
    <w:abstractNumId w:val="6"/>
  </w:num>
  <w:num w:numId="13">
    <w:abstractNumId w:val="11"/>
  </w:num>
  <w:num w:numId="14">
    <w:abstractNumId w:val="28"/>
  </w:num>
  <w:num w:numId="15">
    <w:abstractNumId w:val="8"/>
  </w:num>
  <w:num w:numId="16">
    <w:abstractNumId w:val="18"/>
  </w:num>
  <w:num w:numId="17">
    <w:abstractNumId w:val="30"/>
  </w:num>
  <w:num w:numId="18">
    <w:abstractNumId w:val="7"/>
  </w:num>
  <w:num w:numId="19">
    <w:abstractNumId w:val="16"/>
  </w:num>
  <w:num w:numId="20">
    <w:abstractNumId w:val="19"/>
  </w:num>
  <w:num w:numId="21">
    <w:abstractNumId w:val="12"/>
  </w:num>
  <w:num w:numId="22">
    <w:abstractNumId w:val="22"/>
  </w:num>
  <w:num w:numId="23">
    <w:abstractNumId w:val="23"/>
  </w:num>
  <w:num w:numId="24">
    <w:abstractNumId w:val="15"/>
  </w:num>
  <w:num w:numId="25">
    <w:abstractNumId w:val="4"/>
  </w:num>
  <w:num w:numId="26">
    <w:abstractNumId w:val="25"/>
  </w:num>
  <w:num w:numId="27">
    <w:abstractNumId w:val="17"/>
  </w:num>
  <w:num w:numId="28">
    <w:abstractNumId w:val="0"/>
  </w:num>
  <w:num w:numId="29">
    <w:abstractNumId w:val="3"/>
  </w:num>
  <w:num w:numId="30">
    <w:abstractNumId w:val="31"/>
  </w:num>
  <w:num w:numId="31">
    <w:abstractNumId w:val="24"/>
  </w:num>
  <w:num w:numId="32">
    <w:abstractNumId w:val="26"/>
  </w:num>
  <w:num w:numId="33">
    <w:abstractNumId w:val="1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8C"/>
    <w:rsid w:val="00047269"/>
    <w:rsid w:val="0007209C"/>
    <w:rsid w:val="00094B88"/>
    <w:rsid w:val="00107DCC"/>
    <w:rsid w:val="00251B7E"/>
    <w:rsid w:val="0027560C"/>
    <w:rsid w:val="003806B3"/>
    <w:rsid w:val="004528F8"/>
    <w:rsid w:val="004E2871"/>
    <w:rsid w:val="00561C5B"/>
    <w:rsid w:val="00687B40"/>
    <w:rsid w:val="00724D2D"/>
    <w:rsid w:val="00775833"/>
    <w:rsid w:val="007875B8"/>
    <w:rsid w:val="00817BE5"/>
    <w:rsid w:val="008967D1"/>
    <w:rsid w:val="0096102A"/>
    <w:rsid w:val="0097047A"/>
    <w:rsid w:val="00A63FF4"/>
    <w:rsid w:val="00AE0A8C"/>
    <w:rsid w:val="00B139CA"/>
    <w:rsid w:val="00B143F7"/>
    <w:rsid w:val="00B772BE"/>
    <w:rsid w:val="00B86AFF"/>
    <w:rsid w:val="00C23A1C"/>
    <w:rsid w:val="00D0599F"/>
    <w:rsid w:val="00D95B13"/>
    <w:rsid w:val="00E2561C"/>
    <w:rsid w:val="00E810E8"/>
    <w:rsid w:val="00E9699F"/>
    <w:rsid w:val="00F40A8E"/>
    <w:rsid w:val="00FB0C67"/>
    <w:rsid w:val="00FE5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CC9A5-F1A7-4DF8-8101-1855B15C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E0A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E0A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AE0A8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0A8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E0A8C"/>
    <w:rPr>
      <w:rFonts w:ascii="Times New Roman" w:eastAsia="Times New Roman" w:hAnsi="Times New Roman" w:cs="Times New Roman"/>
      <w:b/>
      <w:bCs/>
      <w:sz w:val="27"/>
      <w:szCs w:val="27"/>
    </w:rPr>
  </w:style>
  <w:style w:type="character" w:styleId="Strong">
    <w:name w:val="Strong"/>
    <w:basedOn w:val="DefaultParagraphFont"/>
    <w:uiPriority w:val="22"/>
    <w:qFormat/>
    <w:rsid w:val="00AE0A8C"/>
    <w:rPr>
      <w:b/>
      <w:bCs/>
    </w:rPr>
  </w:style>
  <w:style w:type="paragraph" w:customStyle="1" w:styleId="whitespace-pre-wrap">
    <w:name w:val="whitespace-pre-wrap"/>
    <w:basedOn w:val="Normal"/>
    <w:rsid w:val="00AE0A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AE0A8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639863">
      <w:bodyDiv w:val="1"/>
      <w:marLeft w:val="0"/>
      <w:marRight w:val="0"/>
      <w:marTop w:val="0"/>
      <w:marBottom w:val="0"/>
      <w:divBdr>
        <w:top w:val="none" w:sz="0" w:space="0" w:color="auto"/>
        <w:left w:val="none" w:sz="0" w:space="0" w:color="auto"/>
        <w:bottom w:val="none" w:sz="0" w:space="0" w:color="auto"/>
        <w:right w:val="none" w:sz="0" w:space="0" w:color="auto"/>
      </w:divBdr>
    </w:div>
    <w:div w:id="119106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9.xml"/><Relationship Id="rId18" Type="http://schemas.openxmlformats.org/officeDocument/2006/relationships/chart" Target="charts/chart14.xml"/><Relationship Id="rId26" Type="http://schemas.openxmlformats.org/officeDocument/2006/relationships/chart" Target="charts/chart22.xml"/><Relationship Id="rId3" Type="http://schemas.openxmlformats.org/officeDocument/2006/relationships/settings" Target="settings.xml"/><Relationship Id="rId21" Type="http://schemas.openxmlformats.org/officeDocument/2006/relationships/chart" Target="charts/chart17.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5" Type="http://schemas.openxmlformats.org/officeDocument/2006/relationships/chart" Target="charts/chart2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12.xml"/><Relationship Id="rId20" Type="http://schemas.openxmlformats.org/officeDocument/2006/relationships/chart" Target="charts/chart16.xml"/><Relationship Id="rId29" Type="http://schemas.openxmlformats.org/officeDocument/2006/relationships/chart" Target="charts/chart25.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24" Type="http://schemas.openxmlformats.org/officeDocument/2006/relationships/chart" Target="charts/chart20.xml"/><Relationship Id="rId32" Type="http://schemas.openxmlformats.org/officeDocument/2006/relationships/fontTable" Target="fontTable.xml"/><Relationship Id="rId5" Type="http://schemas.openxmlformats.org/officeDocument/2006/relationships/chart" Target="charts/chart1.xml"/><Relationship Id="rId15" Type="http://schemas.openxmlformats.org/officeDocument/2006/relationships/chart" Target="charts/chart11.xml"/><Relationship Id="rId23" Type="http://schemas.openxmlformats.org/officeDocument/2006/relationships/chart" Target="charts/chart19.xml"/><Relationship Id="rId28" Type="http://schemas.openxmlformats.org/officeDocument/2006/relationships/chart" Target="charts/chart24.xml"/><Relationship Id="rId10" Type="http://schemas.openxmlformats.org/officeDocument/2006/relationships/chart" Target="charts/chart6.xml"/><Relationship Id="rId19" Type="http://schemas.openxmlformats.org/officeDocument/2006/relationships/chart" Target="charts/chart15.xml"/><Relationship Id="rId31" Type="http://schemas.openxmlformats.org/officeDocument/2006/relationships/chart" Target="charts/chart27.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 Id="rId22" Type="http://schemas.openxmlformats.org/officeDocument/2006/relationships/chart" Target="charts/chart18.xml"/><Relationship Id="rId27" Type="http://schemas.openxmlformats.org/officeDocument/2006/relationships/chart" Target="charts/chart23.xml"/><Relationship Id="rId30" Type="http://schemas.openxmlformats.org/officeDocument/2006/relationships/chart" Target="charts/chart26.xml"/><Relationship Id="rId8"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g\Documents\Boo.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cg\Documents\Boo.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cg\Documents\Boo.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cg\Documents\Boo.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cg\Documents\Boo.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cg\Documents\Boo.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cg\Documents\Boo.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cg\Documents\Boo.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cg\Documents\Boo.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cg\Documents\Boo.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cg\Documents\Boo.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g\Documents\Boo.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cg\Documents\Boo.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cg\Documents\Boo.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cg\Documents\Boo.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cg\Downloads\Task%201%20Ratio%20Calculations%20(1).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cg\Downloads\Task%201%20Ratio%20Calculations%20(1).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cg\Downloads\Task%201%20Ratio%20Calculations%20(1).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cg\Downloads\Task%201%20Ratio%20Calculations%20(1).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cg\Downloads\Task%201%20Ratio%20Calculations%20(1).xlsx" TargetMode="External"/><Relationship Id="rId2" Type="http://schemas.microsoft.com/office/2011/relationships/chartColorStyle" Target="colors27.xml"/><Relationship Id="rId1" Type="http://schemas.microsoft.com/office/2011/relationships/chartStyle" Target="style27.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g\Documents\Bo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g\Documents\Boo.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cg\Documents\Boo.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cg\Documents\Boo.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cg\Documents\Boo.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cg\Documents\Boo.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cg\Downloads\Task%201%20Ratio%20Calculations%20(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Liquidity Ratio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multiLvlStrRef>
              <c:f>Sheet1!$O$2:$Q$3</c:f>
              <c:multiLvlStrCache>
                <c:ptCount val="3"/>
                <c:lvl>
                  <c:pt idx="0">
                    <c:v>2022</c:v>
                  </c:pt>
                  <c:pt idx="1">
                    <c:v>2021</c:v>
                  </c:pt>
                  <c:pt idx="2">
                    <c:v>2020</c:v>
                  </c:pt>
                </c:lvl>
                <c:lvl>
                  <c:pt idx="0">
                    <c:v>Current ratio</c:v>
                  </c:pt>
                </c:lvl>
              </c:multiLvlStrCache>
            </c:multiLvlStrRef>
          </c:cat>
          <c:val>
            <c:numRef>
              <c:f>Sheet1!$O$4:$Q$4</c:f>
              <c:numCache>
                <c:formatCode>0.00</c:formatCode>
                <c:ptCount val="3"/>
                <c:pt idx="0">
                  <c:v>0.87935602862672257</c:v>
                </c:pt>
                <c:pt idx="1">
                  <c:v>1.0745531195957954</c:v>
                </c:pt>
                <c:pt idx="2">
                  <c:v>1.3636044481554577</c:v>
                </c:pt>
              </c:numCache>
            </c:numRef>
          </c:val>
        </c:ser>
        <c:dLbls>
          <c:dLblPos val="outEnd"/>
          <c:showLegendKey val="0"/>
          <c:showVal val="1"/>
          <c:showCatName val="0"/>
          <c:showSerName val="0"/>
          <c:showPercent val="0"/>
          <c:showBubbleSize val="0"/>
        </c:dLbls>
        <c:gapWidth val="219"/>
        <c:overlap val="-27"/>
        <c:axId val="-1419624320"/>
        <c:axId val="-1419617248"/>
      </c:barChart>
      <c:catAx>
        <c:axId val="-1419624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9617248"/>
        <c:crosses val="autoZero"/>
        <c:auto val="1"/>
        <c:lblAlgn val="ctr"/>
        <c:lblOffset val="100"/>
        <c:noMultiLvlLbl val="0"/>
      </c:catAx>
      <c:valAx>
        <c:axId val="-14196172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9624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Gross Margin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multiLvlStrRef>
              <c:f>Sheet1!$S$11:$U$12</c:f>
              <c:multiLvlStrCache>
                <c:ptCount val="3"/>
                <c:lvl>
                  <c:pt idx="0">
                    <c:v>2022</c:v>
                  </c:pt>
                  <c:pt idx="1">
                    <c:v>2021</c:v>
                  </c:pt>
                  <c:pt idx="2">
                    <c:v>2020</c:v>
                  </c:pt>
                </c:lvl>
                <c:lvl>
                  <c:pt idx="0">
                    <c:v>Gross margin</c:v>
                  </c:pt>
                </c:lvl>
              </c:multiLvlStrCache>
            </c:multiLvlStrRef>
          </c:cat>
          <c:val>
            <c:numRef>
              <c:f>Sheet1!$S$13:$U$13</c:f>
              <c:numCache>
                <c:formatCode>0.00</c:formatCode>
                <c:ptCount val="3"/>
                <c:pt idx="0">
                  <c:v>0.43309630561360085</c:v>
                </c:pt>
                <c:pt idx="1">
                  <c:v>0.41779359625167778</c:v>
                </c:pt>
                <c:pt idx="2">
                  <c:v>0.38233247727810865</c:v>
                </c:pt>
              </c:numCache>
            </c:numRef>
          </c:val>
        </c:ser>
        <c:dLbls>
          <c:dLblPos val="outEnd"/>
          <c:showLegendKey val="0"/>
          <c:showVal val="1"/>
          <c:showCatName val="0"/>
          <c:showSerName val="0"/>
          <c:showPercent val="0"/>
          <c:showBubbleSize val="0"/>
        </c:dLbls>
        <c:gapWidth val="219"/>
        <c:overlap val="-27"/>
        <c:axId val="-1326205344"/>
        <c:axId val="-1326204800"/>
      </c:barChart>
      <c:catAx>
        <c:axId val="-1326205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6204800"/>
        <c:crosses val="autoZero"/>
        <c:auto val="1"/>
        <c:lblAlgn val="ctr"/>
        <c:lblOffset val="100"/>
        <c:noMultiLvlLbl val="0"/>
      </c:catAx>
      <c:valAx>
        <c:axId val="-13262048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6205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EBITDA Margin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multiLvlStrRef>
              <c:f>Sheet1!$S$14:$U$15</c:f>
              <c:multiLvlStrCache>
                <c:ptCount val="3"/>
                <c:lvl>
                  <c:pt idx="0">
                    <c:v>2022</c:v>
                  </c:pt>
                  <c:pt idx="1">
                    <c:v>2021</c:v>
                  </c:pt>
                  <c:pt idx="2">
                    <c:v>2020</c:v>
                  </c:pt>
                </c:lvl>
                <c:lvl>
                  <c:pt idx="0">
                    <c:v>EBITDA margin</c:v>
                  </c:pt>
                </c:lvl>
              </c:multiLvlStrCache>
            </c:multiLvlStrRef>
          </c:cat>
          <c:val>
            <c:numRef>
              <c:f>Sheet1!$S$16:$U$16</c:f>
              <c:numCache>
                <c:formatCode>0.00</c:formatCode>
                <c:ptCount val="3"/>
                <c:pt idx="0">
                  <c:v>33.746525734921185</c:v>
                </c:pt>
                <c:pt idx="1">
                  <c:v>33.672027270465833</c:v>
                </c:pt>
                <c:pt idx="2">
                  <c:v>29.560861883685774</c:v>
                </c:pt>
              </c:numCache>
            </c:numRef>
          </c:val>
        </c:ser>
        <c:dLbls>
          <c:dLblPos val="outEnd"/>
          <c:showLegendKey val="0"/>
          <c:showVal val="1"/>
          <c:showCatName val="0"/>
          <c:showSerName val="0"/>
          <c:showPercent val="0"/>
          <c:showBubbleSize val="0"/>
        </c:dLbls>
        <c:gapWidth val="219"/>
        <c:overlap val="-27"/>
        <c:axId val="-1326206976"/>
        <c:axId val="-1326205888"/>
      </c:barChart>
      <c:catAx>
        <c:axId val="-1326206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6205888"/>
        <c:crosses val="autoZero"/>
        <c:auto val="1"/>
        <c:lblAlgn val="ctr"/>
        <c:lblOffset val="100"/>
        <c:noMultiLvlLbl val="0"/>
      </c:catAx>
      <c:valAx>
        <c:axId val="-13262058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6206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EBIT Margin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multiLvlStrRef>
              <c:f>Sheet1!$S$17:$U$18</c:f>
              <c:multiLvlStrCache>
                <c:ptCount val="3"/>
                <c:lvl>
                  <c:pt idx="0">
                    <c:v>2022</c:v>
                  </c:pt>
                  <c:pt idx="1">
                    <c:v>2021</c:v>
                  </c:pt>
                  <c:pt idx="2">
                    <c:v>2020</c:v>
                  </c:pt>
                </c:lvl>
                <c:lvl>
                  <c:pt idx="0">
                    <c:v>EBIT margin</c:v>
                  </c:pt>
                </c:lvl>
              </c:multiLvlStrCache>
            </c:multiLvlStrRef>
          </c:cat>
          <c:val>
            <c:numRef>
              <c:f>Sheet1!$S$19:$U$19</c:f>
              <c:numCache>
                <c:formatCode>0.00</c:formatCode>
                <c:ptCount val="3"/>
                <c:pt idx="0">
                  <c:v>30.930595849140818</c:v>
                </c:pt>
                <c:pt idx="1">
                  <c:v>30.587424859970969</c:v>
                </c:pt>
                <c:pt idx="2">
                  <c:v>25.533395260732565</c:v>
                </c:pt>
              </c:numCache>
            </c:numRef>
          </c:val>
        </c:ser>
        <c:dLbls>
          <c:dLblPos val="outEnd"/>
          <c:showLegendKey val="0"/>
          <c:showVal val="1"/>
          <c:showCatName val="0"/>
          <c:showSerName val="0"/>
          <c:showPercent val="0"/>
          <c:showBubbleSize val="0"/>
        </c:dLbls>
        <c:gapWidth val="219"/>
        <c:overlap val="-27"/>
        <c:axId val="-1326203712"/>
        <c:axId val="-1326203168"/>
      </c:barChart>
      <c:catAx>
        <c:axId val="-132620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6203168"/>
        <c:crosses val="autoZero"/>
        <c:auto val="1"/>
        <c:lblAlgn val="ctr"/>
        <c:lblOffset val="100"/>
        <c:noMultiLvlLbl val="0"/>
      </c:catAx>
      <c:valAx>
        <c:axId val="-13262031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6203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Net Margin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multiLvlStrRef>
              <c:f>Sheet1!$O$21:$Q$22</c:f>
              <c:multiLvlStrCache>
                <c:ptCount val="3"/>
                <c:lvl>
                  <c:pt idx="0">
                    <c:v>2022</c:v>
                  </c:pt>
                  <c:pt idx="1">
                    <c:v>2021</c:v>
                  </c:pt>
                  <c:pt idx="2">
                    <c:v>2020</c:v>
                  </c:pt>
                </c:lvl>
                <c:lvl>
                  <c:pt idx="0">
                    <c:v>EBIT margin</c:v>
                  </c:pt>
                </c:lvl>
              </c:multiLvlStrCache>
            </c:multiLvlStrRef>
          </c:cat>
          <c:val>
            <c:numRef>
              <c:f>Sheet1!$O$23:$Q$23</c:f>
              <c:numCache>
                <c:formatCode>0.00</c:formatCode>
                <c:ptCount val="3"/>
                <c:pt idx="0">
                  <c:v>0.25309640705199732</c:v>
                </c:pt>
                <c:pt idx="1">
                  <c:v>0.25881793355694238</c:v>
                </c:pt>
                <c:pt idx="2">
                  <c:v>0.20913611278072236</c:v>
                </c:pt>
              </c:numCache>
            </c:numRef>
          </c:val>
        </c:ser>
        <c:dLbls>
          <c:dLblPos val="outEnd"/>
          <c:showLegendKey val="0"/>
          <c:showVal val="1"/>
          <c:showCatName val="0"/>
          <c:showSerName val="0"/>
          <c:showPercent val="0"/>
          <c:showBubbleSize val="0"/>
        </c:dLbls>
        <c:gapWidth val="219"/>
        <c:overlap val="-27"/>
        <c:axId val="-1406573216"/>
        <c:axId val="-1406572672"/>
      </c:barChart>
      <c:catAx>
        <c:axId val="-1406573216"/>
        <c:scaling>
          <c:orientation val="minMax"/>
        </c:scaling>
        <c:delete val="1"/>
        <c:axPos val="b"/>
        <c:numFmt formatCode="General" sourceLinked="1"/>
        <c:majorTickMark val="none"/>
        <c:minorTickMark val="none"/>
        <c:tickLblPos val="nextTo"/>
        <c:crossAx val="-1406572672"/>
        <c:crosses val="autoZero"/>
        <c:auto val="1"/>
        <c:lblAlgn val="ctr"/>
        <c:lblOffset val="100"/>
        <c:noMultiLvlLbl val="0"/>
      </c:catAx>
      <c:valAx>
        <c:axId val="-14065726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6573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Debt to Equity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multiLvlStrRef>
              <c:f>Sheet1!$O$24:$Q$25</c:f>
              <c:multiLvlStrCache>
                <c:ptCount val="3"/>
                <c:lvl>
                  <c:pt idx="0">
                    <c:v>2022</c:v>
                  </c:pt>
                  <c:pt idx="1">
                    <c:v>2021</c:v>
                  </c:pt>
                  <c:pt idx="2">
                    <c:v>2020</c:v>
                  </c:pt>
                </c:lvl>
                <c:lvl>
                  <c:pt idx="0">
                    <c:v>Debt to equity (D/E)</c:v>
                  </c:pt>
                </c:lvl>
              </c:multiLvlStrCache>
            </c:multiLvlStrRef>
          </c:cat>
          <c:val>
            <c:numRef>
              <c:f>Sheet1!$O$26:$Q$26</c:f>
              <c:numCache>
                <c:formatCode>0.00</c:formatCode>
                <c:ptCount val="3"/>
                <c:pt idx="0">
                  <c:v>5.9615369434796337</c:v>
                </c:pt>
                <c:pt idx="1">
                  <c:v>4.5635124425423994</c:v>
                </c:pt>
                <c:pt idx="2">
                  <c:v>3.9570394404566951</c:v>
                </c:pt>
              </c:numCache>
            </c:numRef>
          </c:val>
        </c:ser>
        <c:dLbls>
          <c:dLblPos val="outEnd"/>
          <c:showLegendKey val="0"/>
          <c:showVal val="1"/>
          <c:showCatName val="0"/>
          <c:showSerName val="0"/>
          <c:showPercent val="0"/>
          <c:showBubbleSize val="0"/>
        </c:dLbls>
        <c:gapWidth val="182"/>
        <c:axId val="-1406570496"/>
        <c:axId val="-1293628944"/>
      </c:barChart>
      <c:catAx>
        <c:axId val="-1406570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3628944"/>
        <c:crosses val="autoZero"/>
        <c:auto val="1"/>
        <c:lblAlgn val="ctr"/>
        <c:lblOffset val="100"/>
        <c:noMultiLvlLbl val="0"/>
      </c:catAx>
      <c:valAx>
        <c:axId val="-129362894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6570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Debt to Toal Assets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multiLvlStrRef>
              <c:f>Sheet1!$S$24:$U$25</c:f>
              <c:multiLvlStrCache>
                <c:ptCount val="3"/>
                <c:lvl>
                  <c:pt idx="0">
                    <c:v>2022</c:v>
                  </c:pt>
                  <c:pt idx="1">
                    <c:v>2021</c:v>
                  </c:pt>
                  <c:pt idx="2">
                    <c:v>2020</c:v>
                  </c:pt>
                </c:lvl>
                <c:lvl>
                  <c:pt idx="0">
                    <c:v>Debt to total asset</c:v>
                  </c:pt>
                </c:lvl>
              </c:multiLvlStrCache>
            </c:multiLvlStrRef>
          </c:cat>
          <c:val>
            <c:numRef>
              <c:f>Sheet1!$S$26:$U$26</c:f>
              <c:numCache>
                <c:formatCode>0.00</c:formatCode>
                <c:ptCount val="3"/>
                <c:pt idx="0">
                  <c:v>0.85635355983614692</c:v>
                </c:pt>
                <c:pt idx="1">
                  <c:v>0.82025743443057308</c:v>
                </c:pt>
                <c:pt idx="2">
                  <c:v>0.79826668477992391</c:v>
                </c:pt>
              </c:numCache>
            </c:numRef>
          </c:val>
        </c:ser>
        <c:dLbls>
          <c:dLblPos val="outEnd"/>
          <c:showLegendKey val="0"/>
          <c:showVal val="1"/>
          <c:showCatName val="0"/>
          <c:showSerName val="0"/>
          <c:showPercent val="0"/>
          <c:showBubbleSize val="0"/>
        </c:dLbls>
        <c:gapWidth val="182"/>
        <c:axId val="-1439423888"/>
        <c:axId val="-1439423344"/>
      </c:barChart>
      <c:catAx>
        <c:axId val="-1439423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9423344"/>
        <c:crosses val="autoZero"/>
        <c:auto val="1"/>
        <c:lblAlgn val="ctr"/>
        <c:lblOffset val="100"/>
        <c:noMultiLvlLbl val="0"/>
      </c:catAx>
      <c:valAx>
        <c:axId val="-143942334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9423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Long-term</a:t>
            </a:r>
            <a:r>
              <a:rPr lang="en-US" baseline="0"/>
              <a:t> Debt to Capital</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multiLvlStrRef>
              <c:f>Sheet1!$O$27:$Q$28</c:f>
              <c:multiLvlStrCache>
                <c:ptCount val="3"/>
                <c:lvl>
                  <c:pt idx="0">
                    <c:v>2022</c:v>
                  </c:pt>
                  <c:pt idx="1">
                    <c:v>2021</c:v>
                  </c:pt>
                  <c:pt idx="2">
                    <c:v>2020</c:v>
                  </c:pt>
                </c:lvl>
                <c:lvl>
                  <c:pt idx="0">
                    <c:v>Long-term debt to capital</c:v>
                  </c:pt>
                </c:lvl>
              </c:multiLvlStrCache>
            </c:multiLvlStrRef>
          </c:cat>
          <c:val>
            <c:numRef>
              <c:f>Sheet1!$O$29:$Q$29</c:f>
              <c:numCache>
                <c:formatCode>0.00</c:formatCode>
                <c:ptCount val="3"/>
                <c:pt idx="0">
                  <c:v>0.66135359651409131</c:v>
                </c:pt>
                <c:pt idx="1">
                  <c:v>0.63361518269878514</c:v>
                </c:pt>
                <c:pt idx="2">
                  <c:v>0.60160603880345842</c:v>
                </c:pt>
              </c:numCache>
            </c:numRef>
          </c:val>
        </c:ser>
        <c:dLbls>
          <c:dLblPos val="outEnd"/>
          <c:showLegendKey val="0"/>
          <c:showVal val="1"/>
          <c:showCatName val="0"/>
          <c:showSerName val="0"/>
          <c:showPercent val="0"/>
          <c:showBubbleSize val="0"/>
        </c:dLbls>
        <c:gapWidth val="182"/>
        <c:axId val="-1439422800"/>
        <c:axId val="-1439422256"/>
      </c:barChart>
      <c:catAx>
        <c:axId val="-1439422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9422256"/>
        <c:crosses val="autoZero"/>
        <c:auto val="1"/>
        <c:lblAlgn val="ctr"/>
        <c:lblOffset val="100"/>
        <c:noMultiLvlLbl val="0"/>
      </c:catAx>
      <c:valAx>
        <c:axId val="-143942225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9422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Time Interest</a:t>
            </a:r>
            <a:r>
              <a:rPr lang="en-US" baseline="0"/>
              <a:t> Earned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multiLvlStrRef>
              <c:f>Sheet1!$S$27:$U$28</c:f>
              <c:multiLvlStrCache>
                <c:ptCount val="3"/>
                <c:lvl>
                  <c:pt idx="0">
                    <c:v>2022</c:v>
                  </c:pt>
                  <c:pt idx="1">
                    <c:v>2021</c:v>
                  </c:pt>
                  <c:pt idx="2">
                    <c:v>2020</c:v>
                  </c:pt>
                </c:lvl>
                <c:lvl>
                  <c:pt idx="0">
                    <c:v>Time interest earned</c:v>
                  </c:pt>
                </c:lvl>
              </c:multiLvlStrCache>
            </c:multiLvlStrRef>
          </c:cat>
          <c:val>
            <c:numRef>
              <c:f>Sheet1!$S$29:$U$29</c:f>
              <c:numCache>
                <c:formatCode>0.00</c:formatCode>
                <c:ptCount val="3"/>
                <c:pt idx="0">
                  <c:v>41.68830715532286</c:v>
                </c:pt>
                <c:pt idx="1">
                  <c:v>40.546706363974693</c:v>
                </c:pt>
                <c:pt idx="2">
                  <c:v>22.081279147235175</c:v>
                </c:pt>
              </c:numCache>
            </c:numRef>
          </c:val>
        </c:ser>
        <c:dLbls>
          <c:dLblPos val="outEnd"/>
          <c:showLegendKey val="0"/>
          <c:showVal val="1"/>
          <c:showCatName val="0"/>
          <c:showSerName val="0"/>
          <c:showPercent val="0"/>
          <c:showBubbleSize val="0"/>
        </c:dLbls>
        <c:gapWidth val="182"/>
        <c:axId val="-1439420624"/>
        <c:axId val="-1439419536"/>
      </c:barChart>
      <c:catAx>
        <c:axId val="-1439420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9419536"/>
        <c:crosses val="autoZero"/>
        <c:auto val="1"/>
        <c:lblAlgn val="ctr"/>
        <c:lblOffset val="100"/>
        <c:noMultiLvlLbl val="0"/>
      </c:catAx>
      <c:valAx>
        <c:axId val="-143941953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9420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Debt Coverage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multiLvlStrRef>
              <c:f>Sheet1!$O$30:$Q$31</c:f>
              <c:multiLvlStrCache>
                <c:ptCount val="3"/>
                <c:lvl>
                  <c:pt idx="0">
                    <c:v>2022</c:v>
                  </c:pt>
                  <c:pt idx="1">
                    <c:v>2021</c:v>
                  </c:pt>
                  <c:pt idx="2">
                    <c:v>2020</c:v>
                  </c:pt>
                </c:lvl>
                <c:lvl>
                  <c:pt idx="0">
                    <c:v>Debt cover ratio</c:v>
                  </c:pt>
                </c:lvl>
              </c:multiLvlStrCache>
            </c:multiLvlStrRef>
          </c:cat>
          <c:val>
            <c:numRef>
              <c:f>Sheet1!$O$32:$Q$32</c:f>
              <c:numCache>
                <c:formatCode>0.00</c:formatCode>
                <c:ptCount val="3"/>
                <c:pt idx="0">
                  <c:v>9.6258059316569948</c:v>
                </c:pt>
                <c:pt idx="1">
                  <c:v>9.5260120661012504</c:v>
                </c:pt>
                <c:pt idx="2">
                  <c:v>4.2408035314439259</c:v>
                </c:pt>
              </c:numCache>
            </c:numRef>
          </c:val>
        </c:ser>
        <c:dLbls>
          <c:dLblPos val="outEnd"/>
          <c:showLegendKey val="0"/>
          <c:showVal val="1"/>
          <c:showCatName val="0"/>
          <c:showSerName val="0"/>
          <c:showPercent val="0"/>
          <c:showBubbleSize val="0"/>
        </c:dLbls>
        <c:gapWidth val="182"/>
        <c:axId val="-1288467888"/>
        <c:axId val="-1288469520"/>
      </c:barChart>
      <c:catAx>
        <c:axId val="-1288467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8469520"/>
        <c:crosses val="autoZero"/>
        <c:auto val="1"/>
        <c:lblAlgn val="ctr"/>
        <c:lblOffset val="100"/>
        <c:noMultiLvlLbl val="0"/>
      </c:catAx>
      <c:valAx>
        <c:axId val="-128846952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8467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 Asset Turnover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multiLvlStrRef>
              <c:f>Sheet1!$S$30:$U$31</c:f>
              <c:multiLvlStrCache>
                <c:ptCount val="3"/>
                <c:lvl>
                  <c:pt idx="0">
                    <c:v>2022</c:v>
                  </c:pt>
                  <c:pt idx="1">
                    <c:v>2021</c:v>
                  </c:pt>
                  <c:pt idx="2">
                    <c:v>2020</c:v>
                  </c:pt>
                </c:lvl>
                <c:lvl>
                  <c:pt idx="0">
                    <c:v>Total assets turnover</c:v>
                  </c:pt>
                </c:lvl>
              </c:multiLvlStrCache>
            </c:multiLvlStrRef>
          </c:cat>
          <c:val>
            <c:numRef>
              <c:f>Sheet1!$S$32:$U$32</c:f>
              <c:numCache>
                <c:formatCode>0.00</c:formatCode>
                <c:ptCount val="3"/>
                <c:pt idx="0">
                  <c:v>1.1206368107173357</c:v>
                </c:pt>
                <c:pt idx="1">
                  <c:v>1.084078886929722</c:v>
                </c:pt>
                <c:pt idx="2">
                  <c:v>1.695123005483377</c:v>
                </c:pt>
              </c:numCache>
            </c:numRef>
          </c:val>
        </c:ser>
        <c:dLbls>
          <c:dLblPos val="outEnd"/>
          <c:showLegendKey val="0"/>
          <c:showVal val="1"/>
          <c:showCatName val="0"/>
          <c:showSerName val="0"/>
          <c:showPercent val="0"/>
          <c:showBubbleSize val="0"/>
        </c:dLbls>
        <c:gapWidth val="182"/>
        <c:axId val="-1288466256"/>
        <c:axId val="-1288468432"/>
      </c:barChart>
      <c:catAx>
        <c:axId val="-1288466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8468432"/>
        <c:crosses val="autoZero"/>
        <c:auto val="1"/>
        <c:lblAlgn val="ctr"/>
        <c:lblOffset val="100"/>
        <c:noMultiLvlLbl val="0"/>
      </c:catAx>
      <c:valAx>
        <c:axId val="-128846843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8466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Quick </a:t>
            </a:r>
            <a:r>
              <a:rPr lang="en-US" sz="1400" b="0" i="0" u="none" strike="noStrike" baseline="0">
                <a:effectLst/>
              </a:rPr>
              <a:t>Ratio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multiLvlStrRef>
              <c:f>Sheet1!$O$6:$Q$7</c:f>
              <c:multiLvlStrCache>
                <c:ptCount val="3"/>
                <c:lvl>
                  <c:pt idx="0">
                    <c:v>2022</c:v>
                  </c:pt>
                  <c:pt idx="1">
                    <c:v>2021</c:v>
                  </c:pt>
                  <c:pt idx="2">
                    <c:v>2020</c:v>
                  </c:pt>
                </c:lvl>
                <c:lvl>
                  <c:pt idx="0">
                    <c:v>Quick Ratio</c:v>
                  </c:pt>
                </c:lvl>
              </c:multiLvlStrCache>
            </c:multiLvlStrRef>
          </c:cat>
          <c:val>
            <c:numRef>
              <c:f>Sheet1!$O$8:$Q$8</c:f>
              <c:numCache>
                <c:formatCode>0.00</c:formatCode>
                <c:ptCount val="3"/>
                <c:pt idx="0">
                  <c:v>0.84723539114961488</c:v>
                </c:pt>
                <c:pt idx="1">
                  <c:v>1.0221149018576519</c:v>
                </c:pt>
                <c:pt idx="2">
                  <c:v>1.325072111735236</c:v>
                </c:pt>
              </c:numCache>
            </c:numRef>
          </c:val>
        </c:ser>
        <c:dLbls>
          <c:dLblPos val="outEnd"/>
          <c:showLegendKey val="0"/>
          <c:showVal val="1"/>
          <c:showCatName val="0"/>
          <c:showSerName val="0"/>
          <c:showPercent val="0"/>
          <c:showBubbleSize val="0"/>
        </c:dLbls>
        <c:gapWidth val="219"/>
        <c:overlap val="-27"/>
        <c:axId val="-1519453488"/>
        <c:axId val="-1519447504"/>
      </c:barChart>
      <c:catAx>
        <c:axId val="-151945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9447504"/>
        <c:crosses val="autoZero"/>
        <c:auto val="1"/>
        <c:lblAlgn val="ctr"/>
        <c:lblOffset val="100"/>
        <c:noMultiLvlLbl val="0"/>
      </c:catAx>
      <c:valAx>
        <c:axId val="-15194475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9453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Fixed Asset Turnover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multiLvlStrRef>
              <c:f>Sheet1!$O$33:$Q$34</c:f>
              <c:multiLvlStrCache>
                <c:ptCount val="3"/>
                <c:lvl>
                  <c:pt idx="0">
                    <c:v>2022</c:v>
                  </c:pt>
                  <c:pt idx="1">
                    <c:v>2021</c:v>
                  </c:pt>
                  <c:pt idx="2">
                    <c:v>2020</c:v>
                  </c:pt>
                </c:lvl>
                <c:lvl>
                  <c:pt idx="0">
                    <c:v>Fixed assets turnover</c:v>
                  </c:pt>
                </c:lvl>
              </c:multiLvlStrCache>
            </c:multiLvlStrRef>
          </c:cat>
          <c:val>
            <c:numRef>
              <c:f>Sheet1!$O$35:$Q$35</c:f>
              <c:numCache>
                <c:formatCode>0.00</c:formatCode>
                <c:ptCount val="3"/>
                <c:pt idx="0">
                  <c:v>1.8192085182553817</c:v>
                </c:pt>
                <c:pt idx="1">
                  <c:v>1.8459710199045771</c:v>
                </c:pt>
                <c:pt idx="2">
                  <c:v>3.0472041071180795</c:v>
                </c:pt>
              </c:numCache>
            </c:numRef>
          </c:val>
        </c:ser>
        <c:dLbls>
          <c:dLblPos val="outEnd"/>
          <c:showLegendKey val="0"/>
          <c:showVal val="1"/>
          <c:showCatName val="0"/>
          <c:showSerName val="0"/>
          <c:showPercent val="0"/>
          <c:showBubbleSize val="0"/>
        </c:dLbls>
        <c:gapWidth val="219"/>
        <c:overlap val="-27"/>
        <c:axId val="-1288467344"/>
        <c:axId val="-1288465712"/>
      </c:barChart>
      <c:catAx>
        <c:axId val="-1288467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8465712"/>
        <c:crosses val="autoZero"/>
        <c:auto val="1"/>
        <c:lblAlgn val="ctr"/>
        <c:lblOffset val="100"/>
        <c:noMultiLvlLbl val="0"/>
      </c:catAx>
      <c:valAx>
        <c:axId val="-12884657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8467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Inventory Turnover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multiLvlStrRef>
              <c:f>Sheet1!$S$33:$U$34</c:f>
              <c:multiLvlStrCache>
                <c:ptCount val="3"/>
                <c:lvl>
                  <c:pt idx="0">
                    <c:v>2022</c:v>
                  </c:pt>
                  <c:pt idx="1">
                    <c:v>2021</c:v>
                  </c:pt>
                  <c:pt idx="2">
                    <c:v>2020</c:v>
                  </c:pt>
                </c:lvl>
                <c:lvl>
                  <c:pt idx="0">
                    <c:v>Inventory turnover</c:v>
                  </c:pt>
                </c:lvl>
              </c:multiLvlStrCache>
            </c:multiLvlStrRef>
          </c:cat>
          <c:val>
            <c:numRef>
              <c:f>Sheet1!$S$35:$U$35</c:f>
              <c:numCache>
                <c:formatCode>0.00</c:formatCode>
                <c:ptCount val="3"/>
                <c:pt idx="0">
                  <c:v>38.789866389033492</c:v>
                </c:pt>
                <c:pt idx="1">
                  <c:v>40.030260313880277</c:v>
                </c:pt>
                <c:pt idx="2">
                  <c:v>83.506032996798822</c:v>
                </c:pt>
              </c:numCache>
            </c:numRef>
          </c:val>
        </c:ser>
        <c:dLbls>
          <c:dLblPos val="outEnd"/>
          <c:showLegendKey val="0"/>
          <c:showVal val="1"/>
          <c:showCatName val="0"/>
          <c:showSerName val="0"/>
          <c:showPercent val="0"/>
          <c:showBubbleSize val="0"/>
        </c:dLbls>
        <c:gapWidth val="182"/>
        <c:axId val="-1288470064"/>
        <c:axId val="-1288468976"/>
      </c:barChart>
      <c:catAx>
        <c:axId val="-1288470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8468976"/>
        <c:crosses val="autoZero"/>
        <c:auto val="1"/>
        <c:lblAlgn val="ctr"/>
        <c:lblOffset val="100"/>
        <c:noMultiLvlLbl val="0"/>
      </c:catAx>
      <c:valAx>
        <c:axId val="-128846897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8470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ROA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multiLvlStrRef>
              <c:f>Sheet1!$O$36:$Q$37</c:f>
              <c:multiLvlStrCache>
                <c:ptCount val="3"/>
                <c:lvl>
                  <c:pt idx="0">
                    <c:v>2022</c:v>
                  </c:pt>
                  <c:pt idx="1">
                    <c:v>2021</c:v>
                  </c:pt>
                  <c:pt idx="2">
                    <c:v>2020</c:v>
                  </c:pt>
                </c:lvl>
                <c:lvl>
                  <c:pt idx="0">
                    <c:v>Return on Asset (ROA)</c:v>
                  </c:pt>
                </c:lvl>
              </c:multiLvlStrCache>
            </c:multiLvlStrRef>
          </c:cat>
          <c:val>
            <c:numRef>
              <c:f>Sheet1!$O$38:$Q$38</c:f>
              <c:numCache>
                <c:formatCode>0.00</c:formatCode>
                <c:ptCount val="3"/>
                <c:pt idx="0">
                  <c:v>0.33858343609587388</c:v>
                </c:pt>
                <c:pt idx="1">
                  <c:v>0.31039424276784749</c:v>
                </c:pt>
                <c:pt idx="2">
                  <c:v>0.20466334041397027</c:v>
                </c:pt>
              </c:numCache>
            </c:numRef>
          </c:val>
        </c:ser>
        <c:dLbls>
          <c:dLblPos val="outEnd"/>
          <c:showLegendKey val="0"/>
          <c:showVal val="1"/>
          <c:showCatName val="0"/>
          <c:showSerName val="0"/>
          <c:showPercent val="0"/>
          <c:showBubbleSize val="0"/>
        </c:dLbls>
        <c:gapWidth val="219"/>
        <c:overlap val="-27"/>
        <c:axId val="-1329353376"/>
        <c:axId val="-1329353920"/>
      </c:barChart>
      <c:catAx>
        <c:axId val="-1329353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9353920"/>
        <c:crosses val="autoZero"/>
        <c:auto val="1"/>
        <c:lblAlgn val="ctr"/>
        <c:lblOffset val="100"/>
        <c:noMultiLvlLbl val="0"/>
      </c:catAx>
      <c:valAx>
        <c:axId val="-13293539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9353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EPS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multiLvlStrRef>
              <c:f>'List of Ratios'!$I$37:$K$38</c:f>
              <c:multiLvlStrCache>
                <c:ptCount val="3"/>
                <c:lvl>
                  <c:pt idx="0">
                    <c:v>2022</c:v>
                  </c:pt>
                  <c:pt idx="1">
                    <c:v>2021</c:v>
                  </c:pt>
                  <c:pt idx="2">
                    <c:v>2020</c:v>
                  </c:pt>
                </c:lvl>
                <c:lvl>
                  <c:pt idx="0">
                    <c:v>Earnings per share (EPS)</c:v>
                  </c:pt>
                </c:lvl>
              </c:multiLvlStrCache>
            </c:multiLvlStrRef>
          </c:cat>
          <c:val>
            <c:numRef>
              <c:f>'List of Ratios'!$I$39:$K$39</c:f>
              <c:numCache>
                <c:formatCode>0.00</c:formatCode>
                <c:ptCount val="3"/>
                <c:pt idx="0">
                  <c:v>6.1546144376377772</c:v>
                </c:pt>
                <c:pt idx="1">
                  <c:v>5.6690292811230192</c:v>
                </c:pt>
                <c:pt idx="2">
                  <c:v>3.3085872682177895</c:v>
                </c:pt>
              </c:numCache>
            </c:numRef>
          </c:val>
        </c:ser>
        <c:dLbls>
          <c:dLblPos val="outEnd"/>
          <c:showLegendKey val="0"/>
          <c:showVal val="1"/>
          <c:showCatName val="0"/>
          <c:showSerName val="0"/>
          <c:showPercent val="0"/>
          <c:showBubbleSize val="0"/>
        </c:dLbls>
        <c:gapWidth val="182"/>
        <c:axId val="-1329351200"/>
        <c:axId val="-1329350656"/>
      </c:barChart>
      <c:catAx>
        <c:axId val="-1329351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9350656"/>
        <c:crosses val="autoZero"/>
        <c:auto val="1"/>
        <c:lblAlgn val="ctr"/>
        <c:lblOffset val="100"/>
        <c:noMultiLvlLbl val="0"/>
      </c:catAx>
      <c:valAx>
        <c:axId val="-132935065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9351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DPR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multiLvlStrRef>
              <c:f>'List of Ratios'!$L$37:$N$38</c:f>
              <c:multiLvlStrCache>
                <c:ptCount val="3"/>
                <c:lvl>
                  <c:pt idx="0">
                    <c:v>2022</c:v>
                  </c:pt>
                  <c:pt idx="1">
                    <c:v>2021</c:v>
                  </c:pt>
                  <c:pt idx="2">
                    <c:v>2020</c:v>
                  </c:pt>
                </c:lvl>
                <c:lvl>
                  <c:pt idx="0">
                    <c:v>Dividend payout ratio</c:v>
                  </c:pt>
                </c:lvl>
              </c:multiLvlStrCache>
            </c:multiLvlStrRef>
          </c:cat>
          <c:val>
            <c:numRef>
              <c:f>'List of Ratios'!$L$39:$N$39</c:f>
              <c:numCache>
                <c:formatCode>0.00</c:formatCode>
                <c:ptCount val="3"/>
                <c:pt idx="0">
                  <c:v>0.14870294480125848</c:v>
                </c:pt>
                <c:pt idx="1">
                  <c:v>0.15279890156316012</c:v>
                </c:pt>
                <c:pt idx="2">
                  <c:v>0.24526658654264863</c:v>
                </c:pt>
              </c:numCache>
            </c:numRef>
          </c:val>
        </c:ser>
        <c:dLbls>
          <c:dLblPos val="outEnd"/>
          <c:showLegendKey val="0"/>
          <c:showVal val="1"/>
          <c:showCatName val="0"/>
          <c:showSerName val="0"/>
          <c:showPercent val="0"/>
          <c:showBubbleSize val="0"/>
        </c:dLbls>
        <c:gapWidth val="182"/>
        <c:axId val="-1329356096"/>
        <c:axId val="-1329355552"/>
      </c:barChart>
      <c:catAx>
        <c:axId val="-1329356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9355552"/>
        <c:crosses val="autoZero"/>
        <c:auto val="1"/>
        <c:lblAlgn val="ctr"/>
        <c:lblOffset val="100"/>
        <c:noMultiLvlLbl val="0"/>
      </c:catAx>
      <c:valAx>
        <c:axId val="-132935555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9356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DPS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multiLvlStrRef>
              <c:f>'List of Ratios'!$I$41:$K$42</c:f>
              <c:multiLvlStrCache>
                <c:ptCount val="3"/>
                <c:lvl>
                  <c:pt idx="0">
                    <c:v>2022</c:v>
                  </c:pt>
                  <c:pt idx="1">
                    <c:v>2021</c:v>
                  </c:pt>
                  <c:pt idx="2">
                    <c:v>2020</c:v>
                  </c:pt>
                </c:lvl>
                <c:lvl>
                  <c:pt idx="0">
                    <c:v>Dividend per share</c:v>
                  </c:pt>
                </c:lvl>
              </c:multiLvlStrCache>
            </c:multiLvlStrRef>
          </c:cat>
          <c:val>
            <c:numRef>
              <c:f>'List of Ratios'!$I$43:$K$43</c:f>
              <c:numCache>
                <c:formatCode>0.00</c:formatCode>
                <c:ptCount val="3"/>
                <c:pt idx="0">
                  <c:v>0.91520929099307891</c:v>
                </c:pt>
                <c:pt idx="1">
                  <c:v>0.86622144708498849</c:v>
                </c:pt>
                <c:pt idx="2">
                  <c:v>0.81148590555424382</c:v>
                </c:pt>
              </c:numCache>
            </c:numRef>
          </c:val>
        </c:ser>
        <c:dLbls>
          <c:dLblPos val="outEnd"/>
          <c:showLegendKey val="0"/>
          <c:showVal val="1"/>
          <c:showCatName val="0"/>
          <c:showSerName val="0"/>
          <c:showPercent val="0"/>
          <c:showBubbleSize val="0"/>
        </c:dLbls>
        <c:gapWidth val="182"/>
        <c:axId val="-1412257456"/>
        <c:axId val="-1412258000"/>
      </c:barChart>
      <c:catAx>
        <c:axId val="-1412257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2258000"/>
        <c:crosses val="autoZero"/>
        <c:auto val="1"/>
        <c:lblAlgn val="ctr"/>
        <c:lblOffset val="100"/>
        <c:noMultiLvlLbl val="0"/>
      </c:catAx>
      <c:valAx>
        <c:axId val="-141225800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2257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ROE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multiLvlStrRef>
              <c:f>'List of Ratios'!$L$41:$N$42</c:f>
              <c:multiLvlStrCache>
                <c:ptCount val="3"/>
                <c:lvl>
                  <c:pt idx="0">
                    <c:v>2022</c:v>
                  </c:pt>
                  <c:pt idx="1">
                    <c:v>2021</c:v>
                  </c:pt>
                  <c:pt idx="2">
                    <c:v>2020</c:v>
                  </c:pt>
                </c:lvl>
                <c:lvl>
                  <c:pt idx="0">
                    <c:v>Return on equity (ROE)</c:v>
                  </c:pt>
                </c:lvl>
              </c:multiLvlStrCache>
            </c:multiLvlStrRef>
          </c:cat>
          <c:val>
            <c:numRef>
              <c:f>'List of Ratios'!$L$43:$N$43</c:f>
              <c:numCache>
                <c:formatCode>0.00</c:formatCode>
                <c:ptCount val="3"/>
                <c:pt idx="0">
                  <c:v>1.9695887275023682</c:v>
                </c:pt>
                <c:pt idx="1">
                  <c:v>1.5007132667617689</c:v>
                </c:pt>
                <c:pt idx="2">
                  <c:v>0.87866358530127486</c:v>
                </c:pt>
              </c:numCache>
            </c:numRef>
          </c:val>
        </c:ser>
        <c:dLbls>
          <c:dLblPos val="outEnd"/>
          <c:showLegendKey val="0"/>
          <c:showVal val="1"/>
          <c:showCatName val="0"/>
          <c:showSerName val="0"/>
          <c:showPercent val="0"/>
          <c:showBubbleSize val="0"/>
        </c:dLbls>
        <c:gapWidth val="182"/>
        <c:axId val="-1412260176"/>
        <c:axId val="-1412258544"/>
      </c:barChart>
      <c:catAx>
        <c:axId val="-14122601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2258544"/>
        <c:crosses val="autoZero"/>
        <c:auto val="1"/>
        <c:lblAlgn val="ctr"/>
        <c:lblOffset val="100"/>
        <c:noMultiLvlLbl val="0"/>
      </c:catAx>
      <c:valAx>
        <c:axId val="-141225854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2260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ROCE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extLst>
                <c:ext xmlns:c15="http://schemas.microsoft.com/office/drawing/2012/chart" uri="{02D57815-91ED-43cb-92C2-25804820EDAC}">
                  <c15:fullRef>
                    <c15:sqref>'List of Ratios'!$I$45:$K$46</c15:sqref>
                  </c15:fullRef>
                  <c15:levelRef>
                    <c15:sqref>'List of Ratios'!$I$46:$K$46</c15:sqref>
                  </c15:levelRef>
                </c:ext>
              </c:extLst>
              <c:f>'List of Ratios'!$I$46:$K$46</c:f>
              <c:strCache>
                <c:ptCount val="3"/>
                <c:pt idx="0">
                  <c:v>2022</c:v>
                </c:pt>
                <c:pt idx="1">
                  <c:v>2021</c:v>
                </c:pt>
                <c:pt idx="2">
                  <c:v>2020</c:v>
                </c:pt>
              </c:strCache>
            </c:strRef>
          </c:cat>
          <c:val>
            <c:numRef>
              <c:f>'List of Ratios'!$I$47:$K$47</c:f>
              <c:numCache>
                <c:formatCode>0.00</c:formatCode>
                <c:ptCount val="3"/>
                <c:pt idx="0">
                  <c:v>0.60087134570590572</c:v>
                </c:pt>
                <c:pt idx="1">
                  <c:v>0.48309913489209433</c:v>
                </c:pt>
                <c:pt idx="2">
                  <c:v>0.30338312829525482</c:v>
                </c:pt>
              </c:numCache>
            </c:numRef>
          </c:val>
        </c:ser>
        <c:dLbls>
          <c:dLblPos val="outEnd"/>
          <c:showLegendKey val="0"/>
          <c:showVal val="1"/>
          <c:showCatName val="0"/>
          <c:showSerName val="0"/>
          <c:showPercent val="0"/>
          <c:showBubbleSize val="0"/>
        </c:dLbls>
        <c:gapWidth val="219"/>
        <c:overlap val="-27"/>
        <c:axId val="-1431468208"/>
        <c:axId val="-1431469296"/>
      </c:barChart>
      <c:catAx>
        <c:axId val="-143146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1469296"/>
        <c:crosses val="autoZero"/>
        <c:auto val="1"/>
        <c:lblAlgn val="ctr"/>
        <c:lblOffset val="100"/>
        <c:noMultiLvlLbl val="0"/>
      </c:catAx>
      <c:valAx>
        <c:axId val="-14314692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1468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Cash</a:t>
            </a:r>
            <a:r>
              <a:rPr lang="en-US" sz="1400" b="0" i="0" u="none" strike="noStrike" baseline="0">
                <a:effectLst/>
              </a:rPr>
              <a:t>Ratio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multiLvlStrRef>
              <c:f>Sheet1!$O$9:$Q$10</c:f>
              <c:multiLvlStrCache>
                <c:ptCount val="3"/>
                <c:lvl>
                  <c:pt idx="0">
                    <c:v>2022</c:v>
                  </c:pt>
                  <c:pt idx="1">
                    <c:v>2021</c:v>
                  </c:pt>
                  <c:pt idx="2">
                    <c:v>2020</c:v>
                  </c:pt>
                </c:lvl>
                <c:lvl>
                  <c:pt idx="0">
                    <c:v>Cash Ratio</c:v>
                  </c:pt>
                </c:lvl>
              </c:multiLvlStrCache>
            </c:multiLvlStrRef>
          </c:cat>
          <c:val>
            <c:numRef>
              <c:f>Sheet1!$O$11:$Q$11</c:f>
              <c:numCache>
                <c:formatCode>0.00</c:formatCode>
                <c:ptCount val="3"/>
                <c:pt idx="0">
                  <c:v>0.15356340351469652</c:v>
                </c:pt>
                <c:pt idx="1">
                  <c:v>0.27844853005634318</c:v>
                </c:pt>
                <c:pt idx="2">
                  <c:v>0.36071049035979963</c:v>
                </c:pt>
              </c:numCache>
            </c:numRef>
          </c:val>
        </c:ser>
        <c:dLbls>
          <c:dLblPos val="outEnd"/>
          <c:showLegendKey val="0"/>
          <c:showVal val="1"/>
          <c:showCatName val="0"/>
          <c:showSerName val="0"/>
          <c:showPercent val="0"/>
          <c:showBubbleSize val="0"/>
        </c:dLbls>
        <c:gapWidth val="219"/>
        <c:overlap val="-27"/>
        <c:axId val="-1679578096"/>
        <c:axId val="-1679574832"/>
      </c:barChart>
      <c:catAx>
        <c:axId val="-1679578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9574832"/>
        <c:crosses val="autoZero"/>
        <c:auto val="1"/>
        <c:lblAlgn val="ctr"/>
        <c:lblOffset val="100"/>
        <c:noMultiLvlLbl val="0"/>
      </c:catAx>
      <c:valAx>
        <c:axId val="-16795748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9578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Defensive Interval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multiLvlStrRef>
              <c:f>Sheet1!$O$12:$Q$13</c:f>
              <c:multiLvlStrCache>
                <c:ptCount val="3"/>
                <c:lvl>
                  <c:pt idx="0">
                    <c:v>2022</c:v>
                  </c:pt>
                  <c:pt idx="1">
                    <c:v>2021</c:v>
                  </c:pt>
                  <c:pt idx="2">
                    <c:v>2020</c:v>
                  </c:pt>
                </c:lvl>
                <c:lvl>
                  <c:pt idx="0">
                    <c:v>Defensive Interval</c:v>
                  </c:pt>
                </c:lvl>
              </c:multiLvlStrCache>
            </c:multiLvlStrRef>
          </c:cat>
          <c:val>
            <c:numRef>
              <c:f>Sheet1!$O$14:$Q$14</c:f>
              <c:numCache>
                <c:formatCode>0.0000</c:formatCode>
                <c:ptCount val="3"/>
                <c:pt idx="0">
                  <c:v>1.3495261857962831E-3</c:v>
                </c:pt>
                <c:pt idx="1">
                  <c:v>1.4381460463356159E-3</c:v>
                </c:pt>
                <c:pt idx="2">
                  <c:v>1.8908894935591564E-3</c:v>
                </c:pt>
              </c:numCache>
            </c:numRef>
          </c:val>
        </c:ser>
        <c:dLbls>
          <c:dLblPos val="outEnd"/>
          <c:showLegendKey val="0"/>
          <c:showVal val="1"/>
          <c:showCatName val="0"/>
          <c:showSerName val="0"/>
          <c:showPercent val="0"/>
          <c:showBubbleSize val="0"/>
        </c:dLbls>
        <c:gapWidth val="182"/>
        <c:axId val="-1678993568"/>
        <c:axId val="-1413855312"/>
      </c:barChart>
      <c:catAx>
        <c:axId val="-1678993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3855312"/>
        <c:crosses val="autoZero"/>
        <c:auto val="1"/>
        <c:lblAlgn val="ctr"/>
        <c:lblOffset val="100"/>
        <c:noMultiLvlLbl val="0"/>
      </c:catAx>
      <c:valAx>
        <c:axId val="-1413855312"/>
        <c:scaling>
          <c:orientation val="minMax"/>
        </c:scaling>
        <c:delete val="0"/>
        <c:axPos val="b"/>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993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Inventory days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multiLvlStrRef>
              <c:f>Sheet1!$O$15:$Q$16</c:f>
              <c:multiLvlStrCache>
                <c:ptCount val="3"/>
                <c:lvl>
                  <c:pt idx="0">
                    <c:v>2022</c:v>
                  </c:pt>
                  <c:pt idx="1">
                    <c:v>2021</c:v>
                  </c:pt>
                  <c:pt idx="2">
                    <c:v>2020</c:v>
                  </c:pt>
                </c:lvl>
                <c:lvl>
                  <c:pt idx="0">
                    <c:v>Inventory Days</c:v>
                  </c:pt>
                </c:lvl>
              </c:multiLvlStrCache>
            </c:multiLvlStrRef>
          </c:cat>
          <c:val>
            <c:numRef>
              <c:f>Sheet1!$O$17:$Q$17</c:f>
              <c:numCache>
                <c:formatCode>0.00</c:formatCode>
                <c:ptCount val="3"/>
                <c:pt idx="0">
                  <c:v>38.789866389033492</c:v>
                </c:pt>
                <c:pt idx="1">
                  <c:v>40.030260313880277</c:v>
                </c:pt>
                <c:pt idx="2">
                  <c:v>83.506032996798822</c:v>
                </c:pt>
              </c:numCache>
            </c:numRef>
          </c:val>
        </c:ser>
        <c:dLbls>
          <c:dLblPos val="outEnd"/>
          <c:showLegendKey val="0"/>
          <c:showVal val="1"/>
          <c:showCatName val="0"/>
          <c:showSerName val="0"/>
          <c:showPercent val="0"/>
          <c:showBubbleSize val="0"/>
        </c:dLbls>
        <c:gapWidth val="219"/>
        <c:overlap val="-27"/>
        <c:axId val="-1328400592"/>
        <c:axId val="-1328395696"/>
      </c:barChart>
      <c:catAx>
        <c:axId val="-132840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8395696"/>
        <c:crosses val="autoZero"/>
        <c:auto val="1"/>
        <c:lblAlgn val="ctr"/>
        <c:lblOffset val="100"/>
        <c:noMultiLvlLbl val="0"/>
      </c:catAx>
      <c:valAx>
        <c:axId val="-13283956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8400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Payable days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multiLvlStrRef>
              <c:f>Sheet1!$O$18:$Q$19</c:f>
              <c:multiLvlStrCache>
                <c:ptCount val="3"/>
                <c:lvl>
                  <c:pt idx="0">
                    <c:v>2022</c:v>
                  </c:pt>
                  <c:pt idx="1">
                    <c:v>2021</c:v>
                  </c:pt>
                  <c:pt idx="2">
                    <c:v>2020</c:v>
                  </c:pt>
                </c:lvl>
                <c:lvl>
                  <c:pt idx="0">
                    <c:v>Payable Days</c:v>
                  </c:pt>
                </c:lvl>
              </c:multiLvlStrCache>
            </c:multiLvlStrRef>
          </c:cat>
          <c:val>
            <c:numRef>
              <c:f>Sheet1!$O$20:$Q$20</c:f>
              <c:numCache>
                <c:formatCode>0.00</c:formatCode>
                <c:ptCount val="3"/>
                <c:pt idx="0">
                  <c:v>104.68527730310539</c:v>
                </c:pt>
                <c:pt idx="1">
                  <c:v>93.851071222315596</c:v>
                </c:pt>
                <c:pt idx="2">
                  <c:v>91.048189715674198</c:v>
                </c:pt>
              </c:numCache>
            </c:numRef>
          </c:val>
        </c:ser>
        <c:dLbls>
          <c:dLblPos val="outEnd"/>
          <c:showLegendKey val="0"/>
          <c:showVal val="1"/>
          <c:showCatName val="0"/>
          <c:showSerName val="0"/>
          <c:showPercent val="0"/>
          <c:showBubbleSize val="0"/>
        </c:dLbls>
        <c:gapWidth val="219"/>
        <c:overlap val="-27"/>
        <c:axId val="-1328409296"/>
        <c:axId val="-1328405488"/>
      </c:barChart>
      <c:catAx>
        <c:axId val="-1328409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8405488"/>
        <c:crosses val="autoZero"/>
        <c:auto val="1"/>
        <c:lblAlgn val="ctr"/>
        <c:lblOffset val="100"/>
        <c:noMultiLvlLbl val="0"/>
      </c:catAx>
      <c:valAx>
        <c:axId val="-13284054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8409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Receivable days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multiLvlStrRef>
              <c:f>Sheet1!$S$2:$U$3</c:f>
              <c:multiLvlStrCache>
                <c:ptCount val="3"/>
                <c:lvl>
                  <c:pt idx="0">
                    <c:v>2022</c:v>
                  </c:pt>
                  <c:pt idx="1">
                    <c:v>2021</c:v>
                  </c:pt>
                  <c:pt idx="2">
                    <c:v>2020</c:v>
                  </c:pt>
                </c:lvl>
                <c:lvl>
                  <c:pt idx="0">
                    <c:v>Receivable Days</c:v>
                  </c:pt>
                </c:lvl>
              </c:multiLvlStrCache>
            </c:multiLvlStrRef>
          </c:cat>
          <c:val>
            <c:numRef>
              <c:f>Sheet1!$S$4:$U$4</c:f>
              <c:numCache>
                <c:formatCode>0.00</c:formatCode>
                <c:ptCount val="3"/>
                <c:pt idx="0">
                  <c:v>26.087825363656648</c:v>
                </c:pt>
                <c:pt idx="1">
                  <c:v>26.219311841713207</c:v>
                </c:pt>
                <c:pt idx="2">
                  <c:v>21.433437152796749</c:v>
                </c:pt>
              </c:numCache>
            </c:numRef>
          </c:val>
        </c:ser>
        <c:dLbls>
          <c:dLblPos val="outEnd"/>
          <c:showLegendKey val="0"/>
          <c:showVal val="1"/>
          <c:showCatName val="0"/>
          <c:showSerName val="0"/>
          <c:showPercent val="0"/>
          <c:showBubbleSize val="0"/>
        </c:dLbls>
        <c:gapWidth val="219"/>
        <c:overlap val="-27"/>
        <c:axId val="-1328400048"/>
        <c:axId val="-1328404400"/>
      </c:barChart>
      <c:catAx>
        <c:axId val="-132840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8404400"/>
        <c:crosses val="autoZero"/>
        <c:auto val="1"/>
        <c:lblAlgn val="ctr"/>
        <c:lblOffset val="100"/>
        <c:noMultiLvlLbl val="0"/>
      </c:catAx>
      <c:valAx>
        <c:axId val="-13284044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8400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Net Trading Cycle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Sheet1!$S$5:$U$5</c:f>
              <c:strCache>
                <c:ptCount val="1"/>
                <c:pt idx="0">
                  <c:v>Net trading cycle</c:v>
                </c:pt>
              </c:strCache>
            </c:strRef>
          </c:cat>
          <c:val>
            <c:numRef>
              <c:f>Sheet1!$S$6:$U$6</c:f>
              <c:numCache>
                <c:formatCode>General</c:formatCode>
                <c:ptCount val="3"/>
                <c:pt idx="0">
                  <c:v>2022</c:v>
                </c:pt>
                <c:pt idx="1">
                  <c:v>2021</c:v>
                </c:pt>
                <c:pt idx="2">
                  <c:v>2020</c:v>
                </c:pt>
              </c:numCache>
            </c:numRef>
          </c:val>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cat>
            <c:strRef>
              <c:f>Sheet1!$S$5:$U$5</c:f>
              <c:strCache>
                <c:ptCount val="1"/>
                <c:pt idx="0">
                  <c:v>Net trading cycle</c:v>
                </c:pt>
              </c:strCache>
            </c:strRef>
          </c:cat>
          <c:val>
            <c:numRef>
              <c:f>Sheet1!$S$7:$U$7</c:f>
              <c:numCache>
                <c:formatCode>0.00</c:formatCode>
                <c:ptCount val="3"/>
                <c:pt idx="0">
                  <c:v>-70.524301933382844</c:v>
                </c:pt>
                <c:pt idx="1">
                  <c:v>-56.363407252290109</c:v>
                </c:pt>
                <c:pt idx="2">
                  <c:v>-60.878116643764116</c:v>
                </c:pt>
              </c:numCache>
            </c:numRef>
          </c:val>
        </c:ser>
        <c:dLbls>
          <c:dLblPos val="outEnd"/>
          <c:showLegendKey val="0"/>
          <c:showVal val="1"/>
          <c:showCatName val="0"/>
          <c:showSerName val="0"/>
          <c:showPercent val="0"/>
          <c:showBubbleSize val="0"/>
        </c:dLbls>
        <c:gapWidth val="182"/>
        <c:axId val="-1328403856"/>
        <c:axId val="-1328407664"/>
      </c:barChart>
      <c:catAx>
        <c:axId val="-1328403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8407664"/>
        <c:crosses val="autoZero"/>
        <c:auto val="1"/>
        <c:lblAlgn val="ctr"/>
        <c:lblOffset val="100"/>
        <c:noMultiLvlLbl val="0"/>
      </c:catAx>
      <c:valAx>
        <c:axId val="-1328407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8403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extLst>
                <c:ext xmlns:c15="http://schemas.microsoft.com/office/drawing/2012/chart" uri="{02D57815-91ED-43cb-92C2-25804820EDAC}">
                  <c15:fullRef>
                    <c15:sqref>'List of Ratios'!$I$11:$K$12</c15:sqref>
                  </c15:fullRef>
                  <c15:levelRef>
                    <c15:sqref>'List of Ratios'!$I$12:$K$12</c15:sqref>
                  </c15:levelRef>
                </c:ext>
              </c:extLst>
              <c:f>'List of Ratios'!$I$12:$K$12</c:f>
              <c:strCache>
                <c:ptCount val="3"/>
                <c:pt idx="0">
                  <c:v>2022</c:v>
                </c:pt>
                <c:pt idx="1">
                  <c:v>2021</c:v>
                </c:pt>
                <c:pt idx="2">
                  <c:v>2020</c:v>
                </c:pt>
              </c:strCache>
            </c:strRef>
          </c:cat>
          <c:val>
            <c:numRef>
              <c:f>'List of Ratios'!$I$13:$K$13</c:f>
              <c:numCache>
                <c:formatCode>0.00</c:formatCode>
                <c:ptCount val="3"/>
                <c:pt idx="0">
                  <c:v>-4.7110527276784806</c:v>
                </c:pt>
                <c:pt idx="1">
                  <c:v>2.5572895737486232</c:v>
                </c:pt>
                <c:pt idx="2">
                  <c:v>13.959528623208204</c:v>
                </c:pt>
              </c:numCache>
            </c:numRef>
          </c:val>
        </c:ser>
        <c:dLbls>
          <c:dLblPos val="outEnd"/>
          <c:showLegendKey val="0"/>
          <c:showVal val="1"/>
          <c:showCatName val="0"/>
          <c:showSerName val="0"/>
          <c:showPercent val="0"/>
          <c:showBubbleSize val="0"/>
        </c:dLbls>
        <c:gapWidth val="219"/>
        <c:overlap val="-27"/>
        <c:axId val="-1328406576"/>
        <c:axId val="-1328401136"/>
      </c:barChart>
      <c:catAx>
        <c:axId val="-132840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8401136"/>
        <c:crosses val="autoZero"/>
        <c:auto val="1"/>
        <c:lblAlgn val="ctr"/>
        <c:lblOffset val="100"/>
        <c:noMultiLvlLbl val="0"/>
      </c:catAx>
      <c:valAx>
        <c:axId val="-13284011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8406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c:creator>
  <cp:keywords/>
  <dc:description/>
  <cp:lastModifiedBy>cg</cp:lastModifiedBy>
  <cp:revision>2</cp:revision>
  <dcterms:created xsi:type="dcterms:W3CDTF">2024-11-28T15:15:00Z</dcterms:created>
  <dcterms:modified xsi:type="dcterms:W3CDTF">2024-11-28T15:15:00Z</dcterms:modified>
</cp:coreProperties>
</file>