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992" w:tblpY="-1320"/>
        <w:tblW w:w="29733" w:type="dxa"/>
        <w:tblLook w:val="04A0" w:firstRow="1" w:lastRow="0" w:firstColumn="1" w:lastColumn="0" w:noHBand="0" w:noVBand="1"/>
      </w:tblPr>
      <w:tblGrid>
        <w:gridCol w:w="1493"/>
        <w:gridCol w:w="3043"/>
        <w:gridCol w:w="9557"/>
        <w:gridCol w:w="3600"/>
        <w:gridCol w:w="1460"/>
        <w:gridCol w:w="1460"/>
        <w:gridCol w:w="1440"/>
        <w:gridCol w:w="1440"/>
        <w:gridCol w:w="1440"/>
        <w:gridCol w:w="960"/>
        <w:gridCol w:w="960"/>
        <w:gridCol w:w="960"/>
        <w:gridCol w:w="960"/>
        <w:gridCol w:w="960"/>
      </w:tblGrid>
      <w:tr w:rsidR="002F1557" w:rsidRPr="002F1557" w14:paraId="3268902E" w14:textId="77777777" w:rsidTr="002F1557">
        <w:trPr>
          <w:trHeight w:val="1200"/>
        </w:trPr>
        <w:tc>
          <w:tcPr>
            <w:tcW w:w="1493" w:type="dxa"/>
            <w:tcBorders>
              <w:top w:val="nil"/>
              <w:left w:val="nil"/>
              <w:bottom w:val="nil"/>
              <w:right w:val="nil"/>
            </w:tcBorders>
            <w:shd w:val="clear" w:color="000000" w:fill="002060"/>
            <w:noWrap/>
            <w:vAlign w:val="center"/>
            <w:hideMark/>
          </w:tcPr>
          <w:p w14:paraId="09431B0E" w14:textId="77777777" w:rsidR="002F1557" w:rsidRPr="002F1557" w:rsidRDefault="002F1557" w:rsidP="004B5C20">
            <w:pPr>
              <w:spacing w:after="0" w:line="240" w:lineRule="auto"/>
              <w:jc w:val="both"/>
              <w:rPr>
                <w:rFonts w:ascii="Aptos Narrow" w:eastAsia="Times New Roman" w:hAnsi="Aptos Narrow" w:cs="Times New Roman"/>
                <w:b/>
                <w:bCs/>
                <w:color w:val="FFFFFF"/>
                <w:kern w:val="0"/>
                <w:sz w:val="40"/>
                <w:szCs w:val="40"/>
                <w:lang w:eastAsia="en-GB"/>
                <w14:ligatures w14:val="none"/>
              </w:rPr>
            </w:pPr>
            <w:r w:rsidRPr="002F1557">
              <w:rPr>
                <w:rFonts w:ascii="Aptos Narrow" w:eastAsia="Times New Roman" w:hAnsi="Aptos Narrow" w:cs="Times New Roman"/>
                <w:b/>
                <w:bCs/>
                <w:color w:val="FFFFFF"/>
                <w:kern w:val="0"/>
                <w:sz w:val="40"/>
                <w:szCs w:val="40"/>
                <w:lang w:eastAsia="en-GB"/>
                <w14:ligatures w14:val="none"/>
              </w:rPr>
              <w:t> </w:t>
            </w:r>
          </w:p>
        </w:tc>
        <w:tc>
          <w:tcPr>
            <w:tcW w:w="3043" w:type="dxa"/>
            <w:tcBorders>
              <w:top w:val="nil"/>
              <w:left w:val="nil"/>
              <w:bottom w:val="nil"/>
              <w:right w:val="nil"/>
            </w:tcBorders>
            <w:shd w:val="clear" w:color="000000" w:fill="002060"/>
          </w:tcPr>
          <w:p w14:paraId="49F2DAE0" w14:textId="77777777" w:rsidR="002F1557" w:rsidRPr="002F1557" w:rsidRDefault="002F1557" w:rsidP="004B5C20">
            <w:pPr>
              <w:spacing w:after="0" w:line="240" w:lineRule="auto"/>
              <w:jc w:val="both"/>
              <w:rPr>
                <w:rFonts w:ascii="Aptos Narrow" w:eastAsia="Times New Roman" w:hAnsi="Aptos Narrow" w:cs="Times New Roman"/>
                <w:color w:val="FFFFFF"/>
                <w:kern w:val="0"/>
                <w:sz w:val="40"/>
                <w:szCs w:val="40"/>
                <w:lang w:eastAsia="en-GB"/>
                <w14:ligatures w14:val="none"/>
              </w:rPr>
            </w:pPr>
          </w:p>
        </w:tc>
        <w:tc>
          <w:tcPr>
            <w:tcW w:w="9557" w:type="dxa"/>
            <w:tcBorders>
              <w:top w:val="nil"/>
              <w:left w:val="nil"/>
              <w:bottom w:val="nil"/>
              <w:right w:val="nil"/>
            </w:tcBorders>
            <w:shd w:val="clear" w:color="000000" w:fill="002060"/>
            <w:noWrap/>
            <w:vAlign w:val="bottom"/>
            <w:hideMark/>
          </w:tcPr>
          <w:p w14:paraId="6E719FE8" w14:textId="5CC9EF6C" w:rsidR="002F1557" w:rsidRPr="002F1557" w:rsidRDefault="002F1557" w:rsidP="004B5C20">
            <w:pPr>
              <w:spacing w:after="0" w:line="240" w:lineRule="auto"/>
              <w:jc w:val="both"/>
              <w:rPr>
                <w:rFonts w:ascii="Aptos Narrow" w:eastAsia="Times New Roman" w:hAnsi="Aptos Narrow" w:cs="Times New Roman"/>
                <w:color w:val="FFFFFF"/>
                <w:kern w:val="0"/>
                <w:sz w:val="40"/>
                <w:szCs w:val="40"/>
                <w:lang w:eastAsia="en-GB"/>
                <w14:ligatures w14:val="none"/>
              </w:rPr>
            </w:pPr>
            <w:r w:rsidRPr="002F1557">
              <w:rPr>
                <w:rFonts w:ascii="Aptos Narrow" w:eastAsia="Times New Roman" w:hAnsi="Aptos Narrow" w:cs="Times New Roman"/>
                <w:color w:val="FFFFFF"/>
                <w:kern w:val="0"/>
                <w:sz w:val="40"/>
                <w:szCs w:val="40"/>
                <w:lang w:eastAsia="en-GB"/>
                <w14:ligatures w14:val="none"/>
              </w:rPr>
              <w:t>Apple Inc.</w:t>
            </w:r>
          </w:p>
        </w:tc>
        <w:tc>
          <w:tcPr>
            <w:tcW w:w="3600" w:type="dxa"/>
            <w:tcBorders>
              <w:top w:val="nil"/>
              <w:left w:val="nil"/>
              <w:bottom w:val="nil"/>
              <w:right w:val="nil"/>
            </w:tcBorders>
            <w:shd w:val="clear" w:color="000000" w:fill="002060"/>
            <w:vAlign w:val="bottom"/>
            <w:hideMark/>
          </w:tcPr>
          <w:p w14:paraId="18106D7C" w14:textId="77777777" w:rsidR="002F1557" w:rsidRPr="002F1557" w:rsidRDefault="002F1557" w:rsidP="004B5C20">
            <w:pPr>
              <w:spacing w:after="0" w:line="240" w:lineRule="auto"/>
              <w:jc w:val="both"/>
              <w:rPr>
                <w:rFonts w:ascii="Aptos Narrow" w:eastAsia="Times New Roman" w:hAnsi="Aptos Narrow" w:cs="Times New Roman"/>
                <w:i/>
                <w:iCs/>
                <w:color w:val="FFFFFF"/>
                <w:kern w:val="0"/>
                <w:sz w:val="40"/>
                <w:szCs w:val="40"/>
                <w:lang w:eastAsia="en-GB"/>
                <w14:ligatures w14:val="none"/>
              </w:rPr>
            </w:pPr>
            <w:r w:rsidRPr="002F1557">
              <w:rPr>
                <w:rFonts w:ascii="Aptos Narrow" w:eastAsia="Times New Roman" w:hAnsi="Aptos Narrow" w:cs="Times New Roman"/>
                <w:i/>
                <w:iCs/>
                <w:color w:val="FFFFFF"/>
                <w:kern w:val="0"/>
                <w:sz w:val="40"/>
                <w:szCs w:val="40"/>
                <w:lang w:eastAsia="en-GB"/>
                <w14:ligatures w14:val="none"/>
              </w:rPr>
              <w:t> </w:t>
            </w:r>
          </w:p>
        </w:tc>
        <w:tc>
          <w:tcPr>
            <w:tcW w:w="1460" w:type="dxa"/>
            <w:tcBorders>
              <w:top w:val="nil"/>
              <w:left w:val="nil"/>
              <w:bottom w:val="nil"/>
              <w:right w:val="nil"/>
            </w:tcBorders>
            <w:shd w:val="clear" w:color="000000" w:fill="002060"/>
            <w:vAlign w:val="bottom"/>
            <w:hideMark/>
          </w:tcPr>
          <w:p w14:paraId="4944FE98" w14:textId="77777777" w:rsidR="002F1557" w:rsidRPr="002F1557" w:rsidRDefault="002F1557" w:rsidP="004B5C20">
            <w:pPr>
              <w:spacing w:after="0" w:line="240" w:lineRule="auto"/>
              <w:jc w:val="both"/>
              <w:rPr>
                <w:rFonts w:ascii="Aptos Narrow" w:eastAsia="Times New Roman" w:hAnsi="Aptos Narrow" w:cs="Times New Roman"/>
                <w:i/>
                <w:iCs/>
                <w:color w:val="FFFFFF"/>
                <w:kern w:val="0"/>
                <w:sz w:val="40"/>
                <w:szCs w:val="40"/>
                <w:lang w:eastAsia="en-GB"/>
                <w14:ligatures w14:val="none"/>
              </w:rPr>
            </w:pPr>
            <w:r w:rsidRPr="002F1557">
              <w:rPr>
                <w:rFonts w:ascii="Aptos Narrow" w:eastAsia="Times New Roman" w:hAnsi="Aptos Narrow" w:cs="Times New Roman"/>
                <w:i/>
                <w:iCs/>
                <w:color w:val="FFFFFF"/>
                <w:kern w:val="0"/>
                <w:sz w:val="40"/>
                <w:szCs w:val="40"/>
                <w:lang w:eastAsia="en-GB"/>
                <w14:ligatures w14:val="none"/>
              </w:rPr>
              <w:t> </w:t>
            </w:r>
          </w:p>
        </w:tc>
        <w:tc>
          <w:tcPr>
            <w:tcW w:w="1460" w:type="dxa"/>
            <w:tcBorders>
              <w:top w:val="nil"/>
              <w:left w:val="nil"/>
              <w:bottom w:val="nil"/>
              <w:right w:val="nil"/>
            </w:tcBorders>
            <w:shd w:val="clear" w:color="000000" w:fill="002060"/>
            <w:vAlign w:val="bottom"/>
            <w:hideMark/>
          </w:tcPr>
          <w:p w14:paraId="76E7F12C" w14:textId="77777777" w:rsidR="002F1557" w:rsidRPr="002F1557" w:rsidRDefault="002F1557" w:rsidP="004B5C20">
            <w:pPr>
              <w:spacing w:after="0" w:line="240" w:lineRule="auto"/>
              <w:jc w:val="both"/>
              <w:rPr>
                <w:rFonts w:ascii="Aptos Narrow" w:eastAsia="Times New Roman" w:hAnsi="Aptos Narrow" w:cs="Times New Roman"/>
                <w:i/>
                <w:iCs/>
                <w:color w:val="FFFFFF"/>
                <w:kern w:val="0"/>
                <w:sz w:val="40"/>
                <w:szCs w:val="40"/>
                <w:lang w:eastAsia="en-GB"/>
                <w14:ligatures w14:val="none"/>
              </w:rPr>
            </w:pPr>
            <w:r w:rsidRPr="002F1557">
              <w:rPr>
                <w:rFonts w:ascii="Aptos Narrow" w:eastAsia="Times New Roman" w:hAnsi="Aptos Narrow" w:cs="Times New Roman"/>
                <w:i/>
                <w:iCs/>
                <w:color w:val="FFFFFF"/>
                <w:kern w:val="0"/>
                <w:sz w:val="40"/>
                <w:szCs w:val="40"/>
                <w:lang w:eastAsia="en-GB"/>
                <w14:ligatures w14:val="none"/>
              </w:rPr>
              <w:t> </w:t>
            </w:r>
          </w:p>
        </w:tc>
        <w:tc>
          <w:tcPr>
            <w:tcW w:w="1440" w:type="dxa"/>
            <w:tcBorders>
              <w:top w:val="nil"/>
              <w:left w:val="nil"/>
              <w:bottom w:val="nil"/>
              <w:right w:val="nil"/>
            </w:tcBorders>
            <w:shd w:val="clear" w:color="000000" w:fill="002060"/>
            <w:noWrap/>
            <w:vAlign w:val="bottom"/>
            <w:hideMark/>
          </w:tcPr>
          <w:p w14:paraId="3B1C0AAA" w14:textId="77777777" w:rsidR="002F1557" w:rsidRPr="002F1557" w:rsidRDefault="002F1557" w:rsidP="004B5C20">
            <w:pPr>
              <w:spacing w:after="0" w:line="240" w:lineRule="auto"/>
              <w:jc w:val="both"/>
              <w:rPr>
                <w:rFonts w:ascii="Aptos Narrow" w:eastAsia="Times New Roman" w:hAnsi="Aptos Narrow" w:cs="Times New Roman"/>
                <w:color w:val="FFFFFF"/>
                <w:kern w:val="0"/>
                <w:sz w:val="22"/>
                <w:szCs w:val="22"/>
                <w:lang w:eastAsia="en-GB"/>
                <w14:ligatures w14:val="none"/>
              </w:rPr>
            </w:pPr>
            <w:r w:rsidRPr="002F1557">
              <w:rPr>
                <w:rFonts w:ascii="Aptos Narrow" w:eastAsia="Times New Roman" w:hAnsi="Aptos Narrow" w:cs="Times New Roman"/>
                <w:color w:val="FFFFFF"/>
                <w:kern w:val="0"/>
                <w:sz w:val="22"/>
                <w:szCs w:val="22"/>
                <w:lang w:eastAsia="en-GB"/>
                <w14:ligatures w14:val="none"/>
              </w:rPr>
              <w:t> </w:t>
            </w:r>
          </w:p>
        </w:tc>
        <w:tc>
          <w:tcPr>
            <w:tcW w:w="1440" w:type="dxa"/>
            <w:tcBorders>
              <w:top w:val="nil"/>
              <w:left w:val="nil"/>
              <w:bottom w:val="nil"/>
              <w:right w:val="nil"/>
            </w:tcBorders>
            <w:shd w:val="clear" w:color="000000" w:fill="002060"/>
            <w:noWrap/>
            <w:vAlign w:val="bottom"/>
            <w:hideMark/>
          </w:tcPr>
          <w:p w14:paraId="3DD1E1F7" w14:textId="77777777" w:rsidR="002F1557" w:rsidRPr="002F1557" w:rsidRDefault="002F1557" w:rsidP="004B5C20">
            <w:pPr>
              <w:spacing w:after="0" w:line="240" w:lineRule="auto"/>
              <w:jc w:val="both"/>
              <w:rPr>
                <w:rFonts w:ascii="Aptos Narrow" w:eastAsia="Times New Roman" w:hAnsi="Aptos Narrow" w:cs="Times New Roman"/>
                <w:color w:val="FFFFFF"/>
                <w:kern w:val="0"/>
                <w:sz w:val="22"/>
                <w:szCs w:val="22"/>
                <w:lang w:eastAsia="en-GB"/>
                <w14:ligatures w14:val="none"/>
              </w:rPr>
            </w:pPr>
            <w:r w:rsidRPr="002F1557">
              <w:rPr>
                <w:rFonts w:ascii="Aptos Narrow" w:eastAsia="Times New Roman" w:hAnsi="Aptos Narrow" w:cs="Times New Roman"/>
                <w:color w:val="FFFFFF"/>
                <w:kern w:val="0"/>
                <w:sz w:val="22"/>
                <w:szCs w:val="22"/>
                <w:lang w:eastAsia="en-GB"/>
                <w14:ligatures w14:val="none"/>
              </w:rPr>
              <w:t> </w:t>
            </w:r>
          </w:p>
        </w:tc>
        <w:tc>
          <w:tcPr>
            <w:tcW w:w="1440" w:type="dxa"/>
            <w:tcBorders>
              <w:top w:val="nil"/>
              <w:left w:val="nil"/>
              <w:bottom w:val="nil"/>
              <w:right w:val="nil"/>
            </w:tcBorders>
            <w:shd w:val="clear" w:color="000000" w:fill="002060"/>
            <w:noWrap/>
            <w:vAlign w:val="bottom"/>
            <w:hideMark/>
          </w:tcPr>
          <w:p w14:paraId="37D6A223" w14:textId="77777777" w:rsidR="002F1557" w:rsidRPr="002F1557" w:rsidRDefault="002F1557" w:rsidP="004B5C20">
            <w:pPr>
              <w:spacing w:after="0" w:line="240" w:lineRule="auto"/>
              <w:jc w:val="both"/>
              <w:rPr>
                <w:rFonts w:ascii="Aptos Narrow" w:eastAsia="Times New Roman" w:hAnsi="Aptos Narrow" w:cs="Times New Roman"/>
                <w:color w:val="FFFFFF"/>
                <w:kern w:val="0"/>
                <w:sz w:val="22"/>
                <w:szCs w:val="22"/>
                <w:lang w:eastAsia="en-GB"/>
                <w14:ligatures w14:val="none"/>
              </w:rPr>
            </w:pPr>
            <w:r w:rsidRPr="002F1557">
              <w:rPr>
                <w:rFonts w:ascii="Aptos Narrow" w:eastAsia="Times New Roman" w:hAnsi="Aptos Narrow" w:cs="Times New Roman"/>
                <w:color w:val="FFFFFF"/>
                <w:kern w:val="0"/>
                <w:sz w:val="22"/>
                <w:szCs w:val="22"/>
                <w:lang w:eastAsia="en-GB"/>
                <w14:ligatures w14:val="none"/>
              </w:rPr>
              <w:t> </w:t>
            </w:r>
          </w:p>
        </w:tc>
        <w:tc>
          <w:tcPr>
            <w:tcW w:w="960" w:type="dxa"/>
            <w:tcBorders>
              <w:top w:val="nil"/>
              <w:left w:val="nil"/>
              <w:bottom w:val="nil"/>
              <w:right w:val="nil"/>
            </w:tcBorders>
            <w:shd w:val="clear" w:color="000000" w:fill="002060"/>
            <w:noWrap/>
            <w:vAlign w:val="bottom"/>
            <w:hideMark/>
          </w:tcPr>
          <w:p w14:paraId="4016F7A6" w14:textId="77777777" w:rsidR="002F1557" w:rsidRPr="002F1557" w:rsidRDefault="002F1557" w:rsidP="004B5C20">
            <w:pPr>
              <w:spacing w:after="0" w:line="240" w:lineRule="auto"/>
              <w:jc w:val="both"/>
              <w:rPr>
                <w:rFonts w:ascii="Aptos Narrow" w:eastAsia="Times New Roman" w:hAnsi="Aptos Narrow" w:cs="Times New Roman"/>
                <w:color w:val="FFFFFF"/>
                <w:kern w:val="0"/>
                <w:sz w:val="22"/>
                <w:szCs w:val="22"/>
                <w:lang w:eastAsia="en-GB"/>
                <w14:ligatures w14:val="none"/>
              </w:rPr>
            </w:pPr>
            <w:r w:rsidRPr="002F1557">
              <w:rPr>
                <w:rFonts w:ascii="Aptos Narrow" w:eastAsia="Times New Roman" w:hAnsi="Aptos Narrow" w:cs="Times New Roman"/>
                <w:color w:val="FFFFFF"/>
                <w:kern w:val="0"/>
                <w:sz w:val="22"/>
                <w:szCs w:val="22"/>
                <w:lang w:eastAsia="en-GB"/>
                <w14:ligatures w14:val="none"/>
              </w:rPr>
              <w:t> </w:t>
            </w:r>
          </w:p>
        </w:tc>
        <w:tc>
          <w:tcPr>
            <w:tcW w:w="960" w:type="dxa"/>
            <w:tcBorders>
              <w:top w:val="nil"/>
              <w:left w:val="nil"/>
              <w:bottom w:val="nil"/>
              <w:right w:val="nil"/>
            </w:tcBorders>
            <w:shd w:val="clear" w:color="000000" w:fill="002060"/>
            <w:noWrap/>
            <w:vAlign w:val="bottom"/>
            <w:hideMark/>
          </w:tcPr>
          <w:p w14:paraId="4C277A77" w14:textId="77777777" w:rsidR="002F1557" w:rsidRPr="002F1557" w:rsidRDefault="002F1557" w:rsidP="004B5C20">
            <w:pPr>
              <w:spacing w:after="0" w:line="240" w:lineRule="auto"/>
              <w:jc w:val="both"/>
              <w:rPr>
                <w:rFonts w:ascii="Aptos Narrow" w:eastAsia="Times New Roman" w:hAnsi="Aptos Narrow" w:cs="Times New Roman"/>
                <w:color w:val="FFFFFF"/>
                <w:kern w:val="0"/>
                <w:sz w:val="22"/>
                <w:szCs w:val="22"/>
                <w:lang w:eastAsia="en-GB"/>
                <w14:ligatures w14:val="none"/>
              </w:rPr>
            </w:pPr>
            <w:r w:rsidRPr="002F1557">
              <w:rPr>
                <w:rFonts w:ascii="Aptos Narrow" w:eastAsia="Times New Roman" w:hAnsi="Aptos Narrow" w:cs="Times New Roman"/>
                <w:color w:val="FFFFFF"/>
                <w:kern w:val="0"/>
                <w:sz w:val="22"/>
                <w:szCs w:val="22"/>
                <w:lang w:eastAsia="en-GB"/>
                <w14:ligatures w14:val="none"/>
              </w:rPr>
              <w:t> </w:t>
            </w:r>
          </w:p>
        </w:tc>
        <w:tc>
          <w:tcPr>
            <w:tcW w:w="960" w:type="dxa"/>
            <w:tcBorders>
              <w:top w:val="nil"/>
              <w:left w:val="nil"/>
              <w:bottom w:val="nil"/>
              <w:right w:val="nil"/>
            </w:tcBorders>
            <w:shd w:val="clear" w:color="000000" w:fill="002060"/>
            <w:noWrap/>
            <w:vAlign w:val="bottom"/>
            <w:hideMark/>
          </w:tcPr>
          <w:p w14:paraId="2191F4EF" w14:textId="77777777" w:rsidR="002F1557" w:rsidRPr="002F1557" w:rsidRDefault="002F1557" w:rsidP="004B5C20">
            <w:pPr>
              <w:spacing w:after="0" w:line="240" w:lineRule="auto"/>
              <w:jc w:val="both"/>
              <w:rPr>
                <w:rFonts w:ascii="Aptos Narrow" w:eastAsia="Times New Roman" w:hAnsi="Aptos Narrow" w:cs="Times New Roman"/>
                <w:color w:val="FFFFFF"/>
                <w:kern w:val="0"/>
                <w:sz w:val="22"/>
                <w:szCs w:val="22"/>
                <w:lang w:eastAsia="en-GB"/>
                <w14:ligatures w14:val="none"/>
              </w:rPr>
            </w:pPr>
            <w:r w:rsidRPr="002F1557">
              <w:rPr>
                <w:rFonts w:ascii="Aptos Narrow" w:eastAsia="Times New Roman" w:hAnsi="Aptos Narrow" w:cs="Times New Roman"/>
                <w:color w:val="FFFFFF"/>
                <w:kern w:val="0"/>
                <w:sz w:val="22"/>
                <w:szCs w:val="22"/>
                <w:lang w:eastAsia="en-GB"/>
                <w14:ligatures w14:val="none"/>
              </w:rPr>
              <w:t> </w:t>
            </w:r>
          </w:p>
        </w:tc>
        <w:tc>
          <w:tcPr>
            <w:tcW w:w="960" w:type="dxa"/>
            <w:tcBorders>
              <w:top w:val="nil"/>
              <w:left w:val="nil"/>
              <w:bottom w:val="nil"/>
              <w:right w:val="nil"/>
            </w:tcBorders>
            <w:shd w:val="clear" w:color="000000" w:fill="002060"/>
            <w:noWrap/>
            <w:vAlign w:val="bottom"/>
            <w:hideMark/>
          </w:tcPr>
          <w:p w14:paraId="776E3629" w14:textId="77777777" w:rsidR="002F1557" w:rsidRPr="002F1557" w:rsidRDefault="002F1557" w:rsidP="004B5C20">
            <w:pPr>
              <w:spacing w:after="0" w:line="240" w:lineRule="auto"/>
              <w:jc w:val="both"/>
              <w:rPr>
                <w:rFonts w:ascii="Aptos Narrow" w:eastAsia="Times New Roman" w:hAnsi="Aptos Narrow" w:cs="Times New Roman"/>
                <w:color w:val="FFFFFF"/>
                <w:kern w:val="0"/>
                <w:sz w:val="22"/>
                <w:szCs w:val="22"/>
                <w:lang w:eastAsia="en-GB"/>
                <w14:ligatures w14:val="none"/>
              </w:rPr>
            </w:pPr>
            <w:r w:rsidRPr="002F1557">
              <w:rPr>
                <w:rFonts w:ascii="Aptos Narrow" w:eastAsia="Times New Roman" w:hAnsi="Aptos Narrow" w:cs="Times New Roman"/>
                <w:color w:val="FFFFFF"/>
                <w:kern w:val="0"/>
                <w:sz w:val="22"/>
                <w:szCs w:val="22"/>
                <w:lang w:eastAsia="en-GB"/>
                <w14:ligatures w14:val="none"/>
              </w:rPr>
              <w:t> </w:t>
            </w:r>
          </w:p>
        </w:tc>
        <w:tc>
          <w:tcPr>
            <w:tcW w:w="960" w:type="dxa"/>
            <w:tcBorders>
              <w:top w:val="nil"/>
              <w:left w:val="nil"/>
              <w:bottom w:val="nil"/>
              <w:right w:val="nil"/>
            </w:tcBorders>
            <w:shd w:val="clear" w:color="000000" w:fill="002060"/>
            <w:noWrap/>
            <w:vAlign w:val="bottom"/>
            <w:hideMark/>
          </w:tcPr>
          <w:p w14:paraId="5A20ABB8" w14:textId="77777777" w:rsidR="002F1557" w:rsidRPr="002F1557" w:rsidRDefault="002F1557" w:rsidP="004B5C20">
            <w:pPr>
              <w:spacing w:after="0" w:line="240" w:lineRule="auto"/>
              <w:jc w:val="both"/>
              <w:rPr>
                <w:rFonts w:ascii="Aptos Narrow" w:eastAsia="Times New Roman" w:hAnsi="Aptos Narrow" w:cs="Times New Roman"/>
                <w:color w:val="FFFFFF"/>
                <w:kern w:val="0"/>
                <w:sz w:val="22"/>
                <w:szCs w:val="22"/>
                <w:lang w:eastAsia="en-GB"/>
                <w14:ligatures w14:val="none"/>
              </w:rPr>
            </w:pPr>
            <w:r w:rsidRPr="002F1557">
              <w:rPr>
                <w:rFonts w:ascii="Aptos Narrow" w:eastAsia="Times New Roman" w:hAnsi="Aptos Narrow" w:cs="Times New Roman"/>
                <w:color w:val="FFFFFF"/>
                <w:kern w:val="0"/>
                <w:sz w:val="22"/>
                <w:szCs w:val="22"/>
                <w:lang w:eastAsia="en-GB"/>
                <w14:ligatures w14:val="none"/>
              </w:rPr>
              <w:t> </w:t>
            </w:r>
          </w:p>
        </w:tc>
      </w:tr>
    </w:tbl>
    <w:p w14:paraId="0C5498B5" w14:textId="40CDE548" w:rsidR="002F1557" w:rsidRPr="00BB20C9" w:rsidRDefault="002F1557" w:rsidP="004B5C20">
      <w:pPr>
        <w:jc w:val="both"/>
        <w:rPr>
          <w:b/>
          <w:bCs/>
        </w:rPr>
      </w:pPr>
      <w:r w:rsidRPr="00BB20C9">
        <w:rPr>
          <w:b/>
          <w:bCs/>
        </w:rPr>
        <w:t>FINANCIAL RATIO ANALYSIS REPORT OF APPLE INC</w:t>
      </w:r>
      <w:r w:rsidR="004655D6" w:rsidRPr="00BB20C9">
        <w:rPr>
          <w:b/>
          <w:bCs/>
        </w:rPr>
        <w:t xml:space="preserve"> FOR THE YEARS 2020-2022</w:t>
      </w:r>
    </w:p>
    <w:p w14:paraId="5DDDB37E" w14:textId="35F11DB6" w:rsidR="002A6393" w:rsidRDefault="002A6393" w:rsidP="004B5C20">
      <w:pPr>
        <w:jc w:val="both"/>
      </w:pPr>
      <w:r w:rsidRPr="002A6393">
        <w:t>This report provides an in-depth analysis of Apple Inc.'s financial ratios over the three years (2020, 2021, and 2022) to assess the company's liquidity, profitability, solvency, asset utilization, and market performance</w:t>
      </w:r>
      <w:r w:rsidR="005270EB">
        <w:t xml:space="preserve"> as well as growth rates in the line items of the income statement and balance sheet. The ratios are thoroughly examined</w:t>
      </w:r>
      <w:r w:rsidRPr="002A6393">
        <w:t xml:space="preserve"> </w:t>
      </w:r>
      <w:r w:rsidR="005270EB">
        <w:t xml:space="preserve">offering </w:t>
      </w:r>
      <w:r w:rsidR="005270EB" w:rsidRPr="002A6393">
        <w:t>insight</w:t>
      </w:r>
      <w:r w:rsidR="005270EB">
        <w:t>s</w:t>
      </w:r>
      <w:r w:rsidR="005270EB" w:rsidRPr="002A6393">
        <w:t xml:space="preserve"> into</w:t>
      </w:r>
      <w:r w:rsidRPr="002A6393">
        <w:t xml:space="preserve"> the company's financial health and trends over the</w:t>
      </w:r>
      <w:r w:rsidR="005270EB">
        <w:t xml:space="preserve"> </w:t>
      </w:r>
      <w:r w:rsidR="002E592D">
        <w:t xml:space="preserve">financial </w:t>
      </w:r>
      <w:r w:rsidR="002E592D" w:rsidRPr="002A6393">
        <w:t>periods</w:t>
      </w:r>
      <w:r w:rsidRPr="002A6393">
        <w:t>.</w:t>
      </w:r>
    </w:p>
    <w:p w14:paraId="52656F3B" w14:textId="104502A4" w:rsidR="002F1557" w:rsidRPr="002A6393" w:rsidRDefault="002F1557" w:rsidP="004B5C20">
      <w:pPr>
        <w:pStyle w:val="ListParagraph"/>
        <w:numPr>
          <w:ilvl w:val="0"/>
          <w:numId w:val="1"/>
        </w:numPr>
        <w:jc w:val="both"/>
        <w:rPr>
          <w:b/>
          <w:bCs/>
        </w:rPr>
      </w:pPr>
      <w:r w:rsidRPr="002A6393">
        <w:rPr>
          <w:b/>
          <w:bCs/>
        </w:rPr>
        <w:t>LIQUIDITY RATIOS</w:t>
      </w:r>
    </w:p>
    <w:tbl>
      <w:tblPr>
        <w:tblStyle w:val="TableGrid"/>
        <w:tblW w:w="0" w:type="auto"/>
        <w:tblLook w:val="04A0" w:firstRow="1" w:lastRow="0" w:firstColumn="1" w:lastColumn="0" w:noHBand="0" w:noVBand="1"/>
      </w:tblPr>
      <w:tblGrid>
        <w:gridCol w:w="2254"/>
        <w:gridCol w:w="2254"/>
        <w:gridCol w:w="2254"/>
        <w:gridCol w:w="2254"/>
      </w:tblGrid>
      <w:tr w:rsidR="004655D6" w14:paraId="50C64C35" w14:textId="77777777" w:rsidTr="004655D6">
        <w:tc>
          <w:tcPr>
            <w:tcW w:w="2254" w:type="dxa"/>
          </w:tcPr>
          <w:p w14:paraId="596F8B9B" w14:textId="13136B4B" w:rsidR="004655D6" w:rsidRPr="00C73AB4" w:rsidRDefault="002A6393" w:rsidP="004B5C20">
            <w:pPr>
              <w:jc w:val="both"/>
              <w:rPr>
                <w:b/>
                <w:bCs/>
              </w:rPr>
            </w:pPr>
            <w:r w:rsidRPr="00C73AB4">
              <w:rPr>
                <w:b/>
                <w:bCs/>
              </w:rPr>
              <w:t>RATIOS</w:t>
            </w:r>
          </w:p>
        </w:tc>
        <w:tc>
          <w:tcPr>
            <w:tcW w:w="2254" w:type="dxa"/>
          </w:tcPr>
          <w:p w14:paraId="274BA535" w14:textId="7C3ABF21" w:rsidR="004655D6" w:rsidRPr="00C73AB4" w:rsidRDefault="004655D6" w:rsidP="004B5C20">
            <w:pPr>
              <w:jc w:val="both"/>
              <w:rPr>
                <w:b/>
                <w:bCs/>
              </w:rPr>
            </w:pPr>
            <w:r w:rsidRPr="00C73AB4">
              <w:rPr>
                <w:b/>
                <w:bCs/>
              </w:rPr>
              <w:t>2022</w:t>
            </w:r>
          </w:p>
        </w:tc>
        <w:tc>
          <w:tcPr>
            <w:tcW w:w="2254" w:type="dxa"/>
          </w:tcPr>
          <w:p w14:paraId="1C0DAB50" w14:textId="1B0E3A9B" w:rsidR="004655D6" w:rsidRPr="00C73AB4" w:rsidRDefault="004655D6" w:rsidP="004B5C20">
            <w:pPr>
              <w:jc w:val="both"/>
              <w:rPr>
                <w:b/>
                <w:bCs/>
              </w:rPr>
            </w:pPr>
            <w:r w:rsidRPr="00C73AB4">
              <w:rPr>
                <w:b/>
                <w:bCs/>
              </w:rPr>
              <w:t>2021</w:t>
            </w:r>
          </w:p>
        </w:tc>
        <w:tc>
          <w:tcPr>
            <w:tcW w:w="2254" w:type="dxa"/>
          </w:tcPr>
          <w:p w14:paraId="5371D35C" w14:textId="051265B1" w:rsidR="004655D6" w:rsidRPr="00C73AB4" w:rsidRDefault="004655D6" w:rsidP="004B5C20">
            <w:pPr>
              <w:jc w:val="both"/>
              <w:rPr>
                <w:b/>
                <w:bCs/>
              </w:rPr>
            </w:pPr>
            <w:r w:rsidRPr="00C73AB4">
              <w:rPr>
                <w:b/>
                <w:bCs/>
              </w:rPr>
              <w:t>2020</w:t>
            </w:r>
          </w:p>
        </w:tc>
      </w:tr>
      <w:tr w:rsidR="004655D6" w14:paraId="1A64B49B" w14:textId="77777777" w:rsidTr="004655D6">
        <w:tc>
          <w:tcPr>
            <w:tcW w:w="2254" w:type="dxa"/>
          </w:tcPr>
          <w:p w14:paraId="62667AA6" w14:textId="0524F6A2" w:rsidR="004655D6" w:rsidRDefault="004655D6" w:rsidP="004B5C20">
            <w:pPr>
              <w:jc w:val="both"/>
            </w:pPr>
            <w:r>
              <w:t>Current ratio</w:t>
            </w:r>
          </w:p>
        </w:tc>
        <w:tc>
          <w:tcPr>
            <w:tcW w:w="2254" w:type="dxa"/>
          </w:tcPr>
          <w:p w14:paraId="107C13A4" w14:textId="1CC3401E" w:rsidR="004655D6" w:rsidRDefault="004655D6" w:rsidP="004B5C20">
            <w:pPr>
              <w:jc w:val="both"/>
            </w:pPr>
            <w:r>
              <w:t>0.88</w:t>
            </w:r>
          </w:p>
        </w:tc>
        <w:tc>
          <w:tcPr>
            <w:tcW w:w="2254" w:type="dxa"/>
          </w:tcPr>
          <w:p w14:paraId="030A2C2F" w14:textId="312C4382" w:rsidR="004655D6" w:rsidRDefault="004655D6" w:rsidP="004B5C20">
            <w:pPr>
              <w:jc w:val="both"/>
            </w:pPr>
            <w:r>
              <w:t>1.07</w:t>
            </w:r>
          </w:p>
        </w:tc>
        <w:tc>
          <w:tcPr>
            <w:tcW w:w="2254" w:type="dxa"/>
          </w:tcPr>
          <w:p w14:paraId="384DC3FE" w14:textId="163BA3F4" w:rsidR="004655D6" w:rsidRDefault="004655D6" w:rsidP="004B5C20">
            <w:pPr>
              <w:jc w:val="both"/>
            </w:pPr>
            <w:r>
              <w:t>1.36</w:t>
            </w:r>
          </w:p>
        </w:tc>
      </w:tr>
      <w:tr w:rsidR="004655D6" w14:paraId="2156A9C3" w14:textId="77777777" w:rsidTr="004655D6">
        <w:tc>
          <w:tcPr>
            <w:tcW w:w="2254" w:type="dxa"/>
          </w:tcPr>
          <w:p w14:paraId="247153CF" w14:textId="0A4E6880" w:rsidR="004655D6" w:rsidRDefault="00413060" w:rsidP="004B5C20">
            <w:pPr>
              <w:jc w:val="both"/>
            </w:pPr>
            <w:r>
              <w:t>Quick ratio</w:t>
            </w:r>
          </w:p>
        </w:tc>
        <w:tc>
          <w:tcPr>
            <w:tcW w:w="2254" w:type="dxa"/>
          </w:tcPr>
          <w:p w14:paraId="2AA8FA34" w14:textId="3C0A764B" w:rsidR="004655D6" w:rsidRDefault="00413060" w:rsidP="004B5C20">
            <w:pPr>
              <w:jc w:val="both"/>
            </w:pPr>
            <w:r>
              <w:t>0.85</w:t>
            </w:r>
          </w:p>
        </w:tc>
        <w:tc>
          <w:tcPr>
            <w:tcW w:w="2254" w:type="dxa"/>
          </w:tcPr>
          <w:p w14:paraId="2F9353BD" w14:textId="01641992" w:rsidR="004655D6" w:rsidRDefault="00413060" w:rsidP="004B5C20">
            <w:pPr>
              <w:jc w:val="both"/>
            </w:pPr>
            <w:r>
              <w:t>1.02</w:t>
            </w:r>
          </w:p>
        </w:tc>
        <w:tc>
          <w:tcPr>
            <w:tcW w:w="2254" w:type="dxa"/>
          </w:tcPr>
          <w:p w14:paraId="42005200" w14:textId="2AE551D8" w:rsidR="004655D6" w:rsidRDefault="00413060" w:rsidP="004B5C20">
            <w:pPr>
              <w:jc w:val="both"/>
            </w:pPr>
            <w:r>
              <w:t>1.33</w:t>
            </w:r>
          </w:p>
        </w:tc>
      </w:tr>
      <w:tr w:rsidR="004655D6" w14:paraId="25970C87" w14:textId="77777777" w:rsidTr="004655D6">
        <w:tc>
          <w:tcPr>
            <w:tcW w:w="2254" w:type="dxa"/>
          </w:tcPr>
          <w:p w14:paraId="14BB5690" w14:textId="39A70005" w:rsidR="004655D6" w:rsidRDefault="00413060" w:rsidP="004B5C20">
            <w:pPr>
              <w:jc w:val="both"/>
            </w:pPr>
            <w:r>
              <w:t>Cash ratio</w:t>
            </w:r>
          </w:p>
        </w:tc>
        <w:tc>
          <w:tcPr>
            <w:tcW w:w="2254" w:type="dxa"/>
          </w:tcPr>
          <w:p w14:paraId="71F4990B" w14:textId="36AE9298" w:rsidR="004655D6" w:rsidRDefault="00413060" w:rsidP="004B5C20">
            <w:pPr>
              <w:jc w:val="both"/>
            </w:pPr>
            <w:r>
              <w:t>0.15</w:t>
            </w:r>
          </w:p>
        </w:tc>
        <w:tc>
          <w:tcPr>
            <w:tcW w:w="2254" w:type="dxa"/>
          </w:tcPr>
          <w:p w14:paraId="4FA026D1" w14:textId="015B47A7" w:rsidR="004655D6" w:rsidRDefault="00413060" w:rsidP="004B5C20">
            <w:pPr>
              <w:jc w:val="both"/>
            </w:pPr>
            <w:r>
              <w:t>0.28</w:t>
            </w:r>
          </w:p>
        </w:tc>
        <w:tc>
          <w:tcPr>
            <w:tcW w:w="2254" w:type="dxa"/>
          </w:tcPr>
          <w:p w14:paraId="4DFE0873" w14:textId="220FA7B0" w:rsidR="004655D6" w:rsidRDefault="00413060" w:rsidP="004B5C20">
            <w:pPr>
              <w:jc w:val="both"/>
            </w:pPr>
            <w:r>
              <w:t>0.36</w:t>
            </w:r>
          </w:p>
        </w:tc>
      </w:tr>
    </w:tbl>
    <w:p w14:paraId="17D5AA4B" w14:textId="77777777" w:rsidR="002F1557" w:rsidRDefault="002F1557" w:rsidP="004B5C20">
      <w:pPr>
        <w:jc w:val="both"/>
      </w:pPr>
    </w:p>
    <w:p w14:paraId="6EC84007" w14:textId="3A10BEBB" w:rsidR="00F10615" w:rsidRDefault="00F10615" w:rsidP="004B5C20">
      <w:pPr>
        <w:jc w:val="both"/>
        <w:rPr>
          <w:b/>
          <w:bCs/>
        </w:rPr>
      </w:pPr>
      <w:r>
        <w:rPr>
          <w:noProof/>
        </w:rPr>
        <w:drawing>
          <wp:inline distT="0" distB="0" distL="0" distR="0" wp14:anchorId="2F71EFBD" wp14:editId="3E07006E">
            <wp:extent cx="4819650" cy="2743200"/>
            <wp:effectExtent l="0" t="0" r="0" b="0"/>
            <wp:docPr id="500306380" name="Chart 1">
              <a:extLst xmlns:a="http://schemas.openxmlformats.org/drawingml/2006/main">
                <a:ext uri="{FF2B5EF4-FFF2-40B4-BE49-F238E27FC236}">
                  <a16:creationId xmlns:a16="http://schemas.microsoft.com/office/drawing/2014/main" id="{5212828B-5453-F236-D438-7D4FD5166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D1870E" w14:textId="77777777" w:rsidR="00DE5899" w:rsidRDefault="00DE5899" w:rsidP="004B5C20">
      <w:pPr>
        <w:jc w:val="both"/>
        <w:rPr>
          <w:b/>
          <w:bCs/>
        </w:rPr>
      </w:pPr>
    </w:p>
    <w:tbl>
      <w:tblPr>
        <w:tblStyle w:val="TableGrid"/>
        <w:tblW w:w="0" w:type="auto"/>
        <w:tblLook w:val="04A0" w:firstRow="1" w:lastRow="0" w:firstColumn="1" w:lastColumn="0" w:noHBand="0" w:noVBand="1"/>
      </w:tblPr>
      <w:tblGrid>
        <w:gridCol w:w="2428"/>
        <w:gridCol w:w="2196"/>
        <w:gridCol w:w="2196"/>
        <w:gridCol w:w="2196"/>
      </w:tblGrid>
      <w:tr w:rsidR="00EA1250" w14:paraId="54B084D8" w14:textId="09C7F38D" w:rsidTr="00EA1250">
        <w:tc>
          <w:tcPr>
            <w:tcW w:w="2428" w:type="dxa"/>
          </w:tcPr>
          <w:p w14:paraId="062F910B" w14:textId="30CAF8BE" w:rsidR="00EA1250" w:rsidRDefault="00DE5899" w:rsidP="004B5C20">
            <w:pPr>
              <w:jc w:val="both"/>
              <w:rPr>
                <w:b/>
                <w:bCs/>
              </w:rPr>
            </w:pPr>
            <w:r>
              <w:rPr>
                <w:b/>
                <w:bCs/>
              </w:rPr>
              <w:t xml:space="preserve">OTHER LIQUIDITY </w:t>
            </w:r>
            <w:r w:rsidR="00EA1250">
              <w:rPr>
                <w:b/>
                <w:bCs/>
              </w:rPr>
              <w:t>RATIOS</w:t>
            </w:r>
          </w:p>
        </w:tc>
        <w:tc>
          <w:tcPr>
            <w:tcW w:w="2196" w:type="dxa"/>
          </w:tcPr>
          <w:p w14:paraId="69DC051F" w14:textId="4E1CD31B" w:rsidR="00EA1250" w:rsidRDefault="00EA1250" w:rsidP="004B5C20">
            <w:pPr>
              <w:jc w:val="both"/>
              <w:rPr>
                <w:b/>
                <w:bCs/>
              </w:rPr>
            </w:pPr>
            <w:r>
              <w:rPr>
                <w:b/>
                <w:bCs/>
              </w:rPr>
              <w:t>2022</w:t>
            </w:r>
          </w:p>
        </w:tc>
        <w:tc>
          <w:tcPr>
            <w:tcW w:w="2196" w:type="dxa"/>
          </w:tcPr>
          <w:p w14:paraId="38BD63F5" w14:textId="5D1ECA9B" w:rsidR="00EA1250" w:rsidRDefault="00EA1250" w:rsidP="004B5C20">
            <w:pPr>
              <w:jc w:val="both"/>
              <w:rPr>
                <w:b/>
                <w:bCs/>
              </w:rPr>
            </w:pPr>
            <w:r>
              <w:rPr>
                <w:b/>
                <w:bCs/>
              </w:rPr>
              <w:t>2021</w:t>
            </w:r>
          </w:p>
        </w:tc>
        <w:tc>
          <w:tcPr>
            <w:tcW w:w="2196" w:type="dxa"/>
          </w:tcPr>
          <w:p w14:paraId="56D70E23" w14:textId="2052AE4E" w:rsidR="00EA1250" w:rsidRDefault="00EA1250" w:rsidP="004B5C20">
            <w:pPr>
              <w:jc w:val="both"/>
              <w:rPr>
                <w:b/>
                <w:bCs/>
              </w:rPr>
            </w:pPr>
            <w:r>
              <w:rPr>
                <w:b/>
                <w:bCs/>
              </w:rPr>
              <w:t>2020</w:t>
            </w:r>
          </w:p>
        </w:tc>
      </w:tr>
      <w:tr w:rsidR="00EA1250" w14:paraId="68F97748" w14:textId="13462B1C" w:rsidTr="00EA1250">
        <w:tc>
          <w:tcPr>
            <w:tcW w:w="2428" w:type="dxa"/>
          </w:tcPr>
          <w:p w14:paraId="12E54051" w14:textId="6BC92D40" w:rsidR="00EA1250" w:rsidRPr="005944AE" w:rsidRDefault="00EA1250" w:rsidP="004B5C20">
            <w:pPr>
              <w:jc w:val="both"/>
            </w:pPr>
            <w:r w:rsidRPr="005944AE">
              <w:t>Inventory Days</w:t>
            </w:r>
          </w:p>
        </w:tc>
        <w:tc>
          <w:tcPr>
            <w:tcW w:w="2196" w:type="dxa"/>
          </w:tcPr>
          <w:p w14:paraId="7FE121D6" w14:textId="357EA95E" w:rsidR="00EA1250" w:rsidRPr="005944AE" w:rsidRDefault="00700587" w:rsidP="004B5C20">
            <w:pPr>
              <w:jc w:val="both"/>
            </w:pPr>
            <w:r w:rsidRPr="005944AE">
              <w:t>8 days</w:t>
            </w:r>
          </w:p>
        </w:tc>
        <w:tc>
          <w:tcPr>
            <w:tcW w:w="2196" w:type="dxa"/>
          </w:tcPr>
          <w:p w14:paraId="7ADC1AB4" w14:textId="5F6795A9" w:rsidR="00EA1250" w:rsidRPr="005944AE" w:rsidRDefault="00700587" w:rsidP="004B5C20">
            <w:pPr>
              <w:jc w:val="both"/>
            </w:pPr>
            <w:r w:rsidRPr="005944AE">
              <w:t>11 days</w:t>
            </w:r>
          </w:p>
        </w:tc>
        <w:tc>
          <w:tcPr>
            <w:tcW w:w="2196" w:type="dxa"/>
          </w:tcPr>
          <w:p w14:paraId="05F09536" w14:textId="7465B237" w:rsidR="00EA1250" w:rsidRPr="005944AE" w:rsidRDefault="00700587" w:rsidP="004B5C20">
            <w:pPr>
              <w:jc w:val="both"/>
            </w:pPr>
            <w:r w:rsidRPr="005944AE">
              <w:t>9 days</w:t>
            </w:r>
          </w:p>
        </w:tc>
      </w:tr>
      <w:tr w:rsidR="00EA1250" w14:paraId="3A8EDB8F" w14:textId="7998E964" w:rsidTr="00EA1250">
        <w:tc>
          <w:tcPr>
            <w:tcW w:w="2428" w:type="dxa"/>
          </w:tcPr>
          <w:p w14:paraId="4561E3CA" w14:textId="49C6D5AC" w:rsidR="00EA1250" w:rsidRPr="005944AE" w:rsidRDefault="00EA1250" w:rsidP="004B5C20">
            <w:pPr>
              <w:jc w:val="both"/>
            </w:pPr>
            <w:r w:rsidRPr="005944AE">
              <w:t>Payable days</w:t>
            </w:r>
          </w:p>
        </w:tc>
        <w:tc>
          <w:tcPr>
            <w:tcW w:w="2196" w:type="dxa"/>
          </w:tcPr>
          <w:p w14:paraId="576CA608" w14:textId="1F4D22B5" w:rsidR="00EA1250" w:rsidRPr="005944AE" w:rsidRDefault="00700587" w:rsidP="004B5C20">
            <w:pPr>
              <w:jc w:val="both"/>
            </w:pPr>
            <w:r w:rsidRPr="005944AE">
              <w:t>104 days</w:t>
            </w:r>
          </w:p>
        </w:tc>
        <w:tc>
          <w:tcPr>
            <w:tcW w:w="2196" w:type="dxa"/>
          </w:tcPr>
          <w:p w14:paraId="7E2A5F16" w14:textId="044730A4" w:rsidR="00EA1250" w:rsidRPr="005944AE" w:rsidRDefault="00700587" w:rsidP="004B5C20">
            <w:pPr>
              <w:jc w:val="both"/>
            </w:pPr>
            <w:r w:rsidRPr="005944AE">
              <w:t>94 days</w:t>
            </w:r>
          </w:p>
        </w:tc>
        <w:tc>
          <w:tcPr>
            <w:tcW w:w="2196" w:type="dxa"/>
          </w:tcPr>
          <w:p w14:paraId="7A3EAB0B" w14:textId="18B787D8" w:rsidR="00EA1250" w:rsidRPr="005944AE" w:rsidRDefault="00700587" w:rsidP="004B5C20">
            <w:pPr>
              <w:jc w:val="both"/>
            </w:pPr>
            <w:r w:rsidRPr="005944AE">
              <w:t>91 days</w:t>
            </w:r>
          </w:p>
        </w:tc>
      </w:tr>
      <w:tr w:rsidR="00EA1250" w14:paraId="59336467" w14:textId="5134BFCE" w:rsidTr="00EA1250">
        <w:tc>
          <w:tcPr>
            <w:tcW w:w="2428" w:type="dxa"/>
          </w:tcPr>
          <w:p w14:paraId="1589CD80" w14:textId="7189EF86" w:rsidR="00EA1250" w:rsidRPr="005944AE" w:rsidRDefault="00EA1250" w:rsidP="004B5C20">
            <w:pPr>
              <w:jc w:val="both"/>
            </w:pPr>
            <w:r w:rsidRPr="005944AE">
              <w:t>Receivable Days</w:t>
            </w:r>
          </w:p>
        </w:tc>
        <w:tc>
          <w:tcPr>
            <w:tcW w:w="2196" w:type="dxa"/>
          </w:tcPr>
          <w:p w14:paraId="629D6517" w14:textId="22BC3AB1" w:rsidR="00EA1250" w:rsidRPr="005944AE" w:rsidRDefault="00700587" w:rsidP="004B5C20">
            <w:pPr>
              <w:jc w:val="both"/>
            </w:pPr>
            <w:r w:rsidRPr="005944AE">
              <w:t>26 days</w:t>
            </w:r>
          </w:p>
        </w:tc>
        <w:tc>
          <w:tcPr>
            <w:tcW w:w="2196" w:type="dxa"/>
          </w:tcPr>
          <w:p w14:paraId="4B3C0908" w14:textId="3A321EAD" w:rsidR="00EA1250" w:rsidRPr="005944AE" w:rsidRDefault="00700587" w:rsidP="004B5C20">
            <w:pPr>
              <w:jc w:val="both"/>
            </w:pPr>
            <w:r w:rsidRPr="005944AE">
              <w:t>26 days</w:t>
            </w:r>
          </w:p>
        </w:tc>
        <w:tc>
          <w:tcPr>
            <w:tcW w:w="2196" w:type="dxa"/>
          </w:tcPr>
          <w:p w14:paraId="6FAF1095" w14:textId="3CB25BEE" w:rsidR="00EA1250" w:rsidRPr="005944AE" w:rsidRDefault="00700587" w:rsidP="004B5C20">
            <w:pPr>
              <w:jc w:val="both"/>
            </w:pPr>
            <w:r w:rsidRPr="005944AE">
              <w:t>21 days</w:t>
            </w:r>
          </w:p>
        </w:tc>
      </w:tr>
      <w:tr w:rsidR="00EA1250" w:rsidRPr="00EA1250" w14:paraId="4BFF9042" w14:textId="77777777" w:rsidTr="00EA1250">
        <w:tc>
          <w:tcPr>
            <w:tcW w:w="2428" w:type="dxa"/>
          </w:tcPr>
          <w:p w14:paraId="19B14666" w14:textId="3EE01424" w:rsidR="00EA1250" w:rsidRPr="005944AE" w:rsidRDefault="00700587" w:rsidP="004B5C20">
            <w:pPr>
              <w:jc w:val="both"/>
            </w:pPr>
            <w:r w:rsidRPr="005944AE">
              <w:t>Net trading cycle</w:t>
            </w:r>
          </w:p>
        </w:tc>
        <w:tc>
          <w:tcPr>
            <w:tcW w:w="2196" w:type="dxa"/>
          </w:tcPr>
          <w:p w14:paraId="40E66A88" w14:textId="02F1F0D9" w:rsidR="00EA1250" w:rsidRPr="005944AE" w:rsidRDefault="00700587" w:rsidP="004B5C20">
            <w:pPr>
              <w:jc w:val="both"/>
            </w:pPr>
            <w:r w:rsidRPr="005944AE">
              <w:t>-70.52</w:t>
            </w:r>
          </w:p>
        </w:tc>
        <w:tc>
          <w:tcPr>
            <w:tcW w:w="2196" w:type="dxa"/>
          </w:tcPr>
          <w:p w14:paraId="6291B514" w14:textId="1485A0AD" w:rsidR="00EA1250" w:rsidRPr="005944AE" w:rsidRDefault="00700587" w:rsidP="004B5C20">
            <w:pPr>
              <w:jc w:val="both"/>
            </w:pPr>
            <w:r w:rsidRPr="005944AE">
              <w:t>-56.36</w:t>
            </w:r>
          </w:p>
        </w:tc>
        <w:tc>
          <w:tcPr>
            <w:tcW w:w="2196" w:type="dxa"/>
          </w:tcPr>
          <w:p w14:paraId="0ADC99A9" w14:textId="4E436705" w:rsidR="00EA1250" w:rsidRPr="005944AE" w:rsidRDefault="00700587" w:rsidP="004B5C20">
            <w:pPr>
              <w:jc w:val="both"/>
            </w:pPr>
            <w:r w:rsidRPr="005944AE">
              <w:t>-60.87</w:t>
            </w:r>
          </w:p>
        </w:tc>
      </w:tr>
      <w:tr w:rsidR="00EA1250" w14:paraId="334008CA" w14:textId="77777777" w:rsidTr="00EA1250">
        <w:tc>
          <w:tcPr>
            <w:tcW w:w="2428" w:type="dxa"/>
          </w:tcPr>
          <w:p w14:paraId="76C6A404" w14:textId="77777777" w:rsidR="00700587" w:rsidRPr="005944AE" w:rsidRDefault="00700587" w:rsidP="004B5C20">
            <w:pPr>
              <w:jc w:val="both"/>
              <w:rPr>
                <w:rFonts w:ascii="Calibri" w:hAnsi="Calibri" w:cs="Calibri"/>
                <w:color w:val="000000"/>
                <w:sz w:val="22"/>
                <w:szCs w:val="22"/>
              </w:rPr>
            </w:pPr>
            <w:r w:rsidRPr="005944AE">
              <w:rPr>
                <w:rFonts w:ascii="Calibri" w:hAnsi="Calibri" w:cs="Calibri"/>
                <w:color w:val="000000"/>
                <w:sz w:val="22"/>
                <w:szCs w:val="22"/>
              </w:rPr>
              <w:t>Working Capital as a % of Sales</w:t>
            </w:r>
          </w:p>
          <w:p w14:paraId="4E6C4326" w14:textId="77777777" w:rsidR="00EA1250" w:rsidRPr="005944AE" w:rsidRDefault="00EA1250" w:rsidP="004B5C20">
            <w:pPr>
              <w:jc w:val="both"/>
            </w:pPr>
          </w:p>
        </w:tc>
        <w:tc>
          <w:tcPr>
            <w:tcW w:w="2196" w:type="dxa"/>
          </w:tcPr>
          <w:p w14:paraId="2A58F753" w14:textId="3B8114F4" w:rsidR="00EA1250" w:rsidRPr="005944AE" w:rsidRDefault="00700587" w:rsidP="004B5C20">
            <w:pPr>
              <w:jc w:val="both"/>
            </w:pPr>
            <w:r w:rsidRPr="005944AE">
              <w:t>-0.05</w:t>
            </w:r>
          </w:p>
        </w:tc>
        <w:tc>
          <w:tcPr>
            <w:tcW w:w="2196" w:type="dxa"/>
          </w:tcPr>
          <w:p w14:paraId="321501EC" w14:textId="53757988" w:rsidR="00EA1250" w:rsidRPr="005944AE" w:rsidRDefault="00700587" w:rsidP="004B5C20">
            <w:pPr>
              <w:jc w:val="both"/>
            </w:pPr>
            <w:r w:rsidRPr="005944AE">
              <w:t>0.03</w:t>
            </w:r>
          </w:p>
        </w:tc>
        <w:tc>
          <w:tcPr>
            <w:tcW w:w="2196" w:type="dxa"/>
          </w:tcPr>
          <w:p w14:paraId="6AF77B3F" w14:textId="35FE9DA5" w:rsidR="00EA1250" w:rsidRPr="005944AE" w:rsidRDefault="00700587" w:rsidP="004B5C20">
            <w:pPr>
              <w:jc w:val="both"/>
            </w:pPr>
            <w:r w:rsidRPr="005944AE">
              <w:t>0.14</w:t>
            </w:r>
          </w:p>
        </w:tc>
      </w:tr>
    </w:tbl>
    <w:p w14:paraId="1876C31D" w14:textId="77777777" w:rsidR="00EA1250" w:rsidRDefault="00EA1250" w:rsidP="004B5C20">
      <w:pPr>
        <w:jc w:val="both"/>
        <w:rPr>
          <w:b/>
          <w:bCs/>
        </w:rPr>
      </w:pPr>
    </w:p>
    <w:p w14:paraId="17F06847" w14:textId="77777777" w:rsidR="00F10615" w:rsidRDefault="00F10615" w:rsidP="004B5C20">
      <w:pPr>
        <w:jc w:val="both"/>
        <w:rPr>
          <w:b/>
          <w:bCs/>
        </w:rPr>
      </w:pPr>
    </w:p>
    <w:p w14:paraId="419BCE3B" w14:textId="77777777" w:rsidR="005270EB" w:rsidRDefault="005270EB" w:rsidP="004B5C20">
      <w:pPr>
        <w:jc w:val="both"/>
        <w:rPr>
          <w:b/>
          <w:bCs/>
        </w:rPr>
      </w:pPr>
    </w:p>
    <w:p w14:paraId="57F7DEFD" w14:textId="3328DC65" w:rsidR="00413060" w:rsidRPr="008268EF" w:rsidRDefault="00413060" w:rsidP="004B5C20">
      <w:pPr>
        <w:jc w:val="both"/>
        <w:rPr>
          <w:b/>
          <w:bCs/>
        </w:rPr>
      </w:pPr>
      <w:r w:rsidRPr="008268EF">
        <w:rPr>
          <w:b/>
          <w:bCs/>
        </w:rPr>
        <w:lastRenderedPageBreak/>
        <w:t>ANALYSIS</w:t>
      </w:r>
    </w:p>
    <w:p w14:paraId="7575C048" w14:textId="3BA599BB" w:rsidR="00D937B4" w:rsidRDefault="007262B2" w:rsidP="004B5C20">
      <w:pPr>
        <w:jc w:val="both"/>
      </w:pPr>
      <w:r w:rsidRPr="007262B2">
        <w:t xml:space="preserve">This report offers a comprehensive examination of Apple Inc.'s liquidity ratios </w:t>
      </w:r>
      <w:r w:rsidR="00C73AB4">
        <w:t>from 2020 to 2022</w:t>
      </w:r>
      <w:r w:rsidRPr="007262B2">
        <w:t xml:space="preserve">, utilizing </w:t>
      </w:r>
      <w:r w:rsidR="00D937B4" w:rsidRPr="007262B2">
        <w:t xml:space="preserve">data </w:t>
      </w:r>
      <w:r w:rsidR="00D937B4">
        <w:t>from its end of year financial statements</w:t>
      </w:r>
      <w:r w:rsidRPr="007262B2">
        <w:t xml:space="preserve"> </w:t>
      </w:r>
      <w:r w:rsidR="00D937B4">
        <w:t xml:space="preserve">to </w:t>
      </w:r>
      <w:r w:rsidRPr="007262B2">
        <w:t xml:space="preserve">evaluate the company's short-term financial health and liquidity management </w:t>
      </w:r>
      <w:r w:rsidR="007A258B" w:rsidRPr="007262B2">
        <w:t>strategies.</w:t>
      </w:r>
      <w:r w:rsidR="007A258B">
        <w:t xml:space="preserve"> Liquidity</w:t>
      </w:r>
      <w:r w:rsidR="00413060">
        <w:t xml:space="preserve"> ratios are crucial for evaluating a company’s ability to meet short-term obligations using its liquid </w:t>
      </w:r>
      <w:r w:rsidR="008268EF">
        <w:t>assets. In</w:t>
      </w:r>
      <w:r w:rsidR="00413060">
        <w:t xml:space="preserve"> this report Apple Inc’s liquidity ratios were assessed based on the current ratio, quick ratio and cash ratio.</w:t>
      </w:r>
      <w:r w:rsidR="00D937B4">
        <w:t xml:space="preserve"> Other ratios like the inventory days, payable days and receivable days will be used in providing further information on the company’s liquidity.</w:t>
      </w:r>
    </w:p>
    <w:p w14:paraId="738CD121" w14:textId="6F0EA9FC" w:rsidR="007262B2" w:rsidRDefault="00D937B4" w:rsidP="004B5C20">
      <w:pPr>
        <w:jc w:val="both"/>
      </w:pPr>
      <w:r w:rsidRPr="00D937B4">
        <w:t xml:space="preserve"> </w:t>
      </w:r>
      <w:r w:rsidRPr="00D937B4">
        <w:t xml:space="preserve">The current ratio </w:t>
      </w:r>
      <w:r>
        <w:t>assesses</w:t>
      </w:r>
      <w:r w:rsidRPr="00D937B4">
        <w:t xml:space="preserve"> the company’s ability to pay off its short-term liabilities with its short-term assets.</w:t>
      </w:r>
      <w:r>
        <w:t xml:space="preserve"> Usually, a </w:t>
      </w:r>
      <w:r w:rsidRPr="00D937B4">
        <w:t xml:space="preserve">current ratio </w:t>
      </w:r>
      <w:r>
        <w:t xml:space="preserve">that is </w:t>
      </w:r>
      <w:r w:rsidRPr="00D937B4">
        <w:t>above 1</w:t>
      </w:r>
      <w:r w:rsidR="007565C8">
        <w:t xml:space="preserve"> is </w:t>
      </w:r>
      <w:r w:rsidR="005270EB">
        <w:t xml:space="preserve">considered as </w:t>
      </w:r>
      <w:r w:rsidR="007565C8">
        <w:t>more desirable as it</w:t>
      </w:r>
      <w:r w:rsidRPr="00D937B4">
        <w:t xml:space="preserve"> </w:t>
      </w:r>
      <w:r>
        <w:t>indicates the company’s ability to cover its short-term liabilities using its current assets.</w:t>
      </w:r>
      <w:r w:rsidRPr="00D937B4">
        <w:t xml:space="preserve"> Over the three-year period, </w:t>
      </w:r>
      <w:r>
        <w:t xml:space="preserve">there is </w:t>
      </w:r>
      <w:r w:rsidRPr="00D937B4">
        <w:t xml:space="preserve">a decline from 1.36 in 2020 to 0.88 in 2022, which </w:t>
      </w:r>
      <w:r w:rsidR="007565C8">
        <w:t>reveal</w:t>
      </w:r>
      <w:r w:rsidRPr="00D937B4">
        <w:t>s a decreasing ability to cover short-term liabilities</w:t>
      </w:r>
      <w:r>
        <w:t xml:space="preserve"> with the available current assets.</w:t>
      </w:r>
      <w:r w:rsidRPr="00D937B4">
        <w:t xml:space="preserve"> </w:t>
      </w:r>
      <w:r w:rsidR="00836B7C">
        <w:t xml:space="preserve"> </w:t>
      </w:r>
      <w:r w:rsidR="00836B7C" w:rsidRPr="00836B7C">
        <w:t xml:space="preserve">The observed decline in current assets during 2021, especially in cash and cash equivalents and marketable securities, along with only a marginal increase in 2022, highlights inefficient working capital management. </w:t>
      </w:r>
      <w:r w:rsidR="00836B7C">
        <w:t>If this trend persists</w:t>
      </w:r>
      <w:r w:rsidR="00836B7C" w:rsidRPr="00836B7C">
        <w:t>, the company is likely to face substantial liquidity challenges, potentially jeopardizing its overall financial health</w:t>
      </w:r>
      <w:r w:rsidR="00B53891">
        <w:t>.</w:t>
      </w:r>
      <w:r w:rsidR="00836B7C" w:rsidRPr="007262B2">
        <w:t xml:space="preserve"> </w:t>
      </w:r>
    </w:p>
    <w:p w14:paraId="7A425276" w14:textId="79D8B9D0" w:rsidR="00BA71DE" w:rsidRDefault="00836B7C" w:rsidP="004B5C20">
      <w:pPr>
        <w:jc w:val="both"/>
      </w:pPr>
      <w:r>
        <w:t>T</w:t>
      </w:r>
      <w:r w:rsidR="007262B2" w:rsidRPr="007262B2">
        <w:t xml:space="preserve">he quick ratio </w:t>
      </w:r>
      <w:r>
        <w:t xml:space="preserve">also measures the company’s ability to cater for its </w:t>
      </w:r>
      <w:r w:rsidR="007565C8">
        <w:t>short-term</w:t>
      </w:r>
      <w:r>
        <w:t xml:space="preserve"> liabilities by excluding inventory from the current assets. In a similar vein, there is a declining trend in the quick ratio </w:t>
      </w:r>
      <w:r w:rsidR="007262B2" w:rsidRPr="007262B2">
        <w:t xml:space="preserve">reducing from 1.33 in 2020 to 0.85 in 2022. This suggests </w:t>
      </w:r>
      <w:r>
        <w:t xml:space="preserve">that the company’s most liquid assets are not sufficient to cover the current liabilities and raises potential liquidity concerns regarding Apple Inc’s short-term solvency. </w:t>
      </w:r>
    </w:p>
    <w:p w14:paraId="322A546A" w14:textId="4759F12B" w:rsidR="00410A63" w:rsidRDefault="00836B7C" w:rsidP="004B5C20">
      <w:pPr>
        <w:jc w:val="both"/>
      </w:pPr>
      <w:r w:rsidRPr="00836B7C">
        <w:t>The cash ratio</w:t>
      </w:r>
      <w:r>
        <w:t xml:space="preserve">, on the other hand, </w:t>
      </w:r>
      <w:r w:rsidRPr="00836B7C">
        <w:t xml:space="preserve">only considers cash and cash equivalents. A ratio below 1 </w:t>
      </w:r>
      <w:r>
        <w:t xml:space="preserve">implies that </w:t>
      </w:r>
      <w:r w:rsidRPr="00836B7C">
        <w:t>the company does not have enough cash to pay off</w:t>
      </w:r>
      <w:r>
        <w:t xml:space="preserve"> its</w:t>
      </w:r>
      <w:r w:rsidRPr="00836B7C">
        <w:t xml:space="preserve"> short-term </w:t>
      </w:r>
      <w:r w:rsidR="005270EB">
        <w:t>obligations</w:t>
      </w:r>
      <w:r w:rsidR="005270EB" w:rsidRPr="00836B7C">
        <w:t>. The</w:t>
      </w:r>
      <w:r w:rsidRPr="00836B7C">
        <w:t xml:space="preserve"> </w:t>
      </w:r>
      <w:r w:rsidR="007565C8">
        <w:t>reduction</w:t>
      </w:r>
      <w:r w:rsidRPr="00836B7C">
        <w:t xml:space="preserve"> from 0.36 in 2020 to 0.15 in 2022 </w:t>
      </w:r>
      <w:r w:rsidR="000A29A4">
        <w:t xml:space="preserve">signifies a </w:t>
      </w:r>
      <w:r w:rsidR="005270EB">
        <w:t>considerable</w:t>
      </w:r>
      <w:r w:rsidRPr="00836B7C">
        <w:t xml:space="preserve"> </w:t>
      </w:r>
      <w:r w:rsidR="007565C8">
        <w:t>drop</w:t>
      </w:r>
      <w:r w:rsidRPr="00836B7C">
        <w:t xml:space="preserve"> in cash reserves, which is</w:t>
      </w:r>
      <w:r w:rsidR="005270EB">
        <w:t xml:space="preserve"> a critical concern</w:t>
      </w:r>
      <w:r w:rsidRPr="00836B7C">
        <w:t xml:space="preserve"> as it shows the company has less immediate liquidity </w:t>
      </w:r>
      <w:r w:rsidRPr="00836B7C">
        <w:t>available.</w:t>
      </w:r>
      <w:r w:rsidRPr="002A6393">
        <w:t xml:space="preserve"> </w:t>
      </w:r>
      <w:r w:rsidR="00CA3176">
        <w:t>This</w:t>
      </w:r>
      <w:r w:rsidR="00BA71DE" w:rsidRPr="00BA71DE">
        <w:t xml:space="preserve"> </w:t>
      </w:r>
      <w:r w:rsidR="00B67AE9">
        <w:t>can partly</w:t>
      </w:r>
      <w:r w:rsidR="00B53891">
        <w:t xml:space="preserve"> be attributed to the huge purchases in marketable securities and repurchases of common stock as seen in the cashflow </w:t>
      </w:r>
      <w:r w:rsidR="005270EB">
        <w:t>statements.</w:t>
      </w:r>
      <w:r w:rsidR="00BA71DE" w:rsidRPr="00BA71DE">
        <w:t xml:space="preserve"> While Apple's </w:t>
      </w:r>
      <w:r w:rsidR="005270EB" w:rsidRPr="00BA71DE">
        <w:t>strong</w:t>
      </w:r>
      <w:r w:rsidR="00BA71DE" w:rsidRPr="00BA71DE">
        <w:t xml:space="preserve"> operational cash flows can typically mitigate liquidity concerns, a low cash ratio could limit the company's financial flexibility in periods of economic </w:t>
      </w:r>
      <w:r w:rsidR="00C73AB4" w:rsidRPr="00BA71DE">
        <w:t>uncertainty.</w:t>
      </w:r>
      <w:r w:rsidR="00C73AB4" w:rsidRPr="001462F4">
        <w:t xml:space="preserve"> A</w:t>
      </w:r>
      <w:r w:rsidR="001462F4" w:rsidRPr="001462F4">
        <w:t xml:space="preserve"> declining trend in liquidity ratios highlights tighter working capital </w:t>
      </w:r>
      <w:r w:rsidR="00B67AE9" w:rsidRPr="001462F4">
        <w:t>management</w:t>
      </w:r>
      <w:r w:rsidR="001462F4" w:rsidRPr="001462F4">
        <w:t xml:space="preserve"> but raises concerns about short-term financial flexibility</w:t>
      </w:r>
      <w:r w:rsidR="00410A63">
        <w:t xml:space="preserve"> and </w:t>
      </w:r>
      <w:r w:rsidR="00410A63" w:rsidRPr="00410A63">
        <w:t>signals potential risks in meeting short-term obligations.</w:t>
      </w:r>
    </w:p>
    <w:p w14:paraId="5132A796" w14:textId="67E96043" w:rsidR="00B53891" w:rsidRDefault="00CA3176" w:rsidP="004B5C20">
      <w:pPr>
        <w:jc w:val="both"/>
      </w:pPr>
      <w:r>
        <w:t xml:space="preserve">The </w:t>
      </w:r>
      <w:r w:rsidR="00B53891" w:rsidRPr="00B53891">
        <w:t>Inventory days</w:t>
      </w:r>
      <w:r>
        <w:t>, receivable days and payable days further explain the company’s liquidity.</w:t>
      </w:r>
      <w:r w:rsidR="00B53891" w:rsidRPr="00B53891">
        <w:t xml:space="preserve"> </w:t>
      </w:r>
      <w:r>
        <w:t xml:space="preserve">Inventory days </w:t>
      </w:r>
      <w:r w:rsidR="00B53891" w:rsidRPr="00B53891">
        <w:t xml:space="preserve">measure the average time inventory is held before being sold. The reduction from 11 days in 2021 to 8 days in 2022 suggests improved inventory management, indicating </w:t>
      </w:r>
      <w:r>
        <w:t>Apple Inc.</w:t>
      </w:r>
      <w:r w:rsidR="00B53891" w:rsidRPr="00B53891">
        <w:t xml:space="preserve"> is</w:t>
      </w:r>
      <w:r>
        <w:t xml:space="preserve"> </w:t>
      </w:r>
      <w:r w:rsidR="005270EB">
        <w:t xml:space="preserve">rapidly </w:t>
      </w:r>
      <w:r w:rsidR="005270EB" w:rsidRPr="00B53891">
        <w:t>utilising</w:t>
      </w:r>
      <w:r>
        <w:t xml:space="preserve"> its inventory.</w:t>
      </w:r>
    </w:p>
    <w:p w14:paraId="2AE394B5" w14:textId="0408FB0C" w:rsidR="00B53891" w:rsidRDefault="00B53891" w:rsidP="004B5C20">
      <w:pPr>
        <w:jc w:val="both"/>
      </w:pPr>
      <w:r w:rsidRPr="00B53891">
        <w:lastRenderedPageBreak/>
        <w:t xml:space="preserve">Payable days show how long it takes the company to pay its suppliers. The increase from 91 days in 2020 to 104 days in 2022 indicates the company is taking longer to settle its payables, which may be a strategy to preserve cash in the short term but could </w:t>
      </w:r>
      <w:r w:rsidR="005270EB">
        <w:t xml:space="preserve">possibly </w:t>
      </w:r>
      <w:r w:rsidRPr="00B53891">
        <w:t>strain supplier relationships.</w:t>
      </w:r>
      <w:r w:rsidR="00E325BC" w:rsidRPr="00E325BC">
        <w:t xml:space="preserve"> </w:t>
      </w:r>
      <w:r w:rsidR="00E325BC" w:rsidRPr="00E325BC">
        <w:t xml:space="preserve">Receivable days reflect the time taken to collect payments from customers. A constant period of 26 days in 2021 and 2022, up from 21 days in 2020, suggests the company’s efficiency in collecting receivables has remained stable but </w:t>
      </w:r>
      <w:r w:rsidR="005270EB">
        <w:t xml:space="preserve">has </w:t>
      </w:r>
      <w:r w:rsidR="00E325BC" w:rsidRPr="00E325BC">
        <w:t>slightly deteriorated from 2020.</w:t>
      </w:r>
      <w:r w:rsidR="00E325BC" w:rsidRPr="00E325BC">
        <w:t xml:space="preserve"> </w:t>
      </w:r>
      <w:r w:rsidR="00E325BC" w:rsidRPr="00E325BC">
        <w:t>The net trading cycle</w:t>
      </w:r>
      <w:r w:rsidR="00CA3176">
        <w:t xml:space="preserve"> </w:t>
      </w:r>
      <w:r w:rsidR="00E325BC" w:rsidRPr="00E325BC">
        <w:t>indicates the number of days the company’s cash is tied up in the operations. A negative cycle means the company receives cash from sales before it needs to pay suppliers. The increasing negativity from -56.36 days in 2021 to -70.52 days in 2022 shows an improvement in cash cycle management.</w:t>
      </w:r>
      <w:r w:rsidR="00E325BC" w:rsidRPr="00E325BC">
        <w:t xml:space="preserve"> </w:t>
      </w:r>
      <w:r w:rsidR="00CA3176">
        <w:t xml:space="preserve">With regards to </w:t>
      </w:r>
      <w:r w:rsidR="004B5C20">
        <w:t xml:space="preserve">the </w:t>
      </w:r>
      <w:r w:rsidR="004B5C20" w:rsidRPr="00E325BC">
        <w:t>proportion</w:t>
      </w:r>
      <w:r w:rsidR="00E325BC" w:rsidRPr="00E325BC">
        <w:t xml:space="preserve"> of working capital relative to sale</w:t>
      </w:r>
      <w:r w:rsidR="00CA3176">
        <w:t>s, t</w:t>
      </w:r>
      <w:r w:rsidR="00E325BC" w:rsidRPr="00E325BC">
        <w:t xml:space="preserve">he negative percentage in 2022 indicates a deficiency in working capital, implying the company has more current liabilities than current assets. This deficiency has grown from a positive 0.14% in 2020 to a negative 0.05% in 2022, </w:t>
      </w:r>
      <w:r w:rsidR="004B5C20">
        <w:t>which reveals a</w:t>
      </w:r>
      <w:r w:rsidR="00E325BC" w:rsidRPr="00E325BC">
        <w:t xml:space="preserve"> worsening working capital management.</w:t>
      </w:r>
      <w:r w:rsidR="00E325BC" w:rsidRPr="00E325BC">
        <w:t xml:space="preserve"> </w:t>
      </w:r>
      <w:r w:rsidR="00E325BC" w:rsidRPr="00E325BC">
        <w:t>In conclusion, while there are improvements in inventory management and cash cycle efficiency, the increasing payable days and deterioration in working capital management present significant concerns. The company’s strategy to delay payables might be preserving cash temporarily but could result in longer-term financial health issues. Immediate steps should be taken to enhance receivables collection and manage payables better to ensure the company’s financial stability.</w:t>
      </w:r>
    </w:p>
    <w:p w14:paraId="40DF281B" w14:textId="5DF055B1" w:rsidR="00B53891" w:rsidRDefault="00BA71DE" w:rsidP="004B5C20">
      <w:pPr>
        <w:jc w:val="both"/>
      </w:pPr>
      <w:r w:rsidRPr="00C73AB4">
        <w:t xml:space="preserve">To enhance liquidity and ensure better management of short-term obligations, Apple Inc. is advised to </w:t>
      </w:r>
      <w:r w:rsidR="004B5C20">
        <w:t>i</w:t>
      </w:r>
      <w:r w:rsidRPr="00C73AB4">
        <w:t xml:space="preserve">mprove the management of </w:t>
      </w:r>
      <w:r w:rsidR="00C73AB4" w:rsidRPr="00C73AB4">
        <w:t xml:space="preserve">their </w:t>
      </w:r>
      <w:r w:rsidR="004B5C20">
        <w:t>c</w:t>
      </w:r>
      <w:r w:rsidR="00C73AB4" w:rsidRPr="00C73AB4">
        <w:t>ash</w:t>
      </w:r>
      <w:r w:rsidRPr="00C73AB4">
        <w:t xml:space="preserve"> </w:t>
      </w:r>
      <w:r w:rsidR="004B5C20">
        <w:t>f</w:t>
      </w:r>
      <w:r w:rsidRPr="00C73AB4">
        <w:t>low. This can</w:t>
      </w:r>
      <w:r w:rsidR="00C73AB4" w:rsidRPr="00C73AB4">
        <w:t xml:space="preserve"> </w:t>
      </w:r>
      <w:r w:rsidRPr="00C73AB4">
        <w:t xml:space="preserve">be done by </w:t>
      </w:r>
      <w:r w:rsidR="004B5C20" w:rsidRPr="00C73AB4">
        <w:t>strengthening</w:t>
      </w:r>
      <w:r w:rsidRPr="00C73AB4">
        <w:t xml:space="preserve"> their collections on accounts receivable and </w:t>
      </w:r>
      <w:r w:rsidR="00C73AB4" w:rsidRPr="00C73AB4">
        <w:t>minimizing operational</w:t>
      </w:r>
      <w:r w:rsidRPr="00C73AB4">
        <w:t xml:space="preserve"> inefficiencies to maintain a higher proportion of earnings as liquid </w:t>
      </w:r>
      <w:r w:rsidR="00B67AE9" w:rsidRPr="00C73AB4">
        <w:t>assets.</w:t>
      </w:r>
      <w:r w:rsidR="00B53891" w:rsidRPr="00836B7C">
        <w:t xml:space="preserve"> It is critical for the company to take immediate action by enhancing asset management practices and implementing effective liability reduction strategies.</w:t>
      </w:r>
      <w:r w:rsidR="00B53891" w:rsidRPr="007262B2">
        <w:t xml:space="preserve"> </w:t>
      </w:r>
    </w:p>
    <w:p w14:paraId="6CF6115A" w14:textId="4C126D1F" w:rsidR="00BA71DE" w:rsidRDefault="00BA71DE" w:rsidP="004B5C20">
      <w:pPr>
        <w:jc w:val="both"/>
      </w:pPr>
      <w:r w:rsidRPr="00C73AB4">
        <w:t xml:space="preserve">Though Apple’s inventory showed a slight improvement in 2022, more </w:t>
      </w:r>
      <w:r w:rsidR="00C73AB4" w:rsidRPr="00C73AB4">
        <w:t>dynamic measures</w:t>
      </w:r>
      <w:r w:rsidRPr="00C73AB4">
        <w:t xml:space="preserve"> like just-in-time inventory practices can be </w:t>
      </w:r>
      <w:r w:rsidR="00C73AB4" w:rsidRPr="00C73AB4">
        <w:t>implemented to</w:t>
      </w:r>
      <w:r w:rsidRPr="00C73AB4">
        <w:t xml:space="preserve"> minimize excess stock and free up working capital to improve the quick ratio.</w:t>
      </w:r>
    </w:p>
    <w:p w14:paraId="21287DDC" w14:textId="77777777" w:rsidR="00934359" w:rsidRDefault="00934359" w:rsidP="004B5C20">
      <w:pPr>
        <w:jc w:val="both"/>
      </w:pPr>
    </w:p>
    <w:p w14:paraId="75923769" w14:textId="4754D768" w:rsidR="00934359" w:rsidRPr="00C73AB4" w:rsidRDefault="00934359" w:rsidP="004B5C20">
      <w:pPr>
        <w:jc w:val="both"/>
      </w:pPr>
      <w:r>
        <w:rPr>
          <w:noProof/>
        </w:rPr>
        <w:lastRenderedPageBreak/>
        <w:drawing>
          <wp:inline distT="0" distB="0" distL="0" distR="0" wp14:anchorId="1CD88959" wp14:editId="3A19E9A2">
            <wp:extent cx="4572000" cy="2743200"/>
            <wp:effectExtent l="0" t="0" r="0" b="0"/>
            <wp:docPr id="925012683" name="Chart 1">
              <a:extLst xmlns:a="http://schemas.openxmlformats.org/drawingml/2006/main">
                <a:ext uri="{FF2B5EF4-FFF2-40B4-BE49-F238E27FC236}">
                  <a16:creationId xmlns:a16="http://schemas.microsoft.com/office/drawing/2014/main" id="{42AE9C9D-71F9-7946-9A25-83EF999D7A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DAE2DD" w14:textId="77777777" w:rsidR="004B5C20" w:rsidRPr="004B5C20" w:rsidRDefault="004B5C20" w:rsidP="004B5C20">
      <w:pPr>
        <w:pStyle w:val="ListParagraph"/>
        <w:jc w:val="both"/>
        <w:rPr>
          <w:b/>
          <w:bCs/>
        </w:rPr>
      </w:pPr>
    </w:p>
    <w:p w14:paraId="3239C631" w14:textId="6748EEAC" w:rsidR="002A6393" w:rsidRPr="004B5C20" w:rsidRDefault="004B5C20" w:rsidP="004B5C20">
      <w:pPr>
        <w:ind w:left="360"/>
        <w:jc w:val="both"/>
        <w:rPr>
          <w:b/>
          <w:bCs/>
        </w:rPr>
      </w:pPr>
      <w:r>
        <w:rPr>
          <w:b/>
          <w:bCs/>
        </w:rPr>
        <w:t>B.</w:t>
      </w:r>
      <w:r w:rsidRPr="004B5C20">
        <w:rPr>
          <w:b/>
          <w:bCs/>
        </w:rPr>
        <w:t xml:space="preserve"> PROFITABILITY</w:t>
      </w:r>
      <w:r w:rsidR="002A6393" w:rsidRPr="004B5C20">
        <w:rPr>
          <w:b/>
          <w:bCs/>
        </w:rPr>
        <w:t xml:space="preserve"> RATIOS</w:t>
      </w:r>
    </w:p>
    <w:tbl>
      <w:tblPr>
        <w:tblStyle w:val="TableGrid"/>
        <w:tblW w:w="0" w:type="auto"/>
        <w:tblInd w:w="720" w:type="dxa"/>
        <w:tblLook w:val="04A0" w:firstRow="1" w:lastRow="0" w:firstColumn="1" w:lastColumn="0" w:noHBand="0" w:noVBand="1"/>
      </w:tblPr>
      <w:tblGrid>
        <w:gridCol w:w="2101"/>
        <w:gridCol w:w="2065"/>
        <w:gridCol w:w="2065"/>
        <w:gridCol w:w="2065"/>
      </w:tblGrid>
      <w:tr w:rsidR="002A6393" w14:paraId="2B3EC3B8" w14:textId="77777777" w:rsidTr="002A6393">
        <w:tc>
          <w:tcPr>
            <w:tcW w:w="2254" w:type="dxa"/>
          </w:tcPr>
          <w:p w14:paraId="3F246245" w14:textId="13BC81FC" w:rsidR="002A6393" w:rsidRPr="008268EF" w:rsidRDefault="002A6393" w:rsidP="004B5C20">
            <w:pPr>
              <w:pStyle w:val="ListParagraph"/>
              <w:ind w:left="0"/>
              <w:jc w:val="both"/>
              <w:rPr>
                <w:b/>
                <w:bCs/>
              </w:rPr>
            </w:pPr>
            <w:r w:rsidRPr="008268EF">
              <w:rPr>
                <w:b/>
                <w:bCs/>
              </w:rPr>
              <w:t>RATIOS</w:t>
            </w:r>
          </w:p>
        </w:tc>
        <w:tc>
          <w:tcPr>
            <w:tcW w:w="2254" w:type="dxa"/>
          </w:tcPr>
          <w:p w14:paraId="71DAB9D2" w14:textId="2BD9D9E4" w:rsidR="002A6393" w:rsidRPr="008268EF" w:rsidRDefault="002A6393" w:rsidP="004B5C20">
            <w:pPr>
              <w:pStyle w:val="ListParagraph"/>
              <w:ind w:left="0"/>
              <w:jc w:val="both"/>
              <w:rPr>
                <w:b/>
                <w:bCs/>
              </w:rPr>
            </w:pPr>
            <w:r w:rsidRPr="008268EF">
              <w:rPr>
                <w:b/>
                <w:bCs/>
              </w:rPr>
              <w:t>2022</w:t>
            </w:r>
          </w:p>
        </w:tc>
        <w:tc>
          <w:tcPr>
            <w:tcW w:w="2254" w:type="dxa"/>
          </w:tcPr>
          <w:p w14:paraId="6F179570" w14:textId="1F0D9DA3" w:rsidR="002A6393" w:rsidRPr="008268EF" w:rsidRDefault="002A6393" w:rsidP="004B5C20">
            <w:pPr>
              <w:pStyle w:val="ListParagraph"/>
              <w:ind w:left="0"/>
              <w:jc w:val="both"/>
              <w:rPr>
                <w:b/>
                <w:bCs/>
              </w:rPr>
            </w:pPr>
            <w:r w:rsidRPr="008268EF">
              <w:rPr>
                <w:b/>
                <w:bCs/>
              </w:rPr>
              <w:t>2021</w:t>
            </w:r>
          </w:p>
        </w:tc>
        <w:tc>
          <w:tcPr>
            <w:tcW w:w="2254" w:type="dxa"/>
          </w:tcPr>
          <w:p w14:paraId="76CCD61B" w14:textId="63197FE4" w:rsidR="002A6393" w:rsidRPr="008268EF" w:rsidRDefault="002A6393" w:rsidP="004B5C20">
            <w:pPr>
              <w:pStyle w:val="ListParagraph"/>
              <w:ind w:left="0"/>
              <w:jc w:val="both"/>
              <w:rPr>
                <w:b/>
                <w:bCs/>
              </w:rPr>
            </w:pPr>
            <w:r w:rsidRPr="008268EF">
              <w:rPr>
                <w:b/>
                <w:bCs/>
              </w:rPr>
              <w:t>2020</w:t>
            </w:r>
          </w:p>
        </w:tc>
      </w:tr>
      <w:tr w:rsidR="002A6393" w14:paraId="58F41102" w14:textId="77777777" w:rsidTr="002A6393">
        <w:tc>
          <w:tcPr>
            <w:tcW w:w="2254" w:type="dxa"/>
          </w:tcPr>
          <w:p w14:paraId="21E731B4" w14:textId="74C412BB" w:rsidR="002A6393" w:rsidRDefault="002A6393" w:rsidP="004B5C20">
            <w:pPr>
              <w:pStyle w:val="ListParagraph"/>
              <w:ind w:left="0"/>
              <w:jc w:val="both"/>
            </w:pPr>
            <w:r w:rsidRPr="002A6393">
              <w:t>Gross Margin</w:t>
            </w:r>
          </w:p>
        </w:tc>
        <w:tc>
          <w:tcPr>
            <w:tcW w:w="2254" w:type="dxa"/>
          </w:tcPr>
          <w:p w14:paraId="3D6A8149" w14:textId="4AD3935E" w:rsidR="002A6393" w:rsidRDefault="002A6393" w:rsidP="004B5C20">
            <w:pPr>
              <w:pStyle w:val="ListParagraph"/>
              <w:ind w:left="0"/>
              <w:jc w:val="both"/>
            </w:pPr>
            <w:r>
              <w:t>43%</w:t>
            </w:r>
          </w:p>
        </w:tc>
        <w:tc>
          <w:tcPr>
            <w:tcW w:w="2254" w:type="dxa"/>
          </w:tcPr>
          <w:p w14:paraId="39EE9E85" w14:textId="662097CC" w:rsidR="002A6393" w:rsidRDefault="002A6393" w:rsidP="004B5C20">
            <w:pPr>
              <w:pStyle w:val="ListParagraph"/>
              <w:ind w:left="0"/>
              <w:jc w:val="both"/>
            </w:pPr>
            <w:r>
              <w:t>42%</w:t>
            </w:r>
          </w:p>
        </w:tc>
        <w:tc>
          <w:tcPr>
            <w:tcW w:w="2254" w:type="dxa"/>
          </w:tcPr>
          <w:p w14:paraId="1244155B" w14:textId="18CB5791" w:rsidR="002A6393" w:rsidRDefault="002A6393" w:rsidP="004B5C20">
            <w:pPr>
              <w:pStyle w:val="ListParagraph"/>
              <w:ind w:left="0"/>
              <w:jc w:val="both"/>
            </w:pPr>
            <w:r>
              <w:t>38%</w:t>
            </w:r>
          </w:p>
        </w:tc>
      </w:tr>
      <w:tr w:rsidR="002A6393" w14:paraId="10EF971B" w14:textId="77777777" w:rsidTr="002A6393">
        <w:tc>
          <w:tcPr>
            <w:tcW w:w="2254" w:type="dxa"/>
          </w:tcPr>
          <w:p w14:paraId="263D6879" w14:textId="391186F4" w:rsidR="002A6393" w:rsidRDefault="002A6393" w:rsidP="004B5C20">
            <w:pPr>
              <w:pStyle w:val="ListParagraph"/>
              <w:ind w:left="0"/>
              <w:jc w:val="both"/>
            </w:pPr>
            <w:r>
              <w:t>EBITDA margin</w:t>
            </w:r>
          </w:p>
        </w:tc>
        <w:tc>
          <w:tcPr>
            <w:tcW w:w="2254" w:type="dxa"/>
          </w:tcPr>
          <w:p w14:paraId="1CDDAF45" w14:textId="7CFBE68A" w:rsidR="002A6393" w:rsidRDefault="002A6393" w:rsidP="004B5C20">
            <w:pPr>
              <w:pStyle w:val="ListParagraph"/>
              <w:ind w:left="0"/>
              <w:jc w:val="both"/>
            </w:pPr>
            <w:r>
              <w:t>30%</w:t>
            </w:r>
          </w:p>
        </w:tc>
        <w:tc>
          <w:tcPr>
            <w:tcW w:w="2254" w:type="dxa"/>
          </w:tcPr>
          <w:p w14:paraId="7F999E37" w14:textId="1C0DA837" w:rsidR="002A6393" w:rsidRDefault="002A6393" w:rsidP="004B5C20">
            <w:pPr>
              <w:pStyle w:val="ListParagraph"/>
              <w:ind w:left="0"/>
              <w:jc w:val="both"/>
            </w:pPr>
            <w:r>
              <w:t>30%</w:t>
            </w:r>
          </w:p>
        </w:tc>
        <w:tc>
          <w:tcPr>
            <w:tcW w:w="2254" w:type="dxa"/>
          </w:tcPr>
          <w:p w14:paraId="43578E01" w14:textId="542669CA" w:rsidR="002A6393" w:rsidRDefault="002A6393" w:rsidP="004B5C20">
            <w:pPr>
              <w:pStyle w:val="ListParagraph"/>
              <w:ind w:left="0"/>
              <w:jc w:val="both"/>
            </w:pPr>
            <w:r>
              <w:t>2</w:t>
            </w:r>
            <w:r w:rsidR="00E74EF7">
              <w:t>4</w:t>
            </w:r>
            <w:r>
              <w:t>%</w:t>
            </w:r>
          </w:p>
        </w:tc>
      </w:tr>
      <w:tr w:rsidR="002A6393" w14:paraId="2D9B5606" w14:textId="77777777" w:rsidTr="002A6393">
        <w:tc>
          <w:tcPr>
            <w:tcW w:w="2254" w:type="dxa"/>
          </w:tcPr>
          <w:p w14:paraId="52849902" w14:textId="37B5C1CF" w:rsidR="002A6393" w:rsidRDefault="002A6393" w:rsidP="004B5C20">
            <w:pPr>
              <w:pStyle w:val="ListParagraph"/>
              <w:ind w:left="0"/>
              <w:jc w:val="both"/>
            </w:pPr>
            <w:r>
              <w:t>EBIT margin</w:t>
            </w:r>
          </w:p>
        </w:tc>
        <w:tc>
          <w:tcPr>
            <w:tcW w:w="2254" w:type="dxa"/>
          </w:tcPr>
          <w:p w14:paraId="43EED664" w14:textId="5CC321B0" w:rsidR="002A6393" w:rsidRDefault="00584A6D" w:rsidP="004B5C20">
            <w:pPr>
              <w:pStyle w:val="ListParagraph"/>
              <w:ind w:left="0"/>
              <w:jc w:val="both"/>
            </w:pPr>
            <w:r w:rsidRPr="00584A6D">
              <w:t> </w:t>
            </w:r>
            <w:r w:rsidR="00E74EF7">
              <w:t>30</w:t>
            </w:r>
            <w:r w:rsidRPr="00584A6D">
              <w:t>%</w:t>
            </w:r>
          </w:p>
        </w:tc>
        <w:tc>
          <w:tcPr>
            <w:tcW w:w="2254" w:type="dxa"/>
          </w:tcPr>
          <w:p w14:paraId="3CA38D0D" w14:textId="5A912C79" w:rsidR="002A6393" w:rsidRDefault="00E74EF7" w:rsidP="004B5C20">
            <w:pPr>
              <w:pStyle w:val="ListParagraph"/>
              <w:ind w:left="0"/>
              <w:jc w:val="both"/>
            </w:pPr>
            <w:r>
              <w:t>30</w:t>
            </w:r>
            <w:r w:rsidR="00584A6D" w:rsidRPr="00584A6D">
              <w:t>%</w:t>
            </w:r>
          </w:p>
        </w:tc>
        <w:tc>
          <w:tcPr>
            <w:tcW w:w="2254" w:type="dxa"/>
          </w:tcPr>
          <w:p w14:paraId="6966F394" w14:textId="2D98EE1A" w:rsidR="002A6393" w:rsidRDefault="00584A6D" w:rsidP="004B5C20">
            <w:pPr>
              <w:pStyle w:val="ListParagraph"/>
              <w:ind w:left="0"/>
              <w:jc w:val="both"/>
            </w:pPr>
            <w:r w:rsidRPr="00584A6D">
              <w:t>2</w:t>
            </w:r>
            <w:r w:rsidR="00E74EF7">
              <w:t>4</w:t>
            </w:r>
            <w:r w:rsidRPr="00584A6D">
              <w:t>%</w:t>
            </w:r>
          </w:p>
        </w:tc>
      </w:tr>
      <w:tr w:rsidR="00584A6D" w14:paraId="12D5156D" w14:textId="77777777" w:rsidTr="002A6393">
        <w:tc>
          <w:tcPr>
            <w:tcW w:w="2254" w:type="dxa"/>
          </w:tcPr>
          <w:p w14:paraId="74D193A0" w14:textId="0F4E9CC5" w:rsidR="00584A6D" w:rsidRDefault="00584A6D" w:rsidP="004B5C20">
            <w:pPr>
              <w:pStyle w:val="ListParagraph"/>
              <w:ind w:left="0"/>
              <w:jc w:val="both"/>
            </w:pPr>
            <w:r>
              <w:t>Net margin</w:t>
            </w:r>
          </w:p>
        </w:tc>
        <w:tc>
          <w:tcPr>
            <w:tcW w:w="2254" w:type="dxa"/>
          </w:tcPr>
          <w:p w14:paraId="271958F0" w14:textId="605CAE29" w:rsidR="00584A6D" w:rsidRPr="00584A6D" w:rsidRDefault="00FF1134" w:rsidP="004B5C20">
            <w:pPr>
              <w:pStyle w:val="ListParagraph"/>
              <w:ind w:left="0"/>
              <w:jc w:val="both"/>
            </w:pPr>
            <w:r w:rsidRPr="00FF1134">
              <w:t>25%</w:t>
            </w:r>
          </w:p>
        </w:tc>
        <w:tc>
          <w:tcPr>
            <w:tcW w:w="2254" w:type="dxa"/>
          </w:tcPr>
          <w:p w14:paraId="1275B3C0" w14:textId="17D5C0F5" w:rsidR="00584A6D" w:rsidRPr="00584A6D" w:rsidRDefault="00FF1134" w:rsidP="004B5C20">
            <w:pPr>
              <w:pStyle w:val="ListParagraph"/>
              <w:ind w:left="0"/>
              <w:jc w:val="both"/>
            </w:pPr>
            <w:r w:rsidRPr="00FF1134">
              <w:t>26%</w:t>
            </w:r>
          </w:p>
        </w:tc>
        <w:tc>
          <w:tcPr>
            <w:tcW w:w="2254" w:type="dxa"/>
          </w:tcPr>
          <w:p w14:paraId="487D87F1" w14:textId="6290E880" w:rsidR="00584A6D" w:rsidRPr="00584A6D" w:rsidRDefault="00FF1134" w:rsidP="004B5C20">
            <w:pPr>
              <w:pStyle w:val="ListParagraph"/>
              <w:ind w:left="0"/>
              <w:jc w:val="both"/>
            </w:pPr>
            <w:r w:rsidRPr="00FF1134">
              <w:t>21%</w:t>
            </w:r>
          </w:p>
        </w:tc>
      </w:tr>
    </w:tbl>
    <w:p w14:paraId="0EC08BB5" w14:textId="77777777" w:rsidR="002A6393" w:rsidRDefault="002A6393" w:rsidP="004B5C20">
      <w:pPr>
        <w:pStyle w:val="ListParagraph"/>
        <w:jc w:val="both"/>
      </w:pPr>
    </w:p>
    <w:p w14:paraId="1A677DC3" w14:textId="033C82D5" w:rsidR="00B47BC6" w:rsidRDefault="00B47BC6" w:rsidP="004B5C20">
      <w:pPr>
        <w:ind w:firstLine="720"/>
        <w:jc w:val="both"/>
      </w:pPr>
      <w:r>
        <w:rPr>
          <w:noProof/>
        </w:rPr>
        <w:drawing>
          <wp:inline distT="0" distB="0" distL="0" distR="0" wp14:anchorId="4373DD6D" wp14:editId="4F027358">
            <wp:extent cx="4572000" cy="2743200"/>
            <wp:effectExtent l="0" t="0" r="0" b="0"/>
            <wp:docPr id="1267262717" name="Chart 1">
              <a:extLst xmlns:a="http://schemas.openxmlformats.org/drawingml/2006/main">
                <a:ext uri="{FF2B5EF4-FFF2-40B4-BE49-F238E27FC236}">
                  <a16:creationId xmlns:a16="http://schemas.microsoft.com/office/drawing/2014/main" id="{51E6F98A-7C86-BDAE-A862-908304BDF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830968" w14:textId="77777777" w:rsidR="002A6393" w:rsidRDefault="002A6393" w:rsidP="004B5C20">
      <w:pPr>
        <w:pStyle w:val="ListParagraph"/>
        <w:jc w:val="both"/>
      </w:pPr>
    </w:p>
    <w:p w14:paraId="3B8B9E42" w14:textId="77777777" w:rsidR="004B5C20" w:rsidRDefault="004B5C20" w:rsidP="004B5C20">
      <w:pPr>
        <w:jc w:val="both"/>
        <w:rPr>
          <w:b/>
          <w:bCs/>
        </w:rPr>
      </w:pPr>
    </w:p>
    <w:p w14:paraId="060A39E6" w14:textId="77777777" w:rsidR="004B5C20" w:rsidRDefault="004B5C20" w:rsidP="004B5C20">
      <w:pPr>
        <w:jc w:val="both"/>
        <w:rPr>
          <w:b/>
          <w:bCs/>
        </w:rPr>
      </w:pPr>
    </w:p>
    <w:p w14:paraId="4C97659D" w14:textId="77777777" w:rsidR="004B5C20" w:rsidRDefault="004B5C20" w:rsidP="004B5C20">
      <w:pPr>
        <w:jc w:val="both"/>
        <w:rPr>
          <w:b/>
          <w:bCs/>
        </w:rPr>
      </w:pPr>
    </w:p>
    <w:p w14:paraId="33156DF6" w14:textId="515BDF6E" w:rsidR="002A6393" w:rsidRPr="005353CB" w:rsidRDefault="00584A6D" w:rsidP="004B5C20">
      <w:pPr>
        <w:jc w:val="both"/>
        <w:rPr>
          <w:b/>
          <w:bCs/>
        </w:rPr>
      </w:pPr>
      <w:r w:rsidRPr="005353CB">
        <w:rPr>
          <w:b/>
          <w:bCs/>
        </w:rPr>
        <w:lastRenderedPageBreak/>
        <w:t>ANALYSIS</w:t>
      </w:r>
    </w:p>
    <w:p w14:paraId="55F370EE" w14:textId="498072D4" w:rsidR="005353CB" w:rsidRDefault="00BB20C9" w:rsidP="004B5C20">
      <w:pPr>
        <w:jc w:val="both"/>
      </w:pPr>
      <w:r>
        <w:t xml:space="preserve">This report provides a detailed analysis of Apple Inc.'s profitability ratios over the years 2020 </w:t>
      </w:r>
      <w:r w:rsidR="004B5C20">
        <w:t>to</w:t>
      </w:r>
      <w:r>
        <w:t xml:space="preserve"> 2022. The report assesses the company’s efficiency in generating </w:t>
      </w:r>
      <w:r w:rsidR="004B5C20">
        <w:t xml:space="preserve">profits relative to its revenue </w:t>
      </w:r>
      <w:r>
        <w:t>focusing on gross margin, EBITDA margin, EBIT margin</w:t>
      </w:r>
      <w:r w:rsidR="005353CB">
        <w:t xml:space="preserve"> </w:t>
      </w:r>
      <w:r>
        <w:t>and net margin.</w:t>
      </w:r>
    </w:p>
    <w:p w14:paraId="3ECA4AB3" w14:textId="6EABADDF" w:rsidR="00BB20C9" w:rsidRDefault="00BB20C9" w:rsidP="004B5C20">
      <w:pPr>
        <w:jc w:val="both"/>
      </w:pPr>
      <w:r>
        <w:t>Apple Inc. has exhibited consistent improvement in its gross margin, increasing from 38% in 2020 to 43% in 2022. This trend indicates effective cost control measures and the creation of value through its product offerings. The enhancement in gross margin reflects stronger pricing power</w:t>
      </w:r>
      <w:r w:rsidR="004B5C20">
        <w:t xml:space="preserve"> </w:t>
      </w:r>
      <w:r>
        <w:t>and optimized production processes.</w:t>
      </w:r>
    </w:p>
    <w:p w14:paraId="36483B53" w14:textId="05C047E0" w:rsidR="00BB20C9" w:rsidRDefault="00E325BC" w:rsidP="004B5C20">
      <w:pPr>
        <w:jc w:val="both"/>
      </w:pPr>
      <w:r>
        <w:t xml:space="preserve">The EBITDA margin which measures </w:t>
      </w:r>
      <w:r w:rsidRPr="00E325BC">
        <w:t>earnings before interest, taxes, depreciation, and amortization as a percentage of revenue</w:t>
      </w:r>
      <w:r>
        <w:t xml:space="preserve"> has remained stable at 30% after increasing from 24% in 2020. </w:t>
      </w:r>
      <w:r w:rsidR="00BB20C9">
        <w:t>The stability of Apple's EBITDA margins</w:t>
      </w:r>
      <w:r>
        <w:t xml:space="preserve"> reveals the company’s ability to</w:t>
      </w:r>
      <w:r w:rsidR="00BB20C9">
        <w:t xml:space="preserve"> maintain operational efficiency</w:t>
      </w:r>
      <w:r>
        <w:t xml:space="preserve"> </w:t>
      </w:r>
      <w:r w:rsidRPr="00E325BC">
        <w:t>showing that it manages its operating expenses efficiently relative to revenue.</w:t>
      </w:r>
    </w:p>
    <w:p w14:paraId="2858DE29" w14:textId="4004A2E3" w:rsidR="00BB20C9" w:rsidRDefault="00BB20C9" w:rsidP="004B5C20">
      <w:pPr>
        <w:jc w:val="both"/>
      </w:pPr>
      <w:r>
        <w:t xml:space="preserve">The EBIT margin, which measures core operational profitability excluding interest and tax expenses, increased from 21% in 2020 to 26% in 2021, followed by a slight decline to 24% in 2022. This marginal decrease can be attributed to rising operating costs </w:t>
      </w:r>
      <w:r w:rsidR="00E325BC">
        <w:t xml:space="preserve">as seen in the marginal rise in the research and development as well as selling and administrative expenses. </w:t>
      </w:r>
    </w:p>
    <w:p w14:paraId="42E4925A" w14:textId="571FF8DB" w:rsidR="00BB20C9" w:rsidRDefault="00BB20C9" w:rsidP="004B5C20">
      <w:pPr>
        <w:jc w:val="both"/>
      </w:pPr>
      <w:r>
        <w:t xml:space="preserve">The net margin </w:t>
      </w:r>
      <w:r w:rsidR="00E325BC">
        <w:t>follows a similar pattern revealing an increase from</w:t>
      </w:r>
      <w:r>
        <w:t xml:space="preserve"> 21% in 2020 to 26% in 2021 before a minor reduction to 25% in 2022. This reduction suggests an </w:t>
      </w:r>
      <w:r w:rsidR="00E325BC">
        <w:t>increase</w:t>
      </w:r>
      <w:r>
        <w:t xml:space="preserve"> in costs that partially offsets revenue growth, yet overall, it signifies higher profitability </w:t>
      </w:r>
      <w:proofErr w:type="gramStart"/>
      <w:r w:rsidR="00E325BC">
        <w:t xml:space="preserve">as a result </w:t>
      </w:r>
      <w:r w:rsidR="00B67AE9">
        <w:t>of</w:t>
      </w:r>
      <w:proofErr w:type="gramEnd"/>
      <w:r w:rsidR="00B67AE9">
        <w:t xml:space="preserve"> improved</w:t>
      </w:r>
      <w:r>
        <w:t xml:space="preserve"> operational performance.</w:t>
      </w:r>
    </w:p>
    <w:p w14:paraId="28A3060A" w14:textId="477C7F48" w:rsidR="00BD0B47" w:rsidRDefault="00BB20C9" w:rsidP="004B5C20">
      <w:pPr>
        <w:jc w:val="both"/>
      </w:pPr>
      <w:r>
        <w:t xml:space="preserve">The </w:t>
      </w:r>
      <w:r w:rsidR="00BD0B47">
        <w:t>consistent growth</w:t>
      </w:r>
      <w:r>
        <w:t xml:space="preserve"> in Apple Inc.'s </w:t>
      </w:r>
      <w:r w:rsidR="00BD0B47">
        <w:t>profitability ratios</w:t>
      </w:r>
      <w:r>
        <w:t xml:space="preserve"> </w:t>
      </w:r>
      <w:r w:rsidR="00BD0B47">
        <w:t>highlights</w:t>
      </w:r>
      <w:r>
        <w:t xml:space="preserve"> the company’s operational efficie</w:t>
      </w:r>
      <w:r w:rsidR="00BD0B47">
        <w:t>ncy. However,</w:t>
      </w:r>
      <w:r>
        <w:t xml:space="preserve"> these margins remain vulnerable to increased operating expenses</w:t>
      </w:r>
      <w:r w:rsidR="00BD0B47">
        <w:t xml:space="preserve"> a</w:t>
      </w:r>
      <w:r w:rsidR="00BB76EF">
        <w:t>nd</w:t>
      </w:r>
      <w:r w:rsidR="00BD0B47">
        <w:t xml:space="preserve"> as such the company needs to adopt</w:t>
      </w:r>
      <w:r w:rsidR="00BB76EF">
        <w:t xml:space="preserve"> strategic cost management and </w:t>
      </w:r>
      <w:r w:rsidR="00B67AE9">
        <w:t>identify cost</w:t>
      </w:r>
      <w:r w:rsidR="005353CB">
        <w:t xml:space="preserve">-saving opportunities </w:t>
      </w:r>
      <w:r w:rsidR="00BB76EF">
        <w:t>as these will</w:t>
      </w:r>
      <w:r w:rsidR="00BD0B47">
        <w:t xml:space="preserve"> be crucial for sustaining and enhancing these profitability metrics</w:t>
      </w:r>
      <w:r w:rsidR="00BD0B47">
        <w:t xml:space="preserve"> despite the </w:t>
      </w:r>
      <w:r w:rsidR="004B5C20">
        <w:t>dynamic</w:t>
      </w:r>
      <w:r w:rsidR="00BD0B47">
        <w:t xml:space="preserve"> market conditions.</w:t>
      </w:r>
    </w:p>
    <w:p w14:paraId="09E28334" w14:textId="4AA50F36" w:rsidR="00D404E2" w:rsidRPr="004B5C20" w:rsidRDefault="00D404E2" w:rsidP="004B5C20">
      <w:pPr>
        <w:pStyle w:val="ListParagraph"/>
        <w:numPr>
          <w:ilvl w:val="0"/>
          <w:numId w:val="32"/>
        </w:numPr>
        <w:jc w:val="both"/>
        <w:rPr>
          <w:b/>
          <w:bCs/>
        </w:rPr>
      </w:pPr>
      <w:r w:rsidRPr="004B5C20">
        <w:rPr>
          <w:b/>
          <w:bCs/>
        </w:rPr>
        <w:t>SOLVENCY RATIOS</w:t>
      </w:r>
    </w:p>
    <w:tbl>
      <w:tblPr>
        <w:tblStyle w:val="TableGrid"/>
        <w:tblW w:w="0" w:type="auto"/>
        <w:tblLook w:val="04A0" w:firstRow="1" w:lastRow="0" w:firstColumn="1" w:lastColumn="0" w:noHBand="0" w:noVBand="1"/>
      </w:tblPr>
      <w:tblGrid>
        <w:gridCol w:w="2254"/>
        <w:gridCol w:w="2254"/>
        <w:gridCol w:w="2254"/>
        <w:gridCol w:w="2254"/>
      </w:tblGrid>
      <w:tr w:rsidR="00D404E2" w14:paraId="46336A8C" w14:textId="77777777" w:rsidTr="00D404E2">
        <w:tc>
          <w:tcPr>
            <w:tcW w:w="2254" w:type="dxa"/>
          </w:tcPr>
          <w:p w14:paraId="4DB4F9ED" w14:textId="6CB74CE1" w:rsidR="00D404E2" w:rsidRPr="008268EF" w:rsidRDefault="00D404E2" w:rsidP="004B5C20">
            <w:pPr>
              <w:jc w:val="both"/>
              <w:rPr>
                <w:b/>
                <w:bCs/>
              </w:rPr>
            </w:pPr>
            <w:r w:rsidRPr="008268EF">
              <w:rPr>
                <w:b/>
                <w:bCs/>
              </w:rPr>
              <w:t>RATIOS</w:t>
            </w:r>
          </w:p>
        </w:tc>
        <w:tc>
          <w:tcPr>
            <w:tcW w:w="2254" w:type="dxa"/>
          </w:tcPr>
          <w:p w14:paraId="32E4E4C5" w14:textId="6B7918F7" w:rsidR="00D404E2" w:rsidRPr="008268EF" w:rsidRDefault="00D404E2" w:rsidP="004B5C20">
            <w:pPr>
              <w:jc w:val="both"/>
              <w:rPr>
                <w:b/>
                <w:bCs/>
              </w:rPr>
            </w:pPr>
            <w:r w:rsidRPr="008268EF">
              <w:rPr>
                <w:b/>
                <w:bCs/>
              </w:rPr>
              <w:t>2022</w:t>
            </w:r>
          </w:p>
        </w:tc>
        <w:tc>
          <w:tcPr>
            <w:tcW w:w="2254" w:type="dxa"/>
          </w:tcPr>
          <w:p w14:paraId="12293415" w14:textId="3ACC5DA1" w:rsidR="00D404E2" w:rsidRPr="008268EF" w:rsidRDefault="00D404E2" w:rsidP="004B5C20">
            <w:pPr>
              <w:jc w:val="both"/>
              <w:rPr>
                <w:b/>
                <w:bCs/>
              </w:rPr>
            </w:pPr>
            <w:r w:rsidRPr="008268EF">
              <w:rPr>
                <w:b/>
                <w:bCs/>
              </w:rPr>
              <w:t>2021</w:t>
            </w:r>
          </w:p>
        </w:tc>
        <w:tc>
          <w:tcPr>
            <w:tcW w:w="2254" w:type="dxa"/>
          </w:tcPr>
          <w:p w14:paraId="51BFCD4A" w14:textId="14258304" w:rsidR="00D404E2" w:rsidRPr="008268EF" w:rsidRDefault="00D404E2" w:rsidP="004B5C20">
            <w:pPr>
              <w:jc w:val="both"/>
              <w:rPr>
                <w:b/>
                <w:bCs/>
              </w:rPr>
            </w:pPr>
            <w:r w:rsidRPr="008268EF">
              <w:rPr>
                <w:b/>
                <w:bCs/>
              </w:rPr>
              <w:t>2020</w:t>
            </w:r>
          </w:p>
        </w:tc>
      </w:tr>
      <w:tr w:rsidR="00D404E2" w14:paraId="0DBB9140" w14:textId="77777777" w:rsidTr="00D404E2">
        <w:tc>
          <w:tcPr>
            <w:tcW w:w="2254" w:type="dxa"/>
          </w:tcPr>
          <w:p w14:paraId="3D8B4E75" w14:textId="1C6518DE" w:rsidR="00D404E2" w:rsidRDefault="00D404E2" w:rsidP="004B5C20">
            <w:pPr>
              <w:jc w:val="both"/>
            </w:pPr>
            <w:r>
              <w:t>Debt to Equity ratio</w:t>
            </w:r>
          </w:p>
        </w:tc>
        <w:tc>
          <w:tcPr>
            <w:tcW w:w="2254" w:type="dxa"/>
          </w:tcPr>
          <w:p w14:paraId="244DB0ED" w14:textId="67352817" w:rsidR="00D404E2" w:rsidRDefault="00D404E2" w:rsidP="004B5C20">
            <w:pPr>
              <w:jc w:val="both"/>
            </w:pPr>
            <w:r w:rsidRPr="00D404E2">
              <w:t>5.96</w:t>
            </w:r>
          </w:p>
        </w:tc>
        <w:tc>
          <w:tcPr>
            <w:tcW w:w="2254" w:type="dxa"/>
          </w:tcPr>
          <w:p w14:paraId="53894671" w14:textId="56A8C883" w:rsidR="00D404E2" w:rsidRDefault="00D404E2" w:rsidP="004B5C20">
            <w:pPr>
              <w:jc w:val="both"/>
            </w:pPr>
            <w:r w:rsidRPr="00D404E2">
              <w:t>4.56</w:t>
            </w:r>
          </w:p>
        </w:tc>
        <w:tc>
          <w:tcPr>
            <w:tcW w:w="2254" w:type="dxa"/>
          </w:tcPr>
          <w:p w14:paraId="54604ECA" w14:textId="2DDF69EE" w:rsidR="00D404E2" w:rsidRDefault="00D404E2" w:rsidP="004B5C20">
            <w:pPr>
              <w:jc w:val="both"/>
            </w:pPr>
            <w:r w:rsidRPr="00D404E2">
              <w:t>3.96</w:t>
            </w:r>
          </w:p>
        </w:tc>
      </w:tr>
      <w:tr w:rsidR="00D404E2" w14:paraId="17677FAD" w14:textId="77777777" w:rsidTr="00D404E2">
        <w:tc>
          <w:tcPr>
            <w:tcW w:w="2254" w:type="dxa"/>
          </w:tcPr>
          <w:p w14:paraId="6FBFED02" w14:textId="0E595869" w:rsidR="00D404E2" w:rsidRDefault="00857D66" w:rsidP="004B5C20">
            <w:pPr>
              <w:jc w:val="both"/>
            </w:pPr>
            <w:r>
              <w:t xml:space="preserve"> </w:t>
            </w:r>
            <w:r w:rsidR="00023452">
              <w:t>Debt to Total Assets ratio</w:t>
            </w:r>
          </w:p>
        </w:tc>
        <w:tc>
          <w:tcPr>
            <w:tcW w:w="2254" w:type="dxa"/>
          </w:tcPr>
          <w:p w14:paraId="30F45EBD" w14:textId="4E9FF025" w:rsidR="00D404E2" w:rsidRDefault="00D404E2" w:rsidP="004B5C20">
            <w:pPr>
              <w:jc w:val="both"/>
            </w:pPr>
            <w:r w:rsidRPr="00D404E2">
              <w:t>86%</w:t>
            </w:r>
          </w:p>
        </w:tc>
        <w:tc>
          <w:tcPr>
            <w:tcW w:w="2254" w:type="dxa"/>
          </w:tcPr>
          <w:p w14:paraId="29E339A0" w14:textId="4E239F0F" w:rsidR="00D404E2" w:rsidRDefault="00D404E2" w:rsidP="004B5C20">
            <w:pPr>
              <w:jc w:val="both"/>
            </w:pPr>
            <w:r w:rsidRPr="00D404E2">
              <w:t>82%</w:t>
            </w:r>
          </w:p>
        </w:tc>
        <w:tc>
          <w:tcPr>
            <w:tcW w:w="2254" w:type="dxa"/>
          </w:tcPr>
          <w:p w14:paraId="0D26751D" w14:textId="4BBD99E0" w:rsidR="00D404E2" w:rsidRDefault="00D404E2" w:rsidP="004B5C20">
            <w:pPr>
              <w:jc w:val="both"/>
            </w:pPr>
            <w:r w:rsidRPr="00D404E2">
              <w:t>80%</w:t>
            </w:r>
          </w:p>
        </w:tc>
      </w:tr>
      <w:tr w:rsidR="00D404E2" w14:paraId="45FD9953" w14:textId="77777777" w:rsidTr="00D404E2">
        <w:tc>
          <w:tcPr>
            <w:tcW w:w="2254" w:type="dxa"/>
          </w:tcPr>
          <w:p w14:paraId="7899D4C7" w14:textId="17913AF5" w:rsidR="00D404E2" w:rsidRDefault="00D404E2" w:rsidP="004B5C20">
            <w:pPr>
              <w:jc w:val="both"/>
            </w:pPr>
            <w:r w:rsidRPr="00D404E2">
              <w:t>Times Interest Earned</w:t>
            </w:r>
          </w:p>
        </w:tc>
        <w:tc>
          <w:tcPr>
            <w:tcW w:w="2254" w:type="dxa"/>
          </w:tcPr>
          <w:p w14:paraId="4084DAB1" w14:textId="647B42AB" w:rsidR="00D404E2" w:rsidRDefault="00E74EF7" w:rsidP="004B5C20">
            <w:pPr>
              <w:jc w:val="both"/>
            </w:pPr>
            <w:r>
              <w:t>41.57</w:t>
            </w:r>
          </w:p>
        </w:tc>
        <w:tc>
          <w:tcPr>
            <w:tcW w:w="2254" w:type="dxa"/>
          </w:tcPr>
          <w:p w14:paraId="43C690A4" w14:textId="76F66F1F" w:rsidR="00D404E2" w:rsidRDefault="00D404E2" w:rsidP="004B5C20">
            <w:pPr>
              <w:jc w:val="both"/>
            </w:pPr>
            <w:r w:rsidRPr="00D404E2">
              <w:t> </w:t>
            </w:r>
            <w:r w:rsidR="00E74EF7">
              <w:t>40.64</w:t>
            </w:r>
          </w:p>
        </w:tc>
        <w:tc>
          <w:tcPr>
            <w:tcW w:w="2254" w:type="dxa"/>
          </w:tcPr>
          <w:p w14:paraId="33A7C356" w14:textId="08A2DAC0" w:rsidR="00D404E2" w:rsidRDefault="00F712B3" w:rsidP="004B5C20">
            <w:pPr>
              <w:jc w:val="both"/>
            </w:pPr>
            <w:r>
              <w:t>22.35</w:t>
            </w:r>
          </w:p>
        </w:tc>
      </w:tr>
      <w:tr w:rsidR="00D404E2" w14:paraId="48791386" w14:textId="77777777" w:rsidTr="00D404E2">
        <w:tc>
          <w:tcPr>
            <w:tcW w:w="2254" w:type="dxa"/>
          </w:tcPr>
          <w:p w14:paraId="34B3309C" w14:textId="4274F9B3" w:rsidR="00D404E2" w:rsidRPr="00D404E2" w:rsidRDefault="00D404E2" w:rsidP="004B5C20">
            <w:pPr>
              <w:jc w:val="both"/>
            </w:pPr>
            <w:r w:rsidRPr="00D404E2">
              <w:t> Long-Term Debt-to-Capital Ratio</w:t>
            </w:r>
          </w:p>
        </w:tc>
        <w:tc>
          <w:tcPr>
            <w:tcW w:w="2254" w:type="dxa"/>
          </w:tcPr>
          <w:p w14:paraId="595C9861" w14:textId="57790E21" w:rsidR="00D404E2" w:rsidRPr="00D404E2" w:rsidRDefault="00D404E2" w:rsidP="004B5C20">
            <w:pPr>
              <w:jc w:val="both"/>
            </w:pPr>
            <w:r w:rsidRPr="00D404E2">
              <w:t>75%</w:t>
            </w:r>
          </w:p>
        </w:tc>
        <w:tc>
          <w:tcPr>
            <w:tcW w:w="2254" w:type="dxa"/>
          </w:tcPr>
          <w:p w14:paraId="504EAB90" w14:textId="2CF82800" w:rsidR="00D404E2" w:rsidRPr="00D404E2" w:rsidRDefault="00D404E2" w:rsidP="004B5C20">
            <w:pPr>
              <w:jc w:val="both"/>
            </w:pPr>
            <w:r w:rsidRPr="00D404E2">
              <w:t>72%</w:t>
            </w:r>
          </w:p>
        </w:tc>
        <w:tc>
          <w:tcPr>
            <w:tcW w:w="2254" w:type="dxa"/>
          </w:tcPr>
          <w:p w14:paraId="7518837C" w14:textId="7F4F5AD8" w:rsidR="00D404E2" w:rsidRPr="00D404E2" w:rsidRDefault="00D404E2" w:rsidP="004B5C20">
            <w:pPr>
              <w:jc w:val="both"/>
            </w:pPr>
            <w:r w:rsidRPr="00D404E2">
              <w:t>70%</w:t>
            </w:r>
          </w:p>
        </w:tc>
      </w:tr>
      <w:tr w:rsidR="00F712B3" w14:paraId="4660B248" w14:textId="77777777" w:rsidTr="00D404E2">
        <w:tc>
          <w:tcPr>
            <w:tcW w:w="2254" w:type="dxa"/>
          </w:tcPr>
          <w:p w14:paraId="753CCDBF" w14:textId="5C0D985E" w:rsidR="00F712B3" w:rsidRPr="00D404E2" w:rsidRDefault="00F712B3" w:rsidP="004B5C20">
            <w:pPr>
              <w:jc w:val="both"/>
            </w:pPr>
            <w:r>
              <w:t>Free Cash flow per share</w:t>
            </w:r>
          </w:p>
        </w:tc>
        <w:tc>
          <w:tcPr>
            <w:tcW w:w="2254" w:type="dxa"/>
          </w:tcPr>
          <w:p w14:paraId="38ADFEAA" w14:textId="696AC714" w:rsidR="00F712B3" w:rsidRPr="00D404E2" w:rsidRDefault="00F712B3" w:rsidP="004B5C20">
            <w:pPr>
              <w:jc w:val="both"/>
            </w:pPr>
            <w:r>
              <w:t>7.02</w:t>
            </w:r>
          </w:p>
        </w:tc>
        <w:tc>
          <w:tcPr>
            <w:tcW w:w="2254" w:type="dxa"/>
          </w:tcPr>
          <w:p w14:paraId="060F975A" w14:textId="2828ABDA" w:rsidR="00F712B3" w:rsidRPr="00D404E2" w:rsidRDefault="00F712B3" w:rsidP="004B5C20">
            <w:pPr>
              <w:jc w:val="both"/>
            </w:pPr>
            <w:r>
              <w:t>6.61</w:t>
            </w:r>
          </w:p>
        </w:tc>
        <w:tc>
          <w:tcPr>
            <w:tcW w:w="2254" w:type="dxa"/>
          </w:tcPr>
          <w:p w14:paraId="1F2E1823" w14:textId="583F14F0" w:rsidR="00F712B3" w:rsidRPr="00D404E2" w:rsidRDefault="00F712B3" w:rsidP="004B5C20">
            <w:pPr>
              <w:jc w:val="both"/>
            </w:pPr>
            <w:r>
              <w:t>5.58</w:t>
            </w:r>
          </w:p>
        </w:tc>
      </w:tr>
    </w:tbl>
    <w:p w14:paraId="1BCA9804" w14:textId="4ACFB10F" w:rsidR="00D404E2" w:rsidRPr="008268EF" w:rsidRDefault="00D404E2" w:rsidP="004B5C20">
      <w:pPr>
        <w:jc w:val="both"/>
        <w:rPr>
          <w:b/>
          <w:bCs/>
        </w:rPr>
      </w:pPr>
      <w:r w:rsidRPr="008268EF">
        <w:rPr>
          <w:b/>
          <w:bCs/>
        </w:rPr>
        <w:lastRenderedPageBreak/>
        <w:t>ANALYSIS</w:t>
      </w:r>
    </w:p>
    <w:p w14:paraId="41862A4E" w14:textId="0BC2FB47" w:rsidR="00410A63" w:rsidRDefault="005353CB" w:rsidP="004B5C20">
      <w:pPr>
        <w:jc w:val="both"/>
      </w:pPr>
      <w:r w:rsidRPr="005353CB">
        <w:t xml:space="preserve">This report provides an in-depth examination of Apple Inc.'s solvency ratios over the three </w:t>
      </w:r>
      <w:r>
        <w:t>years</w:t>
      </w:r>
      <w:r w:rsidRPr="005353CB">
        <w:t>, evaluating the company's ability to meet long-term obligations</w:t>
      </w:r>
      <w:r w:rsidR="004B5C20">
        <w:t xml:space="preserve"> whilst</w:t>
      </w:r>
      <w:r w:rsidRPr="005353CB">
        <w:t xml:space="preserve"> maintain</w:t>
      </w:r>
      <w:r w:rsidR="004B5C20">
        <w:t xml:space="preserve">ing </w:t>
      </w:r>
      <w:r w:rsidRPr="005353CB">
        <w:t>financial stability.</w:t>
      </w:r>
    </w:p>
    <w:p w14:paraId="76DFBE09" w14:textId="58434CB7" w:rsidR="00903023" w:rsidRDefault="00903023" w:rsidP="004B5C20">
      <w:pPr>
        <w:jc w:val="both"/>
      </w:pPr>
      <w:r w:rsidRPr="00903023">
        <w:t>The Debt-to-Equity ratio has</w:t>
      </w:r>
      <w:r>
        <w:t xml:space="preserve"> </w:t>
      </w:r>
      <w:r w:rsidRPr="00903023">
        <w:t>risen from 3.96 in 2020 to 5.96 in 2022, indicating an increased reliance on debt financing over equity.</w:t>
      </w:r>
      <w:r>
        <w:t xml:space="preserve"> These </w:t>
      </w:r>
      <w:r w:rsidRPr="00903023">
        <w:t>rising debt levels necessitate careful strategic management to prevent the adverse</w:t>
      </w:r>
      <w:r>
        <w:t xml:space="preserve"> financial </w:t>
      </w:r>
      <w:r w:rsidRPr="00903023">
        <w:t>effects</w:t>
      </w:r>
      <w:r w:rsidRPr="00903023">
        <w:t xml:space="preserve"> </w:t>
      </w:r>
      <w:r>
        <w:t>on the company.</w:t>
      </w:r>
    </w:p>
    <w:p w14:paraId="3BF1FA36" w14:textId="0FE642A2" w:rsidR="005353CB" w:rsidRPr="005353CB" w:rsidRDefault="00903023" w:rsidP="004B5C20">
      <w:pPr>
        <w:jc w:val="both"/>
      </w:pPr>
      <w:r w:rsidRPr="00903023">
        <w:t xml:space="preserve">The debt to total assets ratio measures the extent to which a company’s assets are financed by debt. The upward trend from 80% in 2020 to 86% in 2022 indicates an increasing proportion of assets funded by debt, which could </w:t>
      </w:r>
      <w:r w:rsidR="004B5C20" w:rsidRPr="00903023">
        <w:t>increase</w:t>
      </w:r>
      <w:r w:rsidRPr="00903023">
        <w:t xml:space="preserve"> financial risk</w:t>
      </w:r>
      <w:r w:rsidR="00C63D23">
        <w:t>.</w:t>
      </w:r>
      <w:r>
        <w:t xml:space="preserve"> </w:t>
      </w:r>
      <w:r w:rsidR="00C63D23">
        <w:t xml:space="preserve">The marginal increase in term debts over the </w:t>
      </w:r>
      <w:r w:rsidR="004B5C20">
        <w:t>three-year</w:t>
      </w:r>
      <w:r w:rsidR="00C63D23">
        <w:t xml:space="preserve"> period </w:t>
      </w:r>
      <w:r w:rsidR="00C63D23" w:rsidRPr="005353CB">
        <w:t xml:space="preserve">highlights the company’s growing dependence on </w:t>
      </w:r>
      <w:r w:rsidR="00B67AE9" w:rsidRPr="005353CB">
        <w:t>debt</w:t>
      </w:r>
      <w:r w:rsidR="00B67AE9">
        <w:t xml:space="preserve"> possibly</w:t>
      </w:r>
      <w:r w:rsidR="005353CB" w:rsidRPr="005353CB">
        <w:t xml:space="preserve"> to fund substantial </w:t>
      </w:r>
      <w:r w:rsidR="00B67AE9" w:rsidRPr="005353CB">
        <w:t>investments</w:t>
      </w:r>
      <w:r w:rsidR="00B67AE9">
        <w:t xml:space="preserve"> like</w:t>
      </w:r>
      <w:r w:rsidR="00C63D23">
        <w:t xml:space="preserve"> the purchase of its marketable securities.</w:t>
      </w:r>
    </w:p>
    <w:p w14:paraId="4D18B871" w14:textId="65C0F14C" w:rsidR="005353CB" w:rsidRPr="005353CB" w:rsidRDefault="005353CB" w:rsidP="004B5C20">
      <w:pPr>
        <w:jc w:val="both"/>
      </w:pPr>
      <w:r w:rsidRPr="005353CB">
        <w:t xml:space="preserve">The improvement in the Times Interest Earned (TIE) ratio indicates Apple's ability to </w:t>
      </w:r>
      <w:r w:rsidR="00C63D23">
        <w:t xml:space="preserve">meet its </w:t>
      </w:r>
      <w:r w:rsidRPr="005353CB">
        <w:t>interest payments from its operating income.</w:t>
      </w:r>
      <w:r w:rsidR="00C63D23" w:rsidRPr="00C63D23">
        <w:t xml:space="preserve"> </w:t>
      </w:r>
      <w:r w:rsidR="00C63D23" w:rsidRPr="00C63D23">
        <w:t>An increase from 22.35 in 2020 to 41.57 in 2022 indicates improved earnings relative to interest expenses, suggesting better coverage</w:t>
      </w:r>
      <w:r w:rsidR="004B5C20">
        <w:t>.</w:t>
      </w:r>
      <w:r w:rsidRPr="005353CB">
        <w:t xml:space="preserve"> This positive development suggests a reduced risk of financial distress despite the increasing debt levels.</w:t>
      </w:r>
    </w:p>
    <w:p w14:paraId="4868A430" w14:textId="23B79D80" w:rsidR="005353CB" w:rsidRDefault="005353CB" w:rsidP="004B5C20">
      <w:pPr>
        <w:jc w:val="both"/>
      </w:pPr>
      <w:r w:rsidRPr="005353CB">
        <w:t>The Long-Term Debt-to-Capital ratio shows that Apple is financing a larger portion of its capital structure with long-term debt. While this can potentially boost shareholder returns, it also increases financial obligations in the long term, requiring prudent management.</w:t>
      </w:r>
    </w:p>
    <w:p w14:paraId="34C1EFB1" w14:textId="5CAD3D02" w:rsidR="00C63D23" w:rsidRDefault="00C63D23" w:rsidP="004B5C20">
      <w:pPr>
        <w:jc w:val="both"/>
      </w:pPr>
      <w:r w:rsidRPr="00C63D23">
        <w:t>Free cash flow per share measures the amount of cash available per share after accounting for capital expenditures. The steady increase from £5.58 in 2020 to £7.02 in 2022 indicates stronger cash generatio</w:t>
      </w:r>
      <w:r w:rsidR="004B5C20">
        <w:t>n</w:t>
      </w:r>
      <w:r w:rsidRPr="00C63D23">
        <w:t>.</w:t>
      </w:r>
    </w:p>
    <w:p w14:paraId="3D1B79F3" w14:textId="4D68AD95" w:rsidR="005353CB" w:rsidRPr="005353CB" w:rsidRDefault="00980689" w:rsidP="004B5C20">
      <w:pPr>
        <w:jc w:val="both"/>
      </w:pPr>
      <w:r w:rsidRPr="00980689">
        <w:t>The rising debt ratios indicate a</w:t>
      </w:r>
      <w:r>
        <w:t xml:space="preserve"> high debt</w:t>
      </w:r>
      <w:r w:rsidRPr="00980689">
        <w:t xml:space="preserve"> leverage for Apple Inc., which, although may enhance returns, </w:t>
      </w:r>
      <w:r>
        <w:t>require</w:t>
      </w:r>
      <w:r w:rsidRPr="00980689">
        <w:t xml:space="preserve">s </w:t>
      </w:r>
      <w:r>
        <w:t xml:space="preserve">careful monitoring </w:t>
      </w:r>
      <w:r w:rsidRPr="00980689">
        <w:t>to</w:t>
      </w:r>
      <w:r w:rsidRPr="00980689">
        <w:t xml:space="preserve"> </w:t>
      </w:r>
      <w:r>
        <w:t>prevent</w:t>
      </w:r>
      <w:r w:rsidRPr="00980689">
        <w:t xml:space="preserve"> potential financial distress. To </w:t>
      </w:r>
      <w:r>
        <w:t>reduce</w:t>
      </w:r>
      <w:r w:rsidRPr="00980689">
        <w:t xml:space="preserve"> the inherent risks associated with increased debt reliance, management should explore strategies to diversify the capital structure. This could include reducing dependency on debt through measures such as issuing equity, implementing stock splits, or offering incentivized equity plans to employees and investors. Such actions would help maintain financial stability and safeguard against the adverse effects of </w:t>
      </w:r>
      <w:r w:rsidR="004B5C20">
        <w:t>the company being highly leveraged.</w:t>
      </w:r>
    </w:p>
    <w:p w14:paraId="40A47F86" w14:textId="77777777" w:rsidR="00857D66" w:rsidRDefault="00857D66" w:rsidP="004B5C20">
      <w:pPr>
        <w:jc w:val="both"/>
      </w:pPr>
    </w:p>
    <w:p w14:paraId="0F2D4C63" w14:textId="77777777" w:rsidR="004B5C20" w:rsidRPr="004B5C20" w:rsidRDefault="004B5C20" w:rsidP="004B5C20">
      <w:pPr>
        <w:pStyle w:val="ListParagraph"/>
        <w:jc w:val="both"/>
        <w:rPr>
          <w:b/>
          <w:bCs/>
        </w:rPr>
      </w:pPr>
    </w:p>
    <w:p w14:paraId="4AEBE8CB" w14:textId="161A6FFF" w:rsidR="00857D66" w:rsidRDefault="00857D66" w:rsidP="004B5C20">
      <w:pPr>
        <w:jc w:val="both"/>
        <w:rPr>
          <w:b/>
          <w:bCs/>
        </w:rPr>
      </w:pPr>
    </w:p>
    <w:p w14:paraId="2F48AEDD" w14:textId="028A0D1B" w:rsidR="004B5C20" w:rsidRPr="004B5C20" w:rsidRDefault="004B5C20" w:rsidP="004B5C20">
      <w:pPr>
        <w:jc w:val="both"/>
        <w:rPr>
          <w:b/>
          <w:bCs/>
        </w:rPr>
      </w:pPr>
      <w:r>
        <w:rPr>
          <w:b/>
          <w:bCs/>
        </w:rPr>
        <w:lastRenderedPageBreak/>
        <w:t xml:space="preserve">D. </w:t>
      </w:r>
      <w:r w:rsidRPr="008268EF">
        <w:rPr>
          <w:b/>
          <w:bCs/>
        </w:rPr>
        <w:t>ASSET UTILIZATION RATIOS</w:t>
      </w:r>
    </w:p>
    <w:tbl>
      <w:tblPr>
        <w:tblStyle w:val="TableGrid"/>
        <w:tblW w:w="0" w:type="auto"/>
        <w:tblLook w:val="04A0" w:firstRow="1" w:lastRow="0" w:firstColumn="1" w:lastColumn="0" w:noHBand="0" w:noVBand="1"/>
      </w:tblPr>
      <w:tblGrid>
        <w:gridCol w:w="2254"/>
        <w:gridCol w:w="2254"/>
        <w:gridCol w:w="2254"/>
        <w:gridCol w:w="2254"/>
      </w:tblGrid>
      <w:tr w:rsidR="001F7089" w14:paraId="3340532B" w14:textId="77777777" w:rsidTr="001F7089">
        <w:tc>
          <w:tcPr>
            <w:tcW w:w="2254" w:type="dxa"/>
          </w:tcPr>
          <w:p w14:paraId="632B414D" w14:textId="6F3F6439" w:rsidR="001F7089" w:rsidRPr="008268EF" w:rsidRDefault="001F7089" w:rsidP="004B5C20">
            <w:pPr>
              <w:jc w:val="both"/>
              <w:rPr>
                <w:b/>
                <w:bCs/>
              </w:rPr>
            </w:pPr>
            <w:r w:rsidRPr="008268EF">
              <w:rPr>
                <w:b/>
                <w:bCs/>
              </w:rPr>
              <w:t>RATIOS</w:t>
            </w:r>
          </w:p>
        </w:tc>
        <w:tc>
          <w:tcPr>
            <w:tcW w:w="2254" w:type="dxa"/>
          </w:tcPr>
          <w:p w14:paraId="0D7513D9" w14:textId="4EC23230" w:rsidR="001F7089" w:rsidRPr="008268EF" w:rsidRDefault="001F7089" w:rsidP="004B5C20">
            <w:pPr>
              <w:jc w:val="both"/>
              <w:rPr>
                <w:b/>
                <w:bCs/>
              </w:rPr>
            </w:pPr>
            <w:r w:rsidRPr="008268EF">
              <w:rPr>
                <w:b/>
                <w:bCs/>
              </w:rPr>
              <w:t>2022</w:t>
            </w:r>
          </w:p>
        </w:tc>
        <w:tc>
          <w:tcPr>
            <w:tcW w:w="2254" w:type="dxa"/>
          </w:tcPr>
          <w:p w14:paraId="5F871C62" w14:textId="60291DBB" w:rsidR="001F7089" w:rsidRPr="008268EF" w:rsidRDefault="001F7089" w:rsidP="004B5C20">
            <w:pPr>
              <w:jc w:val="both"/>
              <w:rPr>
                <w:b/>
                <w:bCs/>
              </w:rPr>
            </w:pPr>
            <w:r w:rsidRPr="008268EF">
              <w:rPr>
                <w:b/>
                <w:bCs/>
              </w:rPr>
              <w:t>2021</w:t>
            </w:r>
          </w:p>
        </w:tc>
        <w:tc>
          <w:tcPr>
            <w:tcW w:w="2254" w:type="dxa"/>
          </w:tcPr>
          <w:p w14:paraId="5D58D06A" w14:textId="2408B6A9" w:rsidR="001F7089" w:rsidRPr="008268EF" w:rsidRDefault="001F7089" w:rsidP="004B5C20">
            <w:pPr>
              <w:jc w:val="both"/>
              <w:rPr>
                <w:b/>
                <w:bCs/>
              </w:rPr>
            </w:pPr>
            <w:r w:rsidRPr="008268EF">
              <w:rPr>
                <w:b/>
                <w:bCs/>
              </w:rPr>
              <w:t>2020</w:t>
            </w:r>
          </w:p>
        </w:tc>
      </w:tr>
      <w:tr w:rsidR="001F7089" w14:paraId="41CEA7C2" w14:textId="77777777" w:rsidTr="001F7089">
        <w:tc>
          <w:tcPr>
            <w:tcW w:w="2254" w:type="dxa"/>
          </w:tcPr>
          <w:p w14:paraId="45C3583C" w14:textId="124AD22F" w:rsidR="001F7089" w:rsidRDefault="007F301C" w:rsidP="004B5C20">
            <w:pPr>
              <w:jc w:val="both"/>
            </w:pPr>
            <w:r w:rsidRPr="007F301C">
              <w:t>Total Asset Turnover</w:t>
            </w:r>
          </w:p>
        </w:tc>
        <w:tc>
          <w:tcPr>
            <w:tcW w:w="2254" w:type="dxa"/>
          </w:tcPr>
          <w:p w14:paraId="721CD7CD" w14:textId="05832215" w:rsidR="001F7089" w:rsidRDefault="007F301C" w:rsidP="004B5C20">
            <w:pPr>
              <w:jc w:val="both"/>
            </w:pPr>
            <w:r w:rsidRPr="007F301C">
              <w:t> 1.12</w:t>
            </w:r>
          </w:p>
        </w:tc>
        <w:tc>
          <w:tcPr>
            <w:tcW w:w="2254" w:type="dxa"/>
          </w:tcPr>
          <w:p w14:paraId="578FC3CA" w14:textId="30A7FBE1" w:rsidR="001F7089" w:rsidRDefault="007F301C" w:rsidP="004B5C20">
            <w:pPr>
              <w:jc w:val="both"/>
            </w:pPr>
            <w:r w:rsidRPr="007F301C">
              <w:t>1.04</w:t>
            </w:r>
          </w:p>
        </w:tc>
        <w:tc>
          <w:tcPr>
            <w:tcW w:w="2254" w:type="dxa"/>
          </w:tcPr>
          <w:p w14:paraId="41570103" w14:textId="4DCAC1B3" w:rsidR="001F7089" w:rsidRDefault="007F301C" w:rsidP="004B5C20">
            <w:pPr>
              <w:jc w:val="both"/>
            </w:pPr>
            <w:r w:rsidRPr="007F301C">
              <w:t>0.85</w:t>
            </w:r>
          </w:p>
        </w:tc>
      </w:tr>
      <w:tr w:rsidR="001F7089" w14:paraId="48A87A34" w14:textId="77777777" w:rsidTr="001F7089">
        <w:tc>
          <w:tcPr>
            <w:tcW w:w="2254" w:type="dxa"/>
          </w:tcPr>
          <w:p w14:paraId="300684E2" w14:textId="2CCF6FA4" w:rsidR="001F7089" w:rsidRDefault="007F301C" w:rsidP="004B5C20">
            <w:pPr>
              <w:jc w:val="both"/>
            </w:pPr>
            <w:r w:rsidRPr="007F301C">
              <w:t>Fixed Asset Turnover</w:t>
            </w:r>
          </w:p>
        </w:tc>
        <w:tc>
          <w:tcPr>
            <w:tcW w:w="2254" w:type="dxa"/>
          </w:tcPr>
          <w:p w14:paraId="0524AFEA" w14:textId="438133B3" w:rsidR="001F7089" w:rsidRDefault="007F301C" w:rsidP="004B5C20">
            <w:pPr>
              <w:jc w:val="both"/>
            </w:pPr>
            <w:r w:rsidRPr="007F301C">
              <w:t>1.81</w:t>
            </w:r>
          </w:p>
        </w:tc>
        <w:tc>
          <w:tcPr>
            <w:tcW w:w="2254" w:type="dxa"/>
          </w:tcPr>
          <w:p w14:paraId="6B7D675E" w14:textId="15FA2DC9" w:rsidR="001F7089" w:rsidRDefault="007F301C" w:rsidP="004B5C20">
            <w:pPr>
              <w:jc w:val="both"/>
            </w:pPr>
            <w:r w:rsidRPr="007F301C">
              <w:t>1.69</w:t>
            </w:r>
          </w:p>
        </w:tc>
        <w:tc>
          <w:tcPr>
            <w:tcW w:w="2254" w:type="dxa"/>
          </w:tcPr>
          <w:p w14:paraId="44F3664D" w14:textId="73F4ADF9" w:rsidR="001F7089" w:rsidRDefault="007F301C" w:rsidP="004B5C20">
            <w:pPr>
              <w:jc w:val="both"/>
            </w:pPr>
            <w:r w:rsidRPr="007F301C">
              <w:t> 1.52</w:t>
            </w:r>
          </w:p>
        </w:tc>
      </w:tr>
      <w:tr w:rsidR="001F7089" w14:paraId="3074B042" w14:textId="77777777" w:rsidTr="001F7089">
        <w:tc>
          <w:tcPr>
            <w:tcW w:w="2254" w:type="dxa"/>
          </w:tcPr>
          <w:p w14:paraId="0264FBC1" w14:textId="60C77358" w:rsidR="001F7089" w:rsidRDefault="007F301C" w:rsidP="004B5C20">
            <w:pPr>
              <w:jc w:val="both"/>
            </w:pPr>
            <w:r w:rsidRPr="007F301C">
              <w:t> Inventory Turnover</w:t>
            </w:r>
          </w:p>
        </w:tc>
        <w:tc>
          <w:tcPr>
            <w:tcW w:w="2254" w:type="dxa"/>
          </w:tcPr>
          <w:p w14:paraId="771ACCF0" w14:textId="43C38AD2" w:rsidR="001F7089" w:rsidRDefault="007F301C" w:rsidP="004B5C20">
            <w:pPr>
              <w:jc w:val="both"/>
            </w:pPr>
            <w:r w:rsidRPr="007F301C">
              <w:t>45.20</w:t>
            </w:r>
          </w:p>
        </w:tc>
        <w:tc>
          <w:tcPr>
            <w:tcW w:w="2254" w:type="dxa"/>
          </w:tcPr>
          <w:p w14:paraId="5A350B60" w14:textId="04C738BA" w:rsidR="001F7089" w:rsidRDefault="007F301C" w:rsidP="004B5C20">
            <w:pPr>
              <w:jc w:val="both"/>
            </w:pPr>
            <w:r w:rsidRPr="007F301C">
              <w:t> 32.37</w:t>
            </w:r>
          </w:p>
        </w:tc>
        <w:tc>
          <w:tcPr>
            <w:tcW w:w="2254" w:type="dxa"/>
          </w:tcPr>
          <w:p w14:paraId="400239EB" w14:textId="7BCE50E5" w:rsidR="001F7089" w:rsidRDefault="007F301C" w:rsidP="004B5C20">
            <w:pPr>
              <w:jc w:val="both"/>
            </w:pPr>
            <w:r w:rsidRPr="007F301C">
              <w:t>41.75</w:t>
            </w:r>
          </w:p>
        </w:tc>
      </w:tr>
      <w:tr w:rsidR="007F301C" w14:paraId="27AAAAB7" w14:textId="77777777" w:rsidTr="001F7089">
        <w:tc>
          <w:tcPr>
            <w:tcW w:w="2254" w:type="dxa"/>
          </w:tcPr>
          <w:p w14:paraId="003F81DA" w14:textId="6105F2BA" w:rsidR="007F301C" w:rsidRPr="007F301C" w:rsidRDefault="007F301C" w:rsidP="004B5C20">
            <w:pPr>
              <w:jc w:val="both"/>
            </w:pPr>
            <w:r w:rsidRPr="007F301C">
              <w:t>Return on Assets</w:t>
            </w:r>
          </w:p>
        </w:tc>
        <w:tc>
          <w:tcPr>
            <w:tcW w:w="2254" w:type="dxa"/>
          </w:tcPr>
          <w:p w14:paraId="1F6540B2" w14:textId="4C4659F6" w:rsidR="007F301C" w:rsidRPr="007F301C" w:rsidRDefault="007F301C" w:rsidP="004B5C20">
            <w:pPr>
              <w:jc w:val="both"/>
            </w:pPr>
            <w:r w:rsidRPr="007F301C">
              <w:t> 28%</w:t>
            </w:r>
          </w:p>
        </w:tc>
        <w:tc>
          <w:tcPr>
            <w:tcW w:w="2254" w:type="dxa"/>
          </w:tcPr>
          <w:p w14:paraId="0A6F9E7F" w14:textId="2654E805" w:rsidR="007F301C" w:rsidRPr="007F301C" w:rsidRDefault="007F301C" w:rsidP="004B5C20">
            <w:pPr>
              <w:jc w:val="both"/>
            </w:pPr>
            <w:r w:rsidRPr="007F301C">
              <w:t>27%</w:t>
            </w:r>
          </w:p>
        </w:tc>
        <w:tc>
          <w:tcPr>
            <w:tcW w:w="2254" w:type="dxa"/>
          </w:tcPr>
          <w:p w14:paraId="772027FA" w14:textId="7BD288CB" w:rsidR="007F301C" w:rsidRPr="007F301C" w:rsidRDefault="007F301C" w:rsidP="004B5C20">
            <w:pPr>
              <w:jc w:val="both"/>
            </w:pPr>
            <w:r w:rsidRPr="007F301C">
              <w:t>18%</w:t>
            </w:r>
          </w:p>
        </w:tc>
      </w:tr>
    </w:tbl>
    <w:p w14:paraId="643781B7" w14:textId="77777777" w:rsidR="001F7089" w:rsidRDefault="001F7089" w:rsidP="004B5C20">
      <w:pPr>
        <w:jc w:val="both"/>
      </w:pPr>
    </w:p>
    <w:p w14:paraId="7E702511" w14:textId="6543F5CC" w:rsidR="001F7089" w:rsidRPr="00980689" w:rsidRDefault="007F301C" w:rsidP="004B5C20">
      <w:pPr>
        <w:jc w:val="both"/>
        <w:rPr>
          <w:b/>
          <w:bCs/>
        </w:rPr>
      </w:pPr>
      <w:r w:rsidRPr="00980689">
        <w:rPr>
          <w:b/>
          <w:bCs/>
        </w:rPr>
        <w:t>ANALYSIS</w:t>
      </w:r>
    </w:p>
    <w:p w14:paraId="28C29D36" w14:textId="3333F87E" w:rsidR="00C33F08" w:rsidRPr="00C33F08" w:rsidRDefault="007F301C" w:rsidP="004B5C20">
      <w:pPr>
        <w:jc w:val="both"/>
      </w:pPr>
      <w:r w:rsidRPr="007F301C">
        <w:t>Asset utilization ratios assess how effectively Apple uses its assets to generate revenue</w:t>
      </w:r>
      <w:r w:rsidR="004B5C20">
        <w:t xml:space="preserve">. </w:t>
      </w:r>
      <w:r w:rsidR="00C33F08" w:rsidRPr="00C33F08">
        <w:t>This report evaluates Apple Inc.'s asset utilization ratios over the thre</w:t>
      </w:r>
      <w:r w:rsidR="00B67AE9">
        <w:t>e</w:t>
      </w:r>
      <w:r w:rsidR="00C33F08" w:rsidRPr="00C33F08">
        <w:t xml:space="preserve"> years, assessing the company's efficiency in using its assets to generate revenue.</w:t>
      </w:r>
    </w:p>
    <w:p w14:paraId="5B0BBC28" w14:textId="67E338D3" w:rsidR="00C33F08" w:rsidRPr="00C33F08" w:rsidRDefault="00C33F08" w:rsidP="004B5C20">
      <w:pPr>
        <w:jc w:val="both"/>
      </w:pPr>
      <w:r w:rsidRPr="00C33F08">
        <w:t xml:space="preserve">The improving trend in total asset turnover ratios highlights Apple's efficient use of its asset </w:t>
      </w:r>
      <w:r w:rsidR="00B67AE9">
        <w:t xml:space="preserve">to generate </w:t>
      </w:r>
      <w:r w:rsidRPr="00C33F08">
        <w:t>sales. This improvement reflects effective management practices and the growing demand for Apple’s products and services.</w:t>
      </w:r>
    </w:p>
    <w:p w14:paraId="549F85E3" w14:textId="77777777" w:rsidR="00B67AE9" w:rsidRDefault="00B67AE9" w:rsidP="004B5C20">
      <w:pPr>
        <w:jc w:val="both"/>
      </w:pPr>
      <w:r w:rsidRPr="00B67AE9">
        <w:t xml:space="preserve">The </w:t>
      </w:r>
      <w:r w:rsidRPr="00B67AE9">
        <w:t>Fixed asset turnover</w:t>
      </w:r>
      <w:r>
        <w:t xml:space="preserve"> ratio</w:t>
      </w:r>
      <w:r w:rsidRPr="00B67AE9">
        <w:t xml:space="preserve"> measures how well a company generates sales from its fixed assets</w:t>
      </w:r>
      <w:r>
        <w:t xml:space="preserve">. </w:t>
      </w:r>
      <w:r w:rsidR="00C33F08" w:rsidRPr="00B67AE9">
        <w:t>The</w:t>
      </w:r>
      <w:r w:rsidR="00C33F08" w:rsidRPr="00C33F08">
        <w:t xml:space="preserve"> rise in the fixed asset turnover ratio indicates Apple's enhanced ability to generate revenue from its investments in fixed assets, such as property, plant, and equipment. </w:t>
      </w:r>
    </w:p>
    <w:p w14:paraId="261D4CA9" w14:textId="3F80C7EC" w:rsidR="00C33F08" w:rsidRPr="00C33F08" w:rsidRDefault="00B67AE9" w:rsidP="004B5C20">
      <w:pPr>
        <w:jc w:val="both"/>
      </w:pPr>
      <w:r w:rsidRPr="00B67AE9">
        <w:t xml:space="preserve">Inventory turnover indicates how many times inventory is sold and replaced over a </w:t>
      </w:r>
      <w:r w:rsidRPr="00B67AE9">
        <w:t>period.</w:t>
      </w:r>
      <w:r w:rsidRPr="00C33F08">
        <w:t xml:space="preserve"> The</w:t>
      </w:r>
      <w:r w:rsidR="00C33F08" w:rsidRPr="00C33F08">
        <w:t xml:space="preserve"> significant improvement in the inventory turnover ratio in 2022 reflects faster inventory movement, likely due to strong product demand and effective inventory management. This helps minimize carrying costs and obsolescence risks.</w:t>
      </w:r>
    </w:p>
    <w:p w14:paraId="52B57C31" w14:textId="5955B0F6" w:rsidR="009F165A" w:rsidRPr="00C33F08" w:rsidRDefault="00C33F08" w:rsidP="004B5C20">
      <w:pPr>
        <w:jc w:val="both"/>
      </w:pPr>
      <w:r w:rsidRPr="00C33F08">
        <w:t>The</w:t>
      </w:r>
      <w:r w:rsidR="009F165A">
        <w:t xml:space="preserve"> Return on assets ratio</w:t>
      </w:r>
      <w:r w:rsidR="009F165A" w:rsidRPr="009F165A">
        <w:t xml:space="preserve"> measures how effectively a company uses its assets to generate profit.</w:t>
      </w:r>
      <w:r w:rsidRPr="00C33F08">
        <w:t xml:space="preserve"> </w:t>
      </w:r>
      <w:r w:rsidR="009F165A">
        <w:t xml:space="preserve">The </w:t>
      </w:r>
      <w:r w:rsidRPr="00C33F08">
        <w:t>consistent growth in ROA</w:t>
      </w:r>
      <w:r w:rsidR="009F165A">
        <w:t xml:space="preserve"> reveals</w:t>
      </w:r>
      <w:r w:rsidRPr="00C33F08">
        <w:t xml:space="preserve"> Apple’s capability to generate higher profits from its asset</w:t>
      </w:r>
      <w:r w:rsidR="009F165A">
        <w:t>s</w:t>
      </w:r>
      <w:r w:rsidRPr="00C33F08">
        <w:t xml:space="preserve"> reflecting improved operational efficiency and profitability.</w:t>
      </w:r>
      <w:r w:rsidR="00243DEC">
        <w:t xml:space="preserve"> </w:t>
      </w:r>
      <w:r w:rsidRPr="00C33F08">
        <w:t xml:space="preserve">The strong turnover ratios demonstrate Apple’s efficient use of its resources to generate revenue. </w:t>
      </w:r>
      <w:r w:rsidR="009F165A" w:rsidRPr="00C33F08">
        <w:t>In conclusion, while Apple Inc.'s asset utilization ratios exhibit steady improvements, there is potential for further enhancement through strategic capital expenditure, advanced inventory management, and revenue diversification initiatives.</w:t>
      </w:r>
    </w:p>
    <w:p w14:paraId="796A80C7" w14:textId="3913B747" w:rsidR="001462F4" w:rsidRPr="00B04708" w:rsidRDefault="001462F4" w:rsidP="00B04708">
      <w:pPr>
        <w:pStyle w:val="ListParagraph"/>
        <w:numPr>
          <w:ilvl w:val="0"/>
          <w:numId w:val="33"/>
        </w:numPr>
        <w:jc w:val="both"/>
        <w:rPr>
          <w:b/>
          <w:bCs/>
        </w:rPr>
      </w:pPr>
      <w:r w:rsidRPr="00B04708">
        <w:rPr>
          <w:b/>
          <w:bCs/>
        </w:rPr>
        <w:t>INVESTOR AND MARKET RATIOS</w:t>
      </w:r>
    </w:p>
    <w:tbl>
      <w:tblPr>
        <w:tblStyle w:val="TableGrid"/>
        <w:tblW w:w="0" w:type="auto"/>
        <w:tblLook w:val="04A0" w:firstRow="1" w:lastRow="0" w:firstColumn="1" w:lastColumn="0" w:noHBand="0" w:noVBand="1"/>
      </w:tblPr>
      <w:tblGrid>
        <w:gridCol w:w="2254"/>
        <w:gridCol w:w="2254"/>
        <w:gridCol w:w="2254"/>
        <w:gridCol w:w="2254"/>
      </w:tblGrid>
      <w:tr w:rsidR="001462F4" w:rsidRPr="008268EF" w14:paraId="7DFDC81C" w14:textId="77777777" w:rsidTr="001462F4">
        <w:tc>
          <w:tcPr>
            <w:tcW w:w="2254" w:type="dxa"/>
          </w:tcPr>
          <w:p w14:paraId="4A000BAD" w14:textId="686C5AD1" w:rsidR="001462F4" w:rsidRPr="008268EF" w:rsidRDefault="001462F4" w:rsidP="004B5C20">
            <w:pPr>
              <w:jc w:val="both"/>
              <w:rPr>
                <w:b/>
                <w:bCs/>
              </w:rPr>
            </w:pPr>
            <w:r w:rsidRPr="008268EF">
              <w:rPr>
                <w:b/>
                <w:bCs/>
              </w:rPr>
              <w:t>RATIOS</w:t>
            </w:r>
          </w:p>
        </w:tc>
        <w:tc>
          <w:tcPr>
            <w:tcW w:w="2254" w:type="dxa"/>
          </w:tcPr>
          <w:p w14:paraId="7ECCC5C2" w14:textId="7EA9644C" w:rsidR="001462F4" w:rsidRPr="008268EF" w:rsidRDefault="001462F4" w:rsidP="004B5C20">
            <w:pPr>
              <w:jc w:val="both"/>
              <w:rPr>
                <w:b/>
                <w:bCs/>
              </w:rPr>
            </w:pPr>
            <w:r w:rsidRPr="008268EF">
              <w:rPr>
                <w:b/>
                <w:bCs/>
              </w:rPr>
              <w:t>2022</w:t>
            </w:r>
          </w:p>
        </w:tc>
        <w:tc>
          <w:tcPr>
            <w:tcW w:w="2254" w:type="dxa"/>
          </w:tcPr>
          <w:p w14:paraId="10CBA27C" w14:textId="086C76D8" w:rsidR="001462F4" w:rsidRPr="008268EF" w:rsidRDefault="001462F4" w:rsidP="004B5C20">
            <w:pPr>
              <w:jc w:val="both"/>
              <w:rPr>
                <w:b/>
                <w:bCs/>
              </w:rPr>
            </w:pPr>
            <w:r w:rsidRPr="008268EF">
              <w:rPr>
                <w:b/>
                <w:bCs/>
              </w:rPr>
              <w:t>2021</w:t>
            </w:r>
          </w:p>
        </w:tc>
        <w:tc>
          <w:tcPr>
            <w:tcW w:w="2254" w:type="dxa"/>
          </w:tcPr>
          <w:p w14:paraId="6F251E06" w14:textId="1C568DEE" w:rsidR="001462F4" w:rsidRPr="008268EF" w:rsidRDefault="001462F4" w:rsidP="004B5C20">
            <w:pPr>
              <w:jc w:val="both"/>
              <w:rPr>
                <w:b/>
                <w:bCs/>
              </w:rPr>
            </w:pPr>
            <w:r w:rsidRPr="008268EF">
              <w:rPr>
                <w:b/>
                <w:bCs/>
              </w:rPr>
              <w:t>2020</w:t>
            </w:r>
          </w:p>
        </w:tc>
      </w:tr>
      <w:tr w:rsidR="001462F4" w14:paraId="21D4FCC0" w14:textId="77777777" w:rsidTr="001462F4">
        <w:tc>
          <w:tcPr>
            <w:tcW w:w="2254" w:type="dxa"/>
          </w:tcPr>
          <w:p w14:paraId="0BF2C4CC" w14:textId="74524BC5" w:rsidR="001462F4" w:rsidRDefault="001462F4" w:rsidP="004B5C20">
            <w:pPr>
              <w:jc w:val="both"/>
            </w:pPr>
            <w:r w:rsidRPr="001462F4">
              <w:t>Earnings Per Share (EPS)</w:t>
            </w:r>
          </w:p>
        </w:tc>
        <w:tc>
          <w:tcPr>
            <w:tcW w:w="2254" w:type="dxa"/>
          </w:tcPr>
          <w:p w14:paraId="7B748BDD" w14:textId="4B4DDC88" w:rsidR="001462F4" w:rsidRDefault="001462F4" w:rsidP="004B5C20">
            <w:pPr>
              <w:jc w:val="both"/>
            </w:pPr>
            <w:r w:rsidRPr="001462F4">
              <w:t>6.15</w:t>
            </w:r>
          </w:p>
        </w:tc>
        <w:tc>
          <w:tcPr>
            <w:tcW w:w="2254" w:type="dxa"/>
          </w:tcPr>
          <w:p w14:paraId="4126A19C" w14:textId="3CA40FB5" w:rsidR="001462F4" w:rsidRDefault="001462F4" w:rsidP="004B5C20">
            <w:pPr>
              <w:jc w:val="both"/>
            </w:pPr>
            <w:r w:rsidRPr="001462F4">
              <w:t>5.67</w:t>
            </w:r>
          </w:p>
        </w:tc>
        <w:tc>
          <w:tcPr>
            <w:tcW w:w="2254" w:type="dxa"/>
          </w:tcPr>
          <w:p w14:paraId="0212AF1F" w14:textId="66226754" w:rsidR="001462F4" w:rsidRDefault="001462F4" w:rsidP="004B5C20">
            <w:pPr>
              <w:jc w:val="both"/>
            </w:pPr>
            <w:r w:rsidRPr="001462F4">
              <w:t>3.31</w:t>
            </w:r>
          </w:p>
        </w:tc>
      </w:tr>
      <w:tr w:rsidR="001462F4" w14:paraId="6EB5D93B" w14:textId="77777777" w:rsidTr="001462F4">
        <w:tc>
          <w:tcPr>
            <w:tcW w:w="2254" w:type="dxa"/>
          </w:tcPr>
          <w:p w14:paraId="02F105FB" w14:textId="1410A250" w:rsidR="001462F4" w:rsidRDefault="001462F4" w:rsidP="004B5C20">
            <w:pPr>
              <w:jc w:val="both"/>
            </w:pPr>
            <w:r w:rsidRPr="001462F4">
              <w:t>Price-to-E</w:t>
            </w:r>
            <w:r w:rsidR="00F712B3">
              <w:t>quity</w:t>
            </w:r>
            <w:r w:rsidRPr="001462F4">
              <w:t xml:space="preserve"> (P/E) Ratio</w:t>
            </w:r>
          </w:p>
        </w:tc>
        <w:tc>
          <w:tcPr>
            <w:tcW w:w="2254" w:type="dxa"/>
          </w:tcPr>
          <w:p w14:paraId="737F2973" w14:textId="5AC09436" w:rsidR="001462F4" w:rsidRDefault="001462F4" w:rsidP="004B5C20">
            <w:pPr>
              <w:jc w:val="both"/>
            </w:pPr>
            <w:r w:rsidRPr="001462F4">
              <w:t>22.47</w:t>
            </w:r>
          </w:p>
        </w:tc>
        <w:tc>
          <w:tcPr>
            <w:tcW w:w="2254" w:type="dxa"/>
          </w:tcPr>
          <w:p w14:paraId="7066149E" w14:textId="425EE3B1" w:rsidR="001462F4" w:rsidRDefault="001462F4" w:rsidP="004B5C20">
            <w:pPr>
              <w:jc w:val="both"/>
            </w:pPr>
            <w:r w:rsidRPr="001462F4">
              <w:t>25.16</w:t>
            </w:r>
          </w:p>
        </w:tc>
        <w:tc>
          <w:tcPr>
            <w:tcW w:w="2254" w:type="dxa"/>
          </w:tcPr>
          <w:p w14:paraId="1731DB46" w14:textId="428232A0" w:rsidR="001462F4" w:rsidRDefault="001462F4" w:rsidP="004B5C20">
            <w:pPr>
              <w:jc w:val="both"/>
            </w:pPr>
            <w:r w:rsidRPr="001462F4">
              <w:t>33.92</w:t>
            </w:r>
          </w:p>
        </w:tc>
      </w:tr>
      <w:tr w:rsidR="001462F4" w14:paraId="4341552A" w14:textId="77777777" w:rsidTr="001462F4">
        <w:tc>
          <w:tcPr>
            <w:tcW w:w="2254" w:type="dxa"/>
          </w:tcPr>
          <w:p w14:paraId="515B8D3D" w14:textId="3EA8F3AD" w:rsidR="001462F4" w:rsidRDefault="001462F4" w:rsidP="004B5C20">
            <w:pPr>
              <w:jc w:val="both"/>
            </w:pPr>
            <w:r w:rsidRPr="001462F4">
              <w:t>Dividend Yield</w:t>
            </w:r>
          </w:p>
        </w:tc>
        <w:tc>
          <w:tcPr>
            <w:tcW w:w="2254" w:type="dxa"/>
          </w:tcPr>
          <w:p w14:paraId="40465113" w14:textId="0937789B" w:rsidR="001462F4" w:rsidRDefault="001462F4" w:rsidP="004B5C20">
            <w:pPr>
              <w:jc w:val="both"/>
            </w:pPr>
            <w:r w:rsidRPr="001462F4">
              <w:t> 1%</w:t>
            </w:r>
          </w:p>
        </w:tc>
        <w:tc>
          <w:tcPr>
            <w:tcW w:w="2254" w:type="dxa"/>
          </w:tcPr>
          <w:p w14:paraId="64A11FAA" w14:textId="2F348C5B" w:rsidR="001462F4" w:rsidRDefault="001462F4" w:rsidP="004B5C20">
            <w:pPr>
              <w:jc w:val="both"/>
            </w:pPr>
            <w:r w:rsidRPr="001462F4">
              <w:t>1%</w:t>
            </w:r>
          </w:p>
        </w:tc>
        <w:tc>
          <w:tcPr>
            <w:tcW w:w="2254" w:type="dxa"/>
          </w:tcPr>
          <w:p w14:paraId="1448ADD4" w14:textId="4AFE762B" w:rsidR="001462F4" w:rsidRDefault="00410A63" w:rsidP="004B5C20">
            <w:pPr>
              <w:jc w:val="both"/>
            </w:pPr>
            <w:r w:rsidRPr="00410A63">
              <w:t>1%</w:t>
            </w:r>
          </w:p>
        </w:tc>
      </w:tr>
      <w:tr w:rsidR="001462F4" w14:paraId="769CA09A" w14:textId="77777777" w:rsidTr="001462F4">
        <w:tc>
          <w:tcPr>
            <w:tcW w:w="2254" w:type="dxa"/>
          </w:tcPr>
          <w:p w14:paraId="01C4609D" w14:textId="111F3569" w:rsidR="001462F4" w:rsidRPr="001462F4" w:rsidRDefault="00410A63" w:rsidP="004B5C20">
            <w:pPr>
              <w:jc w:val="both"/>
            </w:pPr>
            <w:r w:rsidRPr="00410A63">
              <w:lastRenderedPageBreak/>
              <w:t>Return on Equity (ROE)</w:t>
            </w:r>
          </w:p>
        </w:tc>
        <w:tc>
          <w:tcPr>
            <w:tcW w:w="2254" w:type="dxa"/>
          </w:tcPr>
          <w:p w14:paraId="65BB08D3" w14:textId="60B78966" w:rsidR="001462F4" w:rsidRDefault="00410A63" w:rsidP="004B5C20">
            <w:pPr>
              <w:jc w:val="both"/>
            </w:pPr>
            <w:r w:rsidRPr="00410A63">
              <w:t>1.</w:t>
            </w:r>
            <w:r w:rsidR="00D40EB2">
              <w:t>97</w:t>
            </w:r>
          </w:p>
        </w:tc>
        <w:tc>
          <w:tcPr>
            <w:tcW w:w="2254" w:type="dxa"/>
          </w:tcPr>
          <w:p w14:paraId="534E83C9" w14:textId="1B98218F" w:rsidR="001462F4" w:rsidRDefault="00410A63" w:rsidP="004B5C20">
            <w:pPr>
              <w:jc w:val="both"/>
            </w:pPr>
            <w:r w:rsidRPr="00410A63">
              <w:t>1.5</w:t>
            </w:r>
            <w:r w:rsidR="00D40EB2">
              <w:t>0</w:t>
            </w:r>
          </w:p>
        </w:tc>
        <w:tc>
          <w:tcPr>
            <w:tcW w:w="2254" w:type="dxa"/>
          </w:tcPr>
          <w:p w14:paraId="06228D8A" w14:textId="40DEE83B" w:rsidR="001462F4" w:rsidRDefault="00410A63" w:rsidP="004B5C20">
            <w:pPr>
              <w:jc w:val="both"/>
            </w:pPr>
            <w:r w:rsidRPr="00410A63">
              <w:t>0.8</w:t>
            </w:r>
            <w:r w:rsidR="00D40EB2">
              <w:t>8</w:t>
            </w:r>
          </w:p>
        </w:tc>
      </w:tr>
      <w:tr w:rsidR="00F712B3" w14:paraId="245BBE06" w14:textId="77777777" w:rsidTr="001462F4">
        <w:tc>
          <w:tcPr>
            <w:tcW w:w="2254" w:type="dxa"/>
          </w:tcPr>
          <w:p w14:paraId="409E91E3" w14:textId="0EC9278F" w:rsidR="00F712B3" w:rsidRPr="00410A63" w:rsidRDefault="00F712B3" w:rsidP="004B5C20">
            <w:pPr>
              <w:jc w:val="both"/>
            </w:pPr>
            <w:r>
              <w:t>Price to book value</w:t>
            </w:r>
          </w:p>
        </w:tc>
        <w:tc>
          <w:tcPr>
            <w:tcW w:w="2254" w:type="dxa"/>
          </w:tcPr>
          <w:p w14:paraId="1E4F8324" w14:textId="6830839B" w:rsidR="00F712B3" w:rsidRPr="00410A63" w:rsidRDefault="00F712B3" w:rsidP="004B5C20">
            <w:pPr>
              <w:jc w:val="both"/>
            </w:pPr>
            <w:r>
              <w:t>44.53</w:t>
            </w:r>
          </w:p>
        </w:tc>
        <w:tc>
          <w:tcPr>
            <w:tcW w:w="2254" w:type="dxa"/>
          </w:tcPr>
          <w:p w14:paraId="6B66AF1A" w14:textId="269960AA" w:rsidR="00F712B3" w:rsidRPr="00410A63" w:rsidRDefault="00F712B3" w:rsidP="004B5C20">
            <w:pPr>
              <w:jc w:val="both"/>
            </w:pPr>
            <w:r>
              <w:t>38.13</w:t>
            </w:r>
          </w:p>
        </w:tc>
        <w:tc>
          <w:tcPr>
            <w:tcW w:w="2254" w:type="dxa"/>
          </w:tcPr>
          <w:p w14:paraId="5D586D08" w14:textId="18179299" w:rsidR="00F712B3" w:rsidRPr="00410A63" w:rsidRDefault="00F712B3" w:rsidP="004B5C20">
            <w:pPr>
              <w:jc w:val="both"/>
            </w:pPr>
            <w:r>
              <w:t>30.12</w:t>
            </w:r>
          </w:p>
        </w:tc>
      </w:tr>
      <w:tr w:rsidR="00F712B3" w14:paraId="2B8DEE79" w14:textId="77777777" w:rsidTr="001462F4">
        <w:tc>
          <w:tcPr>
            <w:tcW w:w="2254" w:type="dxa"/>
          </w:tcPr>
          <w:p w14:paraId="05B06428" w14:textId="154A3FB8" w:rsidR="00F712B3" w:rsidRDefault="00D40EB2" w:rsidP="004B5C20">
            <w:pPr>
              <w:jc w:val="both"/>
            </w:pPr>
            <w:r>
              <w:t xml:space="preserve">Book value per share </w:t>
            </w:r>
          </w:p>
        </w:tc>
        <w:tc>
          <w:tcPr>
            <w:tcW w:w="2254" w:type="dxa"/>
          </w:tcPr>
          <w:p w14:paraId="5AFEFBF7" w14:textId="5BC9BB96" w:rsidR="00F712B3" w:rsidRDefault="00D40EB2" w:rsidP="004B5C20">
            <w:pPr>
              <w:jc w:val="both"/>
            </w:pPr>
            <w:r>
              <w:t>3.10</w:t>
            </w:r>
          </w:p>
        </w:tc>
        <w:tc>
          <w:tcPr>
            <w:tcW w:w="2254" w:type="dxa"/>
          </w:tcPr>
          <w:p w14:paraId="03151DBB" w14:textId="398D488A" w:rsidR="00F712B3" w:rsidRDefault="00D40EB2" w:rsidP="004B5C20">
            <w:pPr>
              <w:jc w:val="both"/>
            </w:pPr>
            <w:r>
              <w:t>3.74</w:t>
            </w:r>
          </w:p>
        </w:tc>
        <w:tc>
          <w:tcPr>
            <w:tcW w:w="2254" w:type="dxa"/>
          </w:tcPr>
          <w:p w14:paraId="5C225118" w14:textId="07283A6F" w:rsidR="00F712B3" w:rsidRDefault="00D40EB2" w:rsidP="004B5C20">
            <w:pPr>
              <w:jc w:val="both"/>
            </w:pPr>
            <w:r>
              <w:t>3.73</w:t>
            </w:r>
          </w:p>
        </w:tc>
      </w:tr>
      <w:tr w:rsidR="00D40EB2" w14:paraId="59785748" w14:textId="77777777" w:rsidTr="001462F4">
        <w:tc>
          <w:tcPr>
            <w:tcW w:w="2254" w:type="dxa"/>
          </w:tcPr>
          <w:p w14:paraId="27F85FAE" w14:textId="0D127FBB" w:rsidR="00D40EB2" w:rsidRDefault="00D40EB2" w:rsidP="004B5C20">
            <w:pPr>
              <w:jc w:val="both"/>
            </w:pPr>
            <w:r>
              <w:t>Dividend payout ratio</w:t>
            </w:r>
          </w:p>
        </w:tc>
        <w:tc>
          <w:tcPr>
            <w:tcW w:w="2254" w:type="dxa"/>
          </w:tcPr>
          <w:p w14:paraId="7E7B53CC" w14:textId="0AB6EC58" w:rsidR="00D40EB2" w:rsidRDefault="00D40EB2" w:rsidP="004B5C20">
            <w:pPr>
              <w:jc w:val="both"/>
            </w:pPr>
            <w:r>
              <w:t>0.15</w:t>
            </w:r>
          </w:p>
        </w:tc>
        <w:tc>
          <w:tcPr>
            <w:tcW w:w="2254" w:type="dxa"/>
          </w:tcPr>
          <w:p w14:paraId="5C4AC526" w14:textId="32845F2B" w:rsidR="00D40EB2" w:rsidRDefault="00D40EB2" w:rsidP="004B5C20">
            <w:pPr>
              <w:jc w:val="both"/>
            </w:pPr>
            <w:r>
              <w:t>0.15</w:t>
            </w:r>
          </w:p>
        </w:tc>
        <w:tc>
          <w:tcPr>
            <w:tcW w:w="2254" w:type="dxa"/>
          </w:tcPr>
          <w:p w14:paraId="3B7A2F60" w14:textId="3FD37726" w:rsidR="00D40EB2" w:rsidRDefault="00D40EB2" w:rsidP="004B5C20">
            <w:pPr>
              <w:jc w:val="both"/>
            </w:pPr>
            <w:r>
              <w:t>0.25</w:t>
            </w:r>
          </w:p>
        </w:tc>
      </w:tr>
      <w:tr w:rsidR="00D40EB2" w14:paraId="2622D81B" w14:textId="77777777" w:rsidTr="001462F4">
        <w:tc>
          <w:tcPr>
            <w:tcW w:w="2254" w:type="dxa"/>
          </w:tcPr>
          <w:p w14:paraId="79518132" w14:textId="409A6403" w:rsidR="00D40EB2" w:rsidRDefault="00D40EB2" w:rsidP="004B5C20">
            <w:pPr>
              <w:jc w:val="both"/>
            </w:pPr>
            <w:r>
              <w:t>Return on capital employed</w:t>
            </w:r>
          </w:p>
        </w:tc>
        <w:tc>
          <w:tcPr>
            <w:tcW w:w="2254" w:type="dxa"/>
          </w:tcPr>
          <w:p w14:paraId="46D662A2" w14:textId="62EB8C28" w:rsidR="00D40EB2" w:rsidRDefault="00D40EB2" w:rsidP="004B5C20">
            <w:pPr>
              <w:jc w:val="both"/>
            </w:pPr>
            <w:r>
              <w:t>0.60</w:t>
            </w:r>
          </w:p>
        </w:tc>
        <w:tc>
          <w:tcPr>
            <w:tcW w:w="2254" w:type="dxa"/>
          </w:tcPr>
          <w:p w14:paraId="2992CA47" w14:textId="3A57A215" w:rsidR="00D40EB2" w:rsidRDefault="00D40EB2" w:rsidP="004B5C20">
            <w:pPr>
              <w:jc w:val="both"/>
            </w:pPr>
            <w:r>
              <w:t>0.48</w:t>
            </w:r>
          </w:p>
        </w:tc>
        <w:tc>
          <w:tcPr>
            <w:tcW w:w="2254" w:type="dxa"/>
          </w:tcPr>
          <w:p w14:paraId="7F66CF12" w14:textId="45498CBB" w:rsidR="00D40EB2" w:rsidRDefault="00D40EB2" w:rsidP="004B5C20">
            <w:pPr>
              <w:jc w:val="both"/>
            </w:pPr>
            <w:r>
              <w:t>0.31</w:t>
            </w:r>
          </w:p>
        </w:tc>
      </w:tr>
      <w:tr w:rsidR="00D40EB2" w14:paraId="6B20A5CD" w14:textId="77777777" w:rsidTr="001462F4">
        <w:tc>
          <w:tcPr>
            <w:tcW w:w="2254" w:type="dxa"/>
          </w:tcPr>
          <w:p w14:paraId="18480905" w14:textId="051CD2C4" w:rsidR="00D40EB2" w:rsidRDefault="00D40EB2" w:rsidP="004B5C20">
            <w:pPr>
              <w:jc w:val="both"/>
            </w:pPr>
            <w:r>
              <w:t>Return on assets</w:t>
            </w:r>
          </w:p>
        </w:tc>
        <w:tc>
          <w:tcPr>
            <w:tcW w:w="2254" w:type="dxa"/>
          </w:tcPr>
          <w:p w14:paraId="1E8EC170" w14:textId="7625BE2F" w:rsidR="00D40EB2" w:rsidRDefault="00D40EB2" w:rsidP="004B5C20">
            <w:pPr>
              <w:jc w:val="both"/>
            </w:pPr>
            <w:r>
              <w:t>0.28</w:t>
            </w:r>
          </w:p>
        </w:tc>
        <w:tc>
          <w:tcPr>
            <w:tcW w:w="2254" w:type="dxa"/>
          </w:tcPr>
          <w:p w14:paraId="659F9723" w14:textId="5F7C0574" w:rsidR="00D40EB2" w:rsidRDefault="00D40EB2" w:rsidP="004B5C20">
            <w:pPr>
              <w:jc w:val="both"/>
            </w:pPr>
            <w:r>
              <w:t>0.27</w:t>
            </w:r>
          </w:p>
        </w:tc>
        <w:tc>
          <w:tcPr>
            <w:tcW w:w="2254" w:type="dxa"/>
          </w:tcPr>
          <w:p w14:paraId="3676156C" w14:textId="6C8F9FE4" w:rsidR="00D40EB2" w:rsidRDefault="00D40EB2" w:rsidP="004B5C20">
            <w:pPr>
              <w:jc w:val="both"/>
            </w:pPr>
            <w:r>
              <w:t>0.18</w:t>
            </w:r>
          </w:p>
        </w:tc>
      </w:tr>
      <w:tr w:rsidR="00D40EB2" w14:paraId="57368197" w14:textId="77777777" w:rsidTr="001462F4">
        <w:tc>
          <w:tcPr>
            <w:tcW w:w="2254" w:type="dxa"/>
          </w:tcPr>
          <w:p w14:paraId="58681F37" w14:textId="5C616078" w:rsidR="00D40EB2" w:rsidRDefault="00D40EB2" w:rsidP="004B5C20">
            <w:pPr>
              <w:jc w:val="both"/>
            </w:pPr>
            <w:r>
              <w:t>Enterprise Value to EBITDA</w:t>
            </w:r>
          </w:p>
        </w:tc>
        <w:tc>
          <w:tcPr>
            <w:tcW w:w="2254" w:type="dxa"/>
          </w:tcPr>
          <w:p w14:paraId="2D827858" w14:textId="35485D9A" w:rsidR="00D40EB2" w:rsidRDefault="00D40EB2" w:rsidP="004B5C20">
            <w:pPr>
              <w:jc w:val="both"/>
            </w:pPr>
            <w:r>
              <w:t>21.15</w:t>
            </w:r>
          </w:p>
        </w:tc>
        <w:tc>
          <w:tcPr>
            <w:tcW w:w="2254" w:type="dxa"/>
          </w:tcPr>
          <w:p w14:paraId="014F8903" w14:textId="6F5AEDFF" w:rsidR="00D40EB2" w:rsidRDefault="00D40EB2" w:rsidP="004B5C20">
            <w:pPr>
              <w:jc w:val="both"/>
            </w:pPr>
            <w:r>
              <w:t>24.13</w:t>
            </w:r>
          </w:p>
        </w:tc>
        <w:tc>
          <w:tcPr>
            <w:tcW w:w="2254" w:type="dxa"/>
          </w:tcPr>
          <w:p w14:paraId="6347DEAD" w14:textId="4EF79409" w:rsidR="00D40EB2" w:rsidRDefault="00D40EB2" w:rsidP="004B5C20">
            <w:pPr>
              <w:jc w:val="both"/>
            </w:pPr>
            <w:r>
              <w:t>32.33</w:t>
            </w:r>
          </w:p>
        </w:tc>
      </w:tr>
    </w:tbl>
    <w:p w14:paraId="01A02485" w14:textId="77777777" w:rsidR="001462F4" w:rsidRDefault="001462F4" w:rsidP="004B5C20">
      <w:pPr>
        <w:jc w:val="both"/>
      </w:pPr>
    </w:p>
    <w:p w14:paraId="5AB97BE3" w14:textId="595E8281" w:rsidR="00410A63" w:rsidRPr="008268EF" w:rsidRDefault="00410A63" w:rsidP="004B5C20">
      <w:pPr>
        <w:jc w:val="both"/>
        <w:rPr>
          <w:b/>
          <w:bCs/>
        </w:rPr>
      </w:pPr>
      <w:r w:rsidRPr="008268EF">
        <w:rPr>
          <w:b/>
          <w:bCs/>
        </w:rPr>
        <w:t>ANALYSIS</w:t>
      </w:r>
    </w:p>
    <w:p w14:paraId="2159D4FF" w14:textId="62E28BCB" w:rsidR="00C33F08" w:rsidRDefault="00C33F08" w:rsidP="004B5C20">
      <w:pPr>
        <w:jc w:val="both"/>
      </w:pPr>
      <w:r w:rsidRPr="00C33F08">
        <w:t>This report evaluates Apple Inc.'s investor and market ratios over the past three years, providing insights into shareholder returns and market valuation.</w:t>
      </w:r>
    </w:p>
    <w:p w14:paraId="61F68B42" w14:textId="7DC4373E" w:rsidR="00C33F08" w:rsidRPr="00C33F08" w:rsidRDefault="00C33F08" w:rsidP="004B5C20">
      <w:pPr>
        <w:jc w:val="both"/>
      </w:pPr>
      <w:r w:rsidRPr="00C33F08">
        <w:t xml:space="preserve"> The steady increase in EPS from 3.31 in 2020 to 6.15 in 2022 indicates Apple’s growing profitability and enhancement in shareholder value. This growth reflects higher earnings allocated per share, driven by net income growth</w:t>
      </w:r>
      <w:r w:rsidR="00B04708">
        <w:t>.</w:t>
      </w:r>
    </w:p>
    <w:p w14:paraId="593D7D57" w14:textId="77777777" w:rsidR="00B04708" w:rsidRPr="00B04708" w:rsidRDefault="00B04708" w:rsidP="00B04708">
      <w:pPr>
        <w:jc w:val="both"/>
      </w:pPr>
      <w:r w:rsidRPr="00B04708">
        <w:t>The decline in the P/E ratio from 33.92 in 2020 to 22.47 in 2022 indicates that the market has taken a more cautious approach to valuing Apple's earnings. This reduction could stem from apprehensions regarding the sustainability of the company's growth, as well as broader market conditions affecting valuation perspectives.</w:t>
      </w:r>
    </w:p>
    <w:p w14:paraId="1F6CD7F8" w14:textId="4F3E0B9D" w:rsidR="00B04708" w:rsidRPr="00B04708" w:rsidRDefault="00B04708" w:rsidP="00B04708">
      <w:pPr>
        <w:jc w:val="both"/>
      </w:pPr>
      <w:r w:rsidRPr="00B04708">
        <w:t xml:space="preserve">The stable dividend yield of 1% over the past three years demonstrates </w:t>
      </w:r>
      <w:r w:rsidRPr="00B04708">
        <w:t>Apple’s commitment</w:t>
      </w:r>
      <w:r w:rsidRPr="00B04708">
        <w:t xml:space="preserve"> to a consistent dividend policy. This reliability provides steady returns to shareholders, </w:t>
      </w:r>
      <w:r>
        <w:t>indicating</w:t>
      </w:r>
      <w:r w:rsidRPr="00B04708">
        <w:t xml:space="preserve"> the company's</w:t>
      </w:r>
      <w:r>
        <w:t xml:space="preserve"> effective</w:t>
      </w:r>
      <w:r w:rsidRPr="00B04708">
        <w:t xml:space="preserve"> approach to capital allocation. It also reflects Apple's strategic focus on maintaining shareholder value and confidence, </w:t>
      </w:r>
      <w:r>
        <w:t xml:space="preserve">despite the </w:t>
      </w:r>
      <w:r w:rsidRPr="00B04708">
        <w:t>varying market conditions and economic cycles.</w:t>
      </w:r>
    </w:p>
    <w:p w14:paraId="4564E230" w14:textId="77777777" w:rsidR="004A0B4E" w:rsidRDefault="00C33F08" w:rsidP="004B5C20">
      <w:pPr>
        <w:jc w:val="both"/>
      </w:pPr>
      <w:r w:rsidRPr="00C33F08">
        <w:t>The significant improvement in ROE from 0.88% in 2020 to 1.97% in 2022 indicates Apple’s effective utilization of equity to generate profits. This improvement is a key metric for assessing shareholder value creation and reflects the company's profitability and efficient equity management.</w:t>
      </w:r>
    </w:p>
    <w:p w14:paraId="3385B571" w14:textId="232F272A" w:rsidR="00C33F08" w:rsidRPr="00C33F08" w:rsidRDefault="00C33F08" w:rsidP="004B5C20">
      <w:pPr>
        <w:jc w:val="both"/>
      </w:pPr>
      <w:r w:rsidRPr="00C33F08">
        <w:t xml:space="preserve"> Apple should continue focusing on revenue growth and operational efficiency to sustain and enhance EPS, ensuring consistent profitability and shareholder value.</w:t>
      </w:r>
      <w:r w:rsidR="00B04708">
        <w:t xml:space="preserve"> </w:t>
      </w:r>
      <w:r w:rsidRPr="00C33F08">
        <w:t>To address the declining P/E ratio, Apple could improve market confidence through transparent communication of its strategic initiatives</w:t>
      </w:r>
      <w:r w:rsidR="00B04708">
        <w:t xml:space="preserve"> and </w:t>
      </w:r>
      <w:r w:rsidRPr="00C33F08">
        <w:t>growth prospects</w:t>
      </w:r>
      <w:r w:rsidR="00B04708">
        <w:t xml:space="preserve">. </w:t>
      </w:r>
      <w:r w:rsidRPr="00C33F08">
        <w:t>Maintaining a stable dividend yield will continue to reassure shareholders of Apple's commitment to returning value, providing a balance between reinvestment for growth and shareholder returns.</w:t>
      </w:r>
    </w:p>
    <w:p w14:paraId="2B8E742A" w14:textId="62FE30ED" w:rsidR="00C33F08" w:rsidRPr="00C33F08" w:rsidRDefault="00C33F08" w:rsidP="004B5C20">
      <w:pPr>
        <w:jc w:val="both"/>
      </w:pPr>
      <w:r w:rsidRPr="00C33F08">
        <w:lastRenderedPageBreak/>
        <w:t>Addressing market concerns about growth sustainability can further strengthen its market valuation.</w:t>
      </w:r>
    </w:p>
    <w:p w14:paraId="4A9A31E2" w14:textId="130B2702" w:rsidR="00C33F08" w:rsidRPr="00C33F08" w:rsidRDefault="00C33F08" w:rsidP="004B5C20">
      <w:pPr>
        <w:ind w:left="360"/>
        <w:jc w:val="both"/>
      </w:pPr>
    </w:p>
    <w:p w14:paraId="26A4F9C2" w14:textId="18748ACC" w:rsidR="00EA1250" w:rsidRDefault="00D40EB2" w:rsidP="004B5C20">
      <w:pPr>
        <w:jc w:val="both"/>
        <w:rPr>
          <w:b/>
          <w:bCs/>
        </w:rPr>
      </w:pPr>
      <w:r w:rsidRPr="00EA1250">
        <w:rPr>
          <w:b/>
          <w:bCs/>
        </w:rPr>
        <w:t>GROWTH RATES</w:t>
      </w:r>
      <w:r w:rsidR="004A0B4E">
        <w:rPr>
          <w:b/>
          <w:bCs/>
        </w:rPr>
        <w:t>- APPLE INC.</w:t>
      </w:r>
    </w:p>
    <w:p w14:paraId="34CCAFB3" w14:textId="14734EDC" w:rsidR="00D404E2" w:rsidRPr="00EA1250" w:rsidRDefault="00D40EB2" w:rsidP="004B5C20">
      <w:pPr>
        <w:jc w:val="both"/>
        <w:rPr>
          <w:b/>
          <w:bCs/>
        </w:rPr>
      </w:pPr>
      <w:r w:rsidRPr="00EA1250">
        <w:rPr>
          <w:b/>
          <w:bCs/>
        </w:rPr>
        <w:t xml:space="preserve"> INCOME STATEMENT</w:t>
      </w:r>
    </w:p>
    <w:tbl>
      <w:tblPr>
        <w:tblStyle w:val="TableGrid"/>
        <w:tblW w:w="0" w:type="auto"/>
        <w:tblLook w:val="04A0" w:firstRow="1" w:lastRow="0" w:firstColumn="1" w:lastColumn="0" w:noHBand="0" w:noVBand="1"/>
      </w:tblPr>
      <w:tblGrid>
        <w:gridCol w:w="3005"/>
        <w:gridCol w:w="3005"/>
        <w:gridCol w:w="3006"/>
      </w:tblGrid>
      <w:tr w:rsidR="00D40EB2" w14:paraId="13C3D2E7" w14:textId="77777777" w:rsidTr="00D40EB2">
        <w:tc>
          <w:tcPr>
            <w:tcW w:w="3005" w:type="dxa"/>
          </w:tcPr>
          <w:p w14:paraId="4F1DD23A" w14:textId="498F6D0E" w:rsidR="00D40EB2" w:rsidRPr="00EA1250" w:rsidRDefault="00D40EB2" w:rsidP="004B5C20">
            <w:pPr>
              <w:jc w:val="both"/>
              <w:rPr>
                <w:b/>
                <w:bCs/>
              </w:rPr>
            </w:pPr>
            <w:r w:rsidRPr="00EA1250">
              <w:rPr>
                <w:b/>
                <w:bCs/>
              </w:rPr>
              <w:t>ITEM</w:t>
            </w:r>
          </w:p>
        </w:tc>
        <w:tc>
          <w:tcPr>
            <w:tcW w:w="3005" w:type="dxa"/>
          </w:tcPr>
          <w:p w14:paraId="4616DD14" w14:textId="48334BF1" w:rsidR="00D40EB2" w:rsidRPr="00EA1250" w:rsidRDefault="001331F7" w:rsidP="004B5C20">
            <w:pPr>
              <w:tabs>
                <w:tab w:val="center" w:pos="1394"/>
              </w:tabs>
              <w:jc w:val="both"/>
              <w:rPr>
                <w:b/>
                <w:bCs/>
              </w:rPr>
            </w:pPr>
            <w:r>
              <w:rPr>
                <w:b/>
                <w:bCs/>
              </w:rPr>
              <w:t xml:space="preserve">2021 to </w:t>
            </w:r>
            <w:r w:rsidR="00D40EB2" w:rsidRPr="00EA1250">
              <w:rPr>
                <w:b/>
                <w:bCs/>
              </w:rPr>
              <w:t xml:space="preserve">2022  </w:t>
            </w:r>
          </w:p>
        </w:tc>
        <w:tc>
          <w:tcPr>
            <w:tcW w:w="3006" w:type="dxa"/>
          </w:tcPr>
          <w:p w14:paraId="762C1238" w14:textId="56927ECB" w:rsidR="00D40EB2" w:rsidRPr="00EA1250" w:rsidRDefault="00D40EB2" w:rsidP="004B5C20">
            <w:pPr>
              <w:jc w:val="both"/>
              <w:rPr>
                <w:b/>
                <w:bCs/>
              </w:rPr>
            </w:pPr>
            <w:r w:rsidRPr="00EA1250">
              <w:rPr>
                <w:b/>
                <w:bCs/>
              </w:rPr>
              <w:t>202</w:t>
            </w:r>
            <w:r w:rsidR="001331F7">
              <w:rPr>
                <w:b/>
                <w:bCs/>
              </w:rPr>
              <w:t>0 to 2021</w:t>
            </w:r>
          </w:p>
        </w:tc>
      </w:tr>
      <w:tr w:rsidR="00D40EB2" w14:paraId="4886943E" w14:textId="77777777" w:rsidTr="00D40EB2">
        <w:tc>
          <w:tcPr>
            <w:tcW w:w="3005" w:type="dxa"/>
          </w:tcPr>
          <w:p w14:paraId="5A7E9267" w14:textId="11FE87B3" w:rsidR="00D40EB2" w:rsidRDefault="00454B75" w:rsidP="004B5C20">
            <w:pPr>
              <w:jc w:val="both"/>
            </w:pPr>
            <w:r>
              <w:t>Sales (Products)</w:t>
            </w:r>
          </w:p>
        </w:tc>
        <w:tc>
          <w:tcPr>
            <w:tcW w:w="3005" w:type="dxa"/>
          </w:tcPr>
          <w:p w14:paraId="44C352E2" w14:textId="05431C3C" w:rsidR="00D40EB2" w:rsidRDefault="00995098" w:rsidP="004B5C20">
            <w:pPr>
              <w:jc w:val="both"/>
            </w:pPr>
            <w:r>
              <w:t>0.06</w:t>
            </w:r>
          </w:p>
        </w:tc>
        <w:tc>
          <w:tcPr>
            <w:tcW w:w="3006" w:type="dxa"/>
          </w:tcPr>
          <w:p w14:paraId="144F7D4C" w14:textId="64D8A845" w:rsidR="00D40EB2" w:rsidRDefault="00995098" w:rsidP="004B5C20">
            <w:pPr>
              <w:jc w:val="both"/>
            </w:pPr>
            <w:r>
              <w:t>0.35</w:t>
            </w:r>
          </w:p>
        </w:tc>
      </w:tr>
      <w:tr w:rsidR="00D40EB2" w14:paraId="0873C8BD" w14:textId="77777777" w:rsidTr="00D40EB2">
        <w:tc>
          <w:tcPr>
            <w:tcW w:w="3005" w:type="dxa"/>
          </w:tcPr>
          <w:p w14:paraId="6DF1DADF" w14:textId="0CC9ABC7" w:rsidR="00D40EB2" w:rsidRDefault="00454B75" w:rsidP="004B5C20">
            <w:pPr>
              <w:jc w:val="both"/>
            </w:pPr>
            <w:r>
              <w:t>Sales (Services</w:t>
            </w:r>
            <w:r w:rsidR="00D40EB2">
              <w:t>)</w:t>
            </w:r>
          </w:p>
        </w:tc>
        <w:tc>
          <w:tcPr>
            <w:tcW w:w="3005" w:type="dxa"/>
          </w:tcPr>
          <w:p w14:paraId="7266A0BC" w14:textId="5FD397D6" w:rsidR="00D40EB2" w:rsidRDefault="00995098" w:rsidP="004B5C20">
            <w:pPr>
              <w:jc w:val="both"/>
            </w:pPr>
            <w:r>
              <w:t>0.14</w:t>
            </w:r>
          </w:p>
        </w:tc>
        <w:tc>
          <w:tcPr>
            <w:tcW w:w="3006" w:type="dxa"/>
          </w:tcPr>
          <w:p w14:paraId="663132B9" w14:textId="453C5195" w:rsidR="00D40EB2" w:rsidRDefault="00995098" w:rsidP="004B5C20">
            <w:pPr>
              <w:jc w:val="both"/>
            </w:pPr>
            <w:r>
              <w:t>0.27</w:t>
            </w:r>
          </w:p>
        </w:tc>
      </w:tr>
      <w:tr w:rsidR="00454B75" w14:paraId="1F12F7C3" w14:textId="77777777" w:rsidTr="00D40EB2">
        <w:tc>
          <w:tcPr>
            <w:tcW w:w="3005" w:type="dxa"/>
          </w:tcPr>
          <w:p w14:paraId="5F169275" w14:textId="41189295" w:rsidR="00454B75" w:rsidRDefault="00454B75" w:rsidP="004B5C20">
            <w:pPr>
              <w:jc w:val="both"/>
            </w:pPr>
            <w:r>
              <w:t>Cost of sales (Products)</w:t>
            </w:r>
          </w:p>
        </w:tc>
        <w:tc>
          <w:tcPr>
            <w:tcW w:w="3005" w:type="dxa"/>
          </w:tcPr>
          <w:p w14:paraId="7FFD8C1C" w14:textId="0CFF5AF7" w:rsidR="00454B75" w:rsidRDefault="00454B75" w:rsidP="004B5C20">
            <w:pPr>
              <w:jc w:val="both"/>
            </w:pPr>
            <w:r>
              <w:t>0.05</w:t>
            </w:r>
          </w:p>
        </w:tc>
        <w:tc>
          <w:tcPr>
            <w:tcW w:w="3006" w:type="dxa"/>
          </w:tcPr>
          <w:p w14:paraId="3CF506CF" w14:textId="75E48C5C" w:rsidR="00454B75" w:rsidRDefault="00454B75" w:rsidP="004B5C20">
            <w:pPr>
              <w:jc w:val="both"/>
            </w:pPr>
            <w:r>
              <w:t>0.27</w:t>
            </w:r>
          </w:p>
        </w:tc>
      </w:tr>
      <w:tr w:rsidR="00454B75" w14:paraId="2599CC35" w14:textId="77777777" w:rsidTr="00D40EB2">
        <w:tc>
          <w:tcPr>
            <w:tcW w:w="3005" w:type="dxa"/>
          </w:tcPr>
          <w:p w14:paraId="663D5BD1" w14:textId="7816DD49" w:rsidR="00454B75" w:rsidRDefault="00454B75" w:rsidP="004B5C20">
            <w:pPr>
              <w:jc w:val="both"/>
            </w:pPr>
            <w:r>
              <w:t>Cost of sales (Services)</w:t>
            </w:r>
          </w:p>
        </w:tc>
        <w:tc>
          <w:tcPr>
            <w:tcW w:w="3005" w:type="dxa"/>
          </w:tcPr>
          <w:p w14:paraId="5AF86027" w14:textId="73845830" w:rsidR="00454B75" w:rsidRDefault="00454B75" w:rsidP="004B5C20">
            <w:pPr>
              <w:jc w:val="both"/>
            </w:pPr>
            <w:r>
              <w:t>0.07</w:t>
            </w:r>
          </w:p>
        </w:tc>
        <w:tc>
          <w:tcPr>
            <w:tcW w:w="3006" w:type="dxa"/>
          </w:tcPr>
          <w:p w14:paraId="058DA258" w14:textId="3738138A" w:rsidR="00454B75" w:rsidRDefault="00454B75" w:rsidP="004B5C20">
            <w:pPr>
              <w:jc w:val="both"/>
            </w:pPr>
            <w:r>
              <w:t>0.13</w:t>
            </w:r>
          </w:p>
        </w:tc>
      </w:tr>
      <w:tr w:rsidR="00454B75" w14:paraId="6964B70E" w14:textId="77777777" w:rsidTr="00D40EB2">
        <w:tc>
          <w:tcPr>
            <w:tcW w:w="3005" w:type="dxa"/>
          </w:tcPr>
          <w:p w14:paraId="5CE8B2DB" w14:textId="3F91A3B6" w:rsidR="00454B75" w:rsidRDefault="00454B75" w:rsidP="004B5C20">
            <w:pPr>
              <w:jc w:val="both"/>
            </w:pPr>
            <w:r>
              <w:t>Gross profits</w:t>
            </w:r>
          </w:p>
        </w:tc>
        <w:tc>
          <w:tcPr>
            <w:tcW w:w="3005" w:type="dxa"/>
          </w:tcPr>
          <w:p w14:paraId="66225E3D" w14:textId="344A61CB" w:rsidR="00454B75" w:rsidRDefault="00454B75" w:rsidP="004B5C20">
            <w:pPr>
              <w:jc w:val="both"/>
            </w:pPr>
            <w:r>
              <w:t>0.12</w:t>
            </w:r>
          </w:p>
        </w:tc>
        <w:tc>
          <w:tcPr>
            <w:tcW w:w="3006" w:type="dxa"/>
          </w:tcPr>
          <w:p w14:paraId="4F862C77" w14:textId="4978A854" w:rsidR="00454B75" w:rsidRDefault="00454B75" w:rsidP="004B5C20">
            <w:pPr>
              <w:jc w:val="both"/>
            </w:pPr>
            <w:r>
              <w:t>0.46</w:t>
            </w:r>
          </w:p>
        </w:tc>
      </w:tr>
      <w:tr w:rsidR="00454B75" w14:paraId="6C1ED16E" w14:textId="77777777" w:rsidTr="00D40EB2">
        <w:tc>
          <w:tcPr>
            <w:tcW w:w="3005" w:type="dxa"/>
          </w:tcPr>
          <w:p w14:paraId="57CF8E85" w14:textId="77DB5DE2" w:rsidR="00454B75" w:rsidRDefault="00454B75" w:rsidP="004B5C20">
            <w:pPr>
              <w:jc w:val="both"/>
            </w:pPr>
            <w:r>
              <w:t>Research and development</w:t>
            </w:r>
          </w:p>
        </w:tc>
        <w:tc>
          <w:tcPr>
            <w:tcW w:w="3005" w:type="dxa"/>
          </w:tcPr>
          <w:p w14:paraId="509B5683" w14:textId="528580C9" w:rsidR="00454B75" w:rsidRDefault="00454B75" w:rsidP="004B5C20">
            <w:pPr>
              <w:jc w:val="both"/>
            </w:pPr>
            <w:r>
              <w:t>0.20</w:t>
            </w:r>
          </w:p>
        </w:tc>
        <w:tc>
          <w:tcPr>
            <w:tcW w:w="3006" w:type="dxa"/>
          </w:tcPr>
          <w:p w14:paraId="7252C364" w14:textId="437E33EA" w:rsidR="00454B75" w:rsidRDefault="00454B75" w:rsidP="004B5C20">
            <w:pPr>
              <w:jc w:val="both"/>
            </w:pPr>
            <w:r>
              <w:t>0.17</w:t>
            </w:r>
          </w:p>
        </w:tc>
      </w:tr>
      <w:tr w:rsidR="00454B75" w14:paraId="7998C45C" w14:textId="77777777" w:rsidTr="00D40EB2">
        <w:tc>
          <w:tcPr>
            <w:tcW w:w="3005" w:type="dxa"/>
          </w:tcPr>
          <w:p w14:paraId="75555DC5" w14:textId="79381852" w:rsidR="00454B75" w:rsidRDefault="00454B75" w:rsidP="004B5C20">
            <w:pPr>
              <w:jc w:val="both"/>
            </w:pPr>
            <w:r>
              <w:t>Selling, general and administrative</w:t>
            </w:r>
          </w:p>
        </w:tc>
        <w:tc>
          <w:tcPr>
            <w:tcW w:w="3005" w:type="dxa"/>
          </w:tcPr>
          <w:p w14:paraId="66FB55A9" w14:textId="5557ECB1" w:rsidR="00454B75" w:rsidRDefault="00454B75" w:rsidP="004B5C20">
            <w:pPr>
              <w:jc w:val="both"/>
            </w:pPr>
            <w:r>
              <w:t>0.14</w:t>
            </w:r>
          </w:p>
        </w:tc>
        <w:tc>
          <w:tcPr>
            <w:tcW w:w="3006" w:type="dxa"/>
          </w:tcPr>
          <w:p w14:paraId="5312216A" w14:textId="66B0E50F" w:rsidR="00454B75" w:rsidRDefault="00454B75" w:rsidP="004B5C20">
            <w:pPr>
              <w:jc w:val="both"/>
            </w:pPr>
            <w:r>
              <w:t>0.10</w:t>
            </w:r>
          </w:p>
        </w:tc>
      </w:tr>
      <w:tr w:rsidR="00454B75" w14:paraId="44DB645D" w14:textId="77777777" w:rsidTr="00D40EB2">
        <w:tc>
          <w:tcPr>
            <w:tcW w:w="3005" w:type="dxa"/>
          </w:tcPr>
          <w:p w14:paraId="74B1E9FD" w14:textId="4293EA72" w:rsidR="00454B75" w:rsidRDefault="00454B75" w:rsidP="004B5C20">
            <w:pPr>
              <w:jc w:val="both"/>
            </w:pPr>
            <w:r>
              <w:t>Total operating expenses</w:t>
            </w:r>
          </w:p>
        </w:tc>
        <w:tc>
          <w:tcPr>
            <w:tcW w:w="3005" w:type="dxa"/>
          </w:tcPr>
          <w:p w14:paraId="686A96C1" w14:textId="4746C997" w:rsidR="00454B75" w:rsidRDefault="00454B75" w:rsidP="004B5C20">
            <w:pPr>
              <w:jc w:val="both"/>
            </w:pPr>
            <w:r>
              <w:t>0.17</w:t>
            </w:r>
          </w:p>
        </w:tc>
        <w:tc>
          <w:tcPr>
            <w:tcW w:w="3006" w:type="dxa"/>
          </w:tcPr>
          <w:p w14:paraId="5C265017" w14:textId="6CA2527A" w:rsidR="00454B75" w:rsidRDefault="00454B75" w:rsidP="004B5C20">
            <w:pPr>
              <w:jc w:val="both"/>
            </w:pPr>
            <w:r>
              <w:t>0.13</w:t>
            </w:r>
          </w:p>
        </w:tc>
      </w:tr>
      <w:tr w:rsidR="00454B75" w14:paraId="3B3E64BD" w14:textId="77777777" w:rsidTr="00D40EB2">
        <w:tc>
          <w:tcPr>
            <w:tcW w:w="3005" w:type="dxa"/>
          </w:tcPr>
          <w:p w14:paraId="2FA60DBE" w14:textId="53799158" w:rsidR="00454B75" w:rsidRDefault="00454B75" w:rsidP="004B5C20">
            <w:pPr>
              <w:jc w:val="both"/>
            </w:pPr>
            <w:r>
              <w:t>Operating income</w:t>
            </w:r>
          </w:p>
        </w:tc>
        <w:tc>
          <w:tcPr>
            <w:tcW w:w="3005" w:type="dxa"/>
          </w:tcPr>
          <w:p w14:paraId="1069F038" w14:textId="02D90C9C" w:rsidR="00454B75" w:rsidRDefault="00454B75" w:rsidP="004B5C20">
            <w:pPr>
              <w:jc w:val="both"/>
            </w:pPr>
            <w:r>
              <w:t>0.10</w:t>
            </w:r>
          </w:p>
        </w:tc>
        <w:tc>
          <w:tcPr>
            <w:tcW w:w="3006" w:type="dxa"/>
          </w:tcPr>
          <w:p w14:paraId="4B313EAE" w14:textId="17F30BC7" w:rsidR="00454B75" w:rsidRDefault="00454B75" w:rsidP="004B5C20">
            <w:pPr>
              <w:jc w:val="both"/>
            </w:pPr>
            <w:r>
              <w:t>0.64</w:t>
            </w:r>
          </w:p>
        </w:tc>
      </w:tr>
      <w:tr w:rsidR="00454B75" w14:paraId="673A36EE" w14:textId="77777777" w:rsidTr="00D40EB2">
        <w:tc>
          <w:tcPr>
            <w:tcW w:w="3005" w:type="dxa"/>
          </w:tcPr>
          <w:p w14:paraId="5DCE1FA2" w14:textId="059ABDF4" w:rsidR="00454B75" w:rsidRDefault="00454B75" w:rsidP="004B5C20">
            <w:pPr>
              <w:jc w:val="both"/>
            </w:pPr>
            <w:r>
              <w:t>Other income</w:t>
            </w:r>
          </w:p>
        </w:tc>
        <w:tc>
          <w:tcPr>
            <w:tcW w:w="3005" w:type="dxa"/>
          </w:tcPr>
          <w:p w14:paraId="6FC00A8A" w14:textId="77777777" w:rsidR="00454B75" w:rsidRDefault="00454B75" w:rsidP="004B5C20">
            <w:pPr>
              <w:jc w:val="both"/>
            </w:pPr>
            <w:r>
              <w:t>-2.29</w:t>
            </w:r>
          </w:p>
          <w:p w14:paraId="47A0723B" w14:textId="4AF80AB9" w:rsidR="00454B75" w:rsidRDefault="00454B75" w:rsidP="004B5C20">
            <w:pPr>
              <w:jc w:val="both"/>
            </w:pPr>
          </w:p>
        </w:tc>
        <w:tc>
          <w:tcPr>
            <w:tcW w:w="3006" w:type="dxa"/>
          </w:tcPr>
          <w:p w14:paraId="714B0CE2" w14:textId="26BCE86A" w:rsidR="00454B75" w:rsidRDefault="00454B75" w:rsidP="004B5C20">
            <w:pPr>
              <w:jc w:val="both"/>
            </w:pPr>
            <w:r>
              <w:t>-0.68</w:t>
            </w:r>
          </w:p>
        </w:tc>
      </w:tr>
      <w:tr w:rsidR="00454B75" w14:paraId="1953F75C" w14:textId="77777777" w:rsidTr="00D40EB2">
        <w:tc>
          <w:tcPr>
            <w:tcW w:w="3005" w:type="dxa"/>
          </w:tcPr>
          <w:p w14:paraId="5F6E388D" w14:textId="64D55F9E" w:rsidR="00454B75" w:rsidRDefault="00454B75" w:rsidP="004B5C20">
            <w:pPr>
              <w:jc w:val="both"/>
            </w:pPr>
            <w:r>
              <w:t>Income before provision for income taxes</w:t>
            </w:r>
          </w:p>
        </w:tc>
        <w:tc>
          <w:tcPr>
            <w:tcW w:w="3005" w:type="dxa"/>
          </w:tcPr>
          <w:p w14:paraId="227C4FB1" w14:textId="08E60507" w:rsidR="00454B75" w:rsidRDefault="00454B75" w:rsidP="004B5C20">
            <w:pPr>
              <w:jc w:val="both"/>
            </w:pPr>
            <w:r>
              <w:t>0.09</w:t>
            </w:r>
          </w:p>
        </w:tc>
        <w:tc>
          <w:tcPr>
            <w:tcW w:w="3006" w:type="dxa"/>
          </w:tcPr>
          <w:p w14:paraId="160A044F" w14:textId="76BD3979" w:rsidR="00454B75" w:rsidRDefault="00454B75" w:rsidP="004B5C20">
            <w:pPr>
              <w:jc w:val="both"/>
            </w:pPr>
            <w:r>
              <w:t>0.63</w:t>
            </w:r>
          </w:p>
        </w:tc>
      </w:tr>
      <w:tr w:rsidR="00454B75" w14:paraId="2CB382D3" w14:textId="77777777" w:rsidTr="00D40EB2">
        <w:tc>
          <w:tcPr>
            <w:tcW w:w="3005" w:type="dxa"/>
          </w:tcPr>
          <w:p w14:paraId="7676D51F" w14:textId="135335CD" w:rsidR="00454B75" w:rsidRDefault="00454B75" w:rsidP="004B5C20">
            <w:pPr>
              <w:jc w:val="both"/>
            </w:pPr>
            <w:r>
              <w:t>Provision for income taxes</w:t>
            </w:r>
          </w:p>
        </w:tc>
        <w:tc>
          <w:tcPr>
            <w:tcW w:w="3005" w:type="dxa"/>
          </w:tcPr>
          <w:p w14:paraId="47DAEE0A" w14:textId="06C7B49E" w:rsidR="00454B75" w:rsidRDefault="00454B75" w:rsidP="004B5C20">
            <w:pPr>
              <w:jc w:val="both"/>
            </w:pPr>
            <w:r>
              <w:t>0.33</w:t>
            </w:r>
          </w:p>
        </w:tc>
        <w:tc>
          <w:tcPr>
            <w:tcW w:w="3006" w:type="dxa"/>
          </w:tcPr>
          <w:p w14:paraId="34EABF23" w14:textId="4769C8C0" w:rsidR="00454B75" w:rsidRDefault="00454B75" w:rsidP="004B5C20">
            <w:pPr>
              <w:jc w:val="both"/>
            </w:pPr>
            <w:r>
              <w:t>0.50</w:t>
            </w:r>
          </w:p>
        </w:tc>
      </w:tr>
      <w:tr w:rsidR="00454B75" w14:paraId="6AFC5655" w14:textId="77777777" w:rsidTr="00D40EB2">
        <w:tc>
          <w:tcPr>
            <w:tcW w:w="3005" w:type="dxa"/>
          </w:tcPr>
          <w:p w14:paraId="6149AA29" w14:textId="29C9811C" w:rsidR="00454B75" w:rsidRDefault="00454B75" w:rsidP="004B5C20">
            <w:pPr>
              <w:jc w:val="both"/>
            </w:pPr>
            <w:r>
              <w:t>Net income</w:t>
            </w:r>
          </w:p>
        </w:tc>
        <w:tc>
          <w:tcPr>
            <w:tcW w:w="3005" w:type="dxa"/>
          </w:tcPr>
          <w:p w14:paraId="6211CD2B" w14:textId="6D46F1E6" w:rsidR="00454B75" w:rsidRDefault="00454B75" w:rsidP="004B5C20">
            <w:pPr>
              <w:jc w:val="both"/>
            </w:pPr>
            <w:r>
              <w:t>0.05</w:t>
            </w:r>
          </w:p>
        </w:tc>
        <w:tc>
          <w:tcPr>
            <w:tcW w:w="3006" w:type="dxa"/>
          </w:tcPr>
          <w:p w14:paraId="5FF8E880" w14:textId="1F4777D1" w:rsidR="00454B75" w:rsidRDefault="00454B75" w:rsidP="004B5C20">
            <w:pPr>
              <w:jc w:val="both"/>
            </w:pPr>
            <w:r>
              <w:t>0.65</w:t>
            </w:r>
          </w:p>
        </w:tc>
      </w:tr>
      <w:tr w:rsidR="00454B75" w14:paraId="0B6377A7" w14:textId="77777777" w:rsidTr="00D40EB2">
        <w:tc>
          <w:tcPr>
            <w:tcW w:w="3005" w:type="dxa"/>
          </w:tcPr>
          <w:p w14:paraId="34EEF181" w14:textId="77777777" w:rsidR="00454B75" w:rsidRDefault="00454B75" w:rsidP="004B5C20">
            <w:pPr>
              <w:jc w:val="both"/>
            </w:pPr>
          </w:p>
        </w:tc>
        <w:tc>
          <w:tcPr>
            <w:tcW w:w="3005" w:type="dxa"/>
          </w:tcPr>
          <w:p w14:paraId="4DB3ADB1" w14:textId="77777777" w:rsidR="00454B75" w:rsidRDefault="00454B75" w:rsidP="004B5C20">
            <w:pPr>
              <w:jc w:val="both"/>
            </w:pPr>
          </w:p>
        </w:tc>
        <w:tc>
          <w:tcPr>
            <w:tcW w:w="3006" w:type="dxa"/>
          </w:tcPr>
          <w:p w14:paraId="011B3240" w14:textId="77777777" w:rsidR="00454B75" w:rsidRDefault="00454B75" w:rsidP="004B5C20">
            <w:pPr>
              <w:jc w:val="both"/>
            </w:pPr>
          </w:p>
        </w:tc>
      </w:tr>
      <w:tr w:rsidR="00454B75" w14:paraId="7631723E" w14:textId="77777777" w:rsidTr="00D40EB2">
        <w:tc>
          <w:tcPr>
            <w:tcW w:w="3005" w:type="dxa"/>
          </w:tcPr>
          <w:p w14:paraId="521E5DDB" w14:textId="77777777" w:rsidR="00454B75" w:rsidRDefault="00454B75" w:rsidP="004B5C20">
            <w:pPr>
              <w:jc w:val="both"/>
            </w:pPr>
          </w:p>
        </w:tc>
        <w:tc>
          <w:tcPr>
            <w:tcW w:w="3005" w:type="dxa"/>
          </w:tcPr>
          <w:p w14:paraId="7203882D" w14:textId="77777777" w:rsidR="00454B75" w:rsidRDefault="00454B75" w:rsidP="004B5C20">
            <w:pPr>
              <w:jc w:val="both"/>
            </w:pPr>
          </w:p>
        </w:tc>
        <w:tc>
          <w:tcPr>
            <w:tcW w:w="3006" w:type="dxa"/>
          </w:tcPr>
          <w:p w14:paraId="0C8C1C97" w14:textId="77777777" w:rsidR="00454B75" w:rsidRDefault="00454B75" w:rsidP="004B5C20">
            <w:pPr>
              <w:jc w:val="both"/>
            </w:pPr>
          </w:p>
        </w:tc>
      </w:tr>
      <w:tr w:rsidR="00454B75" w14:paraId="56F73888" w14:textId="77777777" w:rsidTr="00D40EB2">
        <w:tc>
          <w:tcPr>
            <w:tcW w:w="3005" w:type="dxa"/>
          </w:tcPr>
          <w:p w14:paraId="6BA12970" w14:textId="77777777" w:rsidR="00454B75" w:rsidRDefault="00454B75" w:rsidP="004B5C20">
            <w:pPr>
              <w:jc w:val="both"/>
            </w:pPr>
          </w:p>
        </w:tc>
        <w:tc>
          <w:tcPr>
            <w:tcW w:w="3005" w:type="dxa"/>
          </w:tcPr>
          <w:p w14:paraId="20BF9ADC" w14:textId="77777777" w:rsidR="00454B75" w:rsidRDefault="00454B75" w:rsidP="004B5C20">
            <w:pPr>
              <w:jc w:val="both"/>
            </w:pPr>
          </w:p>
        </w:tc>
        <w:tc>
          <w:tcPr>
            <w:tcW w:w="3006" w:type="dxa"/>
          </w:tcPr>
          <w:p w14:paraId="71A4B66C" w14:textId="77777777" w:rsidR="00454B75" w:rsidRDefault="00454B75" w:rsidP="004B5C20">
            <w:pPr>
              <w:jc w:val="both"/>
            </w:pPr>
          </w:p>
        </w:tc>
      </w:tr>
      <w:tr w:rsidR="00454B75" w14:paraId="0C60C4B2" w14:textId="77777777" w:rsidTr="00D40EB2">
        <w:tc>
          <w:tcPr>
            <w:tcW w:w="3005" w:type="dxa"/>
          </w:tcPr>
          <w:p w14:paraId="10F10FB6" w14:textId="77777777" w:rsidR="00454B75" w:rsidRDefault="00454B75" w:rsidP="004B5C20">
            <w:pPr>
              <w:jc w:val="both"/>
            </w:pPr>
          </w:p>
        </w:tc>
        <w:tc>
          <w:tcPr>
            <w:tcW w:w="3005" w:type="dxa"/>
          </w:tcPr>
          <w:p w14:paraId="0AF4773C" w14:textId="77777777" w:rsidR="00454B75" w:rsidRDefault="00454B75" w:rsidP="004B5C20">
            <w:pPr>
              <w:jc w:val="both"/>
            </w:pPr>
          </w:p>
        </w:tc>
        <w:tc>
          <w:tcPr>
            <w:tcW w:w="3006" w:type="dxa"/>
          </w:tcPr>
          <w:p w14:paraId="5F8F0286" w14:textId="77777777" w:rsidR="00454B75" w:rsidRDefault="00454B75" w:rsidP="004B5C20">
            <w:pPr>
              <w:jc w:val="both"/>
            </w:pPr>
          </w:p>
        </w:tc>
      </w:tr>
    </w:tbl>
    <w:p w14:paraId="4155A58B" w14:textId="7B0348A1" w:rsidR="00D40EB2" w:rsidRDefault="00D40EB2" w:rsidP="004B5C20">
      <w:pPr>
        <w:jc w:val="both"/>
      </w:pPr>
    </w:p>
    <w:p w14:paraId="35C99531" w14:textId="0485F583" w:rsidR="001E7492" w:rsidRPr="00454B75" w:rsidRDefault="001E7492" w:rsidP="004B5C20">
      <w:pPr>
        <w:jc w:val="both"/>
        <w:rPr>
          <w:b/>
          <w:bCs/>
        </w:rPr>
      </w:pPr>
      <w:r w:rsidRPr="00454B75">
        <w:rPr>
          <w:b/>
          <w:bCs/>
        </w:rPr>
        <w:t>ANALYSIS OF GROWTH RATES</w:t>
      </w:r>
    </w:p>
    <w:p w14:paraId="3BEB8F03" w14:textId="0DBDDA93" w:rsidR="001E7492" w:rsidRDefault="001E7492" w:rsidP="004B5C20">
      <w:pPr>
        <w:jc w:val="both"/>
      </w:pPr>
      <w:r w:rsidRPr="001E7492">
        <w:t xml:space="preserve">There was a significant </w:t>
      </w:r>
      <w:r w:rsidR="001331F7">
        <w:t>increase</w:t>
      </w:r>
      <w:r w:rsidRPr="001E7492">
        <w:t xml:space="preserve"> in the growth rate of product sales from 35% </w:t>
      </w:r>
      <w:r w:rsidR="00B04708">
        <w:t>within</w:t>
      </w:r>
      <w:r w:rsidR="001331F7">
        <w:t xml:space="preserve"> </w:t>
      </w:r>
      <w:r w:rsidR="001331F7" w:rsidRPr="001E7492">
        <w:t>202</w:t>
      </w:r>
      <w:r w:rsidR="00454B75">
        <w:t xml:space="preserve">0 to 2021 </w:t>
      </w:r>
      <w:r w:rsidR="001331F7">
        <w:t xml:space="preserve">as compared to a marginal increase of </w:t>
      </w:r>
      <w:r w:rsidR="001331F7" w:rsidRPr="001E7492">
        <w:t>6</w:t>
      </w:r>
      <w:r w:rsidRPr="001E7492">
        <w:t xml:space="preserve">% </w:t>
      </w:r>
      <w:r w:rsidR="001331F7">
        <w:t xml:space="preserve">from </w:t>
      </w:r>
      <w:r w:rsidRPr="001E7492">
        <w:t>202</w:t>
      </w:r>
      <w:r w:rsidR="00454B75">
        <w:t>1</w:t>
      </w:r>
      <w:r w:rsidR="001331F7">
        <w:t xml:space="preserve"> to 202</w:t>
      </w:r>
      <w:r w:rsidR="00454B75">
        <w:t>2</w:t>
      </w:r>
      <w:r w:rsidRPr="001E7492">
        <w:t xml:space="preserve">. This could be due to </w:t>
      </w:r>
      <w:r w:rsidR="001331F7">
        <w:t>increased</w:t>
      </w:r>
      <w:r w:rsidR="00243DEC">
        <w:t xml:space="preserve"> consumer demand for Apple’s products.</w:t>
      </w:r>
      <w:r w:rsidRPr="001E7492">
        <w:rPr>
          <w:rFonts w:ascii="Times New Roman" w:eastAsia="Times New Roman" w:hAnsi="Times New Roman" w:cs="Times New Roman"/>
          <w:kern w:val="0"/>
          <w:lang w:eastAsia="en-GB"/>
          <w14:ligatures w14:val="none"/>
        </w:rPr>
        <w:t xml:space="preserve"> </w:t>
      </w:r>
      <w:r w:rsidRPr="001E7492">
        <w:t>Similarly, the growth rate for sales</w:t>
      </w:r>
      <w:r w:rsidR="00B04708">
        <w:t xml:space="preserve"> in services</w:t>
      </w:r>
      <w:r w:rsidRPr="001E7492">
        <w:t xml:space="preserve"> </w:t>
      </w:r>
      <w:r w:rsidR="001331F7" w:rsidRPr="001E7492">
        <w:t xml:space="preserve">also </w:t>
      </w:r>
      <w:r w:rsidR="001331F7">
        <w:t>saw a marginal increas</w:t>
      </w:r>
      <w:r w:rsidR="00D91B94">
        <w:t xml:space="preserve">e within the </w:t>
      </w:r>
      <w:r w:rsidR="00B04708">
        <w:t>three-year</w:t>
      </w:r>
      <w:r w:rsidR="00D91B94">
        <w:t xml:space="preserve"> period.</w:t>
      </w:r>
    </w:p>
    <w:p w14:paraId="2DA07B94" w14:textId="69786877" w:rsidR="00454B75" w:rsidRPr="001E7492" w:rsidRDefault="00454B75" w:rsidP="004B5C20">
      <w:pPr>
        <w:jc w:val="both"/>
      </w:pPr>
      <w:r>
        <w:t>Cost of sales for products also reveals a 27% increase from 2020 to 2021 and this reduced significantly to 5% from 2021 to 2022 indicating efficient management of production costs. Cost of sales for services share a similar pattern which further accentuates the fact that Apple adopted robust production cost strategies.</w:t>
      </w:r>
    </w:p>
    <w:p w14:paraId="208A01AA" w14:textId="35B87026" w:rsidR="00956C2C" w:rsidRDefault="00B04708" w:rsidP="004B5C20">
      <w:pPr>
        <w:jc w:val="both"/>
      </w:pPr>
      <w:r w:rsidRPr="00B04708">
        <w:t xml:space="preserve">Gross profit growth showed a notable increase of 46% from 2020 to 2021, compared to a 12% increase from 2021 to 2022. This was due to a decrease in the cost of goods sold, </w:t>
      </w:r>
      <w:r w:rsidRPr="00B04708">
        <w:lastRenderedPageBreak/>
        <w:t xml:space="preserve">leading to higher profitability margins. </w:t>
      </w:r>
      <w:r w:rsidR="004966BB">
        <w:t>R</w:t>
      </w:r>
      <w:r w:rsidRPr="00B04708">
        <w:t>esearch and development</w:t>
      </w:r>
      <w:r w:rsidR="004966BB">
        <w:t xml:space="preserve"> costs </w:t>
      </w:r>
      <w:r w:rsidRPr="00B04708">
        <w:t>increased from 17% during the years 2020 and 2021 to 20% in the years 2021 to 2022</w:t>
      </w:r>
      <w:r w:rsidR="009357C5">
        <w:t>.</w:t>
      </w:r>
      <w:r w:rsidR="00D91B94">
        <w:t xml:space="preserve">This increase could be </w:t>
      </w:r>
      <w:proofErr w:type="gramStart"/>
      <w:r w:rsidR="00D91B94">
        <w:t xml:space="preserve">as a result </w:t>
      </w:r>
      <w:r w:rsidR="004966BB">
        <w:t>of</w:t>
      </w:r>
      <w:proofErr w:type="gramEnd"/>
      <w:r w:rsidR="004966BB">
        <w:t xml:space="preserve"> </w:t>
      </w:r>
      <w:r w:rsidR="004966BB" w:rsidRPr="001E7492">
        <w:t>Apple’s</w:t>
      </w:r>
      <w:r w:rsidR="001E7492" w:rsidRPr="001E7492">
        <w:t xml:space="preserve"> commitment to innovation and future product development, which could drive long-term growth</w:t>
      </w:r>
      <w:r w:rsidR="00D91B94">
        <w:t>. The selling, general and administrative</w:t>
      </w:r>
      <w:r w:rsidR="001E7492" w:rsidRPr="001E7492">
        <w:t xml:space="preserve"> </w:t>
      </w:r>
      <w:r w:rsidR="00D91B94">
        <w:t xml:space="preserve">expenses also </w:t>
      </w:r>
      <w:r w:rsidR="001E7492" w:rsidRPr="001E7492">
        <w:t xml:space="preserve">increased </w:t>
      </w:r>
      <w:r w:rsidR="00D91B94">
        <w:t>within the three</w:t>
      </w:r>
      <w:r w:rsidR="009357C5">
        <w:t xml:space="preserve"> years</w:t>
      </w:r>
      <w:r w:rsidR="001E7492" w:rsidRPr="001E7492">
        <w:t xml:space="preserve"> </w:t>
      </w:r>
      <w:r w:rsidR="0098089A">
        <w:t>indicating an expansion in Apple’s operational cost structure.</w:t>
      </w:r>
      <w:r w:rsidR="001E7492" w:rsidRPr="001E7492">
        <w:t xml:space="preserve"> Managing these costs will be crucial to maintaining profitability.</w:t>
      </w:r>
      <w:r w:rsidR="001E7492" w:rsidRPr="001E7492">
        <w:t xml:space="preserve"> </w:t>
      </w:r>
      <w:r w:rsidR="001E7492" w:rsidRPr="001E7492">
        <w:t xml:space="preserve">Operating </w:t>
      </w:r>
      <w:r w:rsidR="009357C5" w:rsidRPr="001E7492">
        <w:t xml:space="preserve">income </w:t>
      </w:r>
      <w:r w:rsidR="009357C5">
        <w:t>also</w:t>
      </w:r>
      <w:r w:rsidR="0098089A">
        <w:t xml:space="preserve"> </w:t>
      </w:r>
      <w:r w:rsidR="005270EB">
        <w:t>saw a</w:t>
      </w:r>
      <w:r w:rsidR="0098089A">
        <w:t xml:space="preserve"> significant growth rate from 2020 to 2021 as compared to the marginal increase from 2021 to 2022 </w:t>
      </w:r>
      <w:proofErr w:type="gramStart"/>
      <w:r w:rsidR="0098089A">
        <w:t>as a result of</w:t>
      </w:r>
      <w:proofErr w:type="gramEnd"/>
      <w:r w:rsidR="0098089A">
        <w:t xml:space="preserve"> the</w:t>
      </w:r>
      <w:r w:rsidR="001E7492" w:rsidRPr="001E7492">
        <w:t xml:space="preserve"> </w:t>
      </w:r>
      <w:r w:rsidR="002E592D">
        <w:t xml:space="preserve">higher </w:t>
      </w:r>
      <w:r w:rsidR="002E592D" w:rsidRPr="001E7492">
        <w:t>sales</w:t>
      </w:r>
      <w:r w:rsidR="001E7492" w:rsidRPr="001E7492">
        <w:t xml:space="preserve"> growth.</w:t>
      </w:r>
      <w:r w:rsidR="001E7492" w:rsidRPr="001E7492">
        <w:t xml:space="preserve"> </w:t>
      </w:r>
      <w:r w:rsidR="001E7492" w:rsidRPr="001E7492">
        <w:t>Other income has decreased furthe</w:t>
      </w:r>
      <w:r w:rsidR="009357C5">
        <w:t>r</w:t>
      </w:r>
      <w:r w:rsidR="001E7492" w:rsidRPr="001E7492">
        <w:t xml:space="preserve"> suggesting potential losses from investments or non-operational activities. This </w:t>
      </w:r>
      <w:r w:rsidR="009357C5">
        <w:t xml:space="preserve">downward trend </w:t>
      </w:r>
      <w:r w:rsidR="001E7492" w:rsidRPr="001E7492">
        <w:t>may need further investigation.</w:t>
      </w:r>
      <w:r w:rsidR="001E7492" w:rsidRPr="001E7492">
        <w:t xml:space="preserve"> </w:t>
      </w:r>
      <w:r w:rsidR="001E7492" w:rsidRPr="001E7492">
        <w:t>Income before provision for taxes has</w:t>
      </w:r>
      <w:r w:rsidR="0098089A">
        <w:t xml:space="preserve"> increased while the</w:t>
      </w:r>
      <w:r w:rsidR="001E7492" w:rsidRPr="001E7492">
        <w:t xml:space="preserve"> provision for income taxes has</w:t>
      </w:r>
      <w:r w:rsidR="0098089A">
        <w:t xml:space="preserve"> also increased. </w:t>
      </w:r>
      <w:r w:rsidR="001E7492" w:rsidRPr="001E7492">
        <w:t>This</w:t>
      </w:r>
      <w:r w:rsidR="0098089A">
        <w:t xml:space="preserve"> is </w:t>
      </w:r>
      <w:r w:rsidR="005270EB">
        <w:t>because of</w:t>
      </w:r>
      <w:r w:rsidR="0098089A">
        <w:t xml:space="preserve"> the higher </w:t>
      </w:r>
      <w:r w:rsidR="001E7492" w:rsidRPr="001E7492">
        <w:t>taxable income</w:t>
      </w:r>
      <w:r w:rsidR="0098089A">
        <w:t xml:space="preserve"> as seen in the income statement</w:t>
      </w:r>
      <w:r w:rsidR="001E7492" w:rsidRPr="001E7492">
        <w:t>.</w:t>
      </w:r>
      <w:r w:rsidR="001E7492" w:rsidRPr="001E7492">
        <w:t xml:space="preserve"> </w:t>
      </w:r>
      <w:r w:rsidR="001E7492" w:rsidRPr="001E7492">
        <w:t xml:space="preserve">Net income growth has significantly </w:t>
      </w:r>
      <w:r w:rsidR="0098089A">
        <w:t>risen</w:t>
      </w:r>
      <w:r w:rsidR="001E7492" w:rsidRPr="001E7492">
        <w:t xml:space="preserve"> </w:t>
      </w:r>
      <w:r w:rsidR="0098089A">
        <w:t xml:space="preserve">over the three years which indicates a positive trend for Apple Inc. </w:t>
      </w:r>
      <w:r w:rsidR="001E7492" w:rsidRPr="001E7492">
        <w:t xml:space="preserve">operational expenses, it. </w:t>
      </w:r>
      <w:r w:rsidR="009B420A" w:rsidRPr="009B420A">
        <w:t>Continued investment in R</w:t>
      </w:r>
      <w:r w:rsidR="009B420A">
        <w:t xml:space="preserve">esearch and </w:t>
      </w:r>
      <w:r w:rsidR="009357C5">
        <w:t xml:space="preserve">development </w:t>
      </w:r>
      <w:r w:rsidR="009357C5" w:rsidRPr="009B420A">
        <w:t>is</w:t>
      </w:r>
      <w:r w:rsidR="009B420A" w:rsidRPr="009B420A">
        <w:t xml:space="preserve"> a positive sign, but managing costs and identifying new growth avenues will be critical for</w:t>
      </w:r>
      <w:r w:rsidR="009B420A">
        <w:t xml:space="preserve"> </w:t>
      </w:r>
      <w:r w:rsidR="004966BB">
        <w:t xml:space="preserve">Apple </w:t>
      </w:r>
      <w:r w:rsidR="004966BB" w:rsidRPr="009B420A">
        <w:t>sustaining</w:t>
      </w:r>
      <w:r w:rsidR="009B420A" w:rsidRPr="009B420A">
        <w:t xml:space="preserve"> long-term success</w:t>
      </w:r>
      <w:r w:rsidR="009B420A">
        <w:t xml:space="preserve"> and profitability.</w:t>
      </w:r>
    </w:p>
    <w:p w14:paraId="72CE1C82" w14:textId="77777777" w:rsidR="009B420A" w:rsidRDefault="009B420A" w:rsidP="004B5C20">
      <w:pPr>
        <w:jc w:val="both"/>
        <w:rPr>
          <w:b/>
          <w:bCs/>
        </w:rPr>
      </w:pPr>
    </w:p>
    <w:p w14:paraId="55D016E2" w14:textId="6D6C6791" w:rsidR="00956C2C" w:rsidRPr="00EA1250" w:rsidRDefault="00956C2C" w:rsidP="004B5C20">
      <w:pPr>
        <w:jc w:val="both"/>
        <w:rPr>
          <w:b/>
          <w:bCs/>
        </w:rPr>
      </w:pPr>
      <w:r w:rsidRPr="00EA1250">
        <w:rPr>
          <w:b/>
          <w:bCs/>
        </w:rPr>
        <w:t>STATEMENT OF FINANCIAL POSITION</w:t>
      </w:r>
    </w:p>
    <w:tbl>
      <w:tblPr>
        <w:tblStyle w:val="TableGrid"/>
        <w:tblW w:w="0" w:type="auto"/>
        <w:tblLook w:val="04A0" w:firstRow="1" w:lastRow="0" w:firstColumn="1" w:lastColumn="0" w:noHBand="0" w:noVBand="1"/>
      </w:tblPr>
      <w:tblGrid>
        <w:gridCol w:w="3005"/>
        <w:gridCol w:w="3005"/>
        <w:gridCol w:w="3006"/>
      </w:tblGrid>
      <w:tr w:rsidR="00956C2C" w14:paraId="1D309B7E" w14:textId="77777777" w:rsidTr="00956C2C">
        <w:tc>
          <w:tcPr>
            <w:tcW w:w="3005" w:type="dxa"/>
          </w:tcPr>
          <w:p w14:paraId="3462EF74" w14:textId="3F88BCD7" w:rsidR="00956C2C" w:rsidRPr="00EA1250" w:rsidRDefault="00956C2C" w:rsidP="004B5C20">
            <w:pPr>
              <w:jc w:val="both"/>
              <w:rPr>
                <w:b/>
                <w:bCs/>
              </w:rPr>
            </w:pPr>
            <w:r w:rsidRPr="00EA1250">
              <w:rPr>
                <w:b/>
                <w:bCs/>
              </w:rPr>
              <w:t>ITEMS</w:t>
            </w:r>
          </w:p>
        </w:tc>
        <w:tc>
          <w:tcPr>
            <w:tcW w:w="3005" w:type="dxa"/>
          </w:tcPr>
          <w:p w14:paraId="52890503" w14:textId="35B29FB2" w:rsidR="00956C2C" w:rsidRPr="00EA1250" w:rsidRDefault="007A47AC" w:rsidP="004B5C20">
            <w:pPr>
              <w:jc w:val="both"/>
              <w:rPr>
                <w:b/>
                <w:bCs/>
              </w:rPr>
            </w:pPr>
            <w:r>
              <w:rPr>
                <w:b/>
                <w:bCs/>
              </w:rPr>
              <w:t xml:space="preserve">2021 to </w:t>
            </w:r>
            <w:r w:rsidR="00956C2C" w:rsidRPr="00EA1250">
              <w:rPr>
                <w:b/>
                <w:bCs/>
              </w:rPr>
              <w:t>2022</w:t>
            </w:r>
          </w:p>
        </w:tc>
        <w:tc>
          <w:tcPr>
            <w:tcW w:w="3006" w:type="dxa"/>
          </w:tcPr>
          <w:p w14:paraId="6D92360E" w14:textId="22E51BDD" w:rsidR="00956C2C" w:rsidRPr="00EA1250" w:rsidRDefault="007A47AC" w:rsidP="004B5C20">
            <w:pPr>
              <w:jc w:val="both"/>
              <w:rPr>
                <w:b/>
                <w:bCs/>
              </w:rPr>
            </w:pPr>
            <w:r>
              <w:rPr>
                <w:b/>
                <w:bCs/>
              </w:rPr>
              <w:t xml:space="preserve">2022 to </w:t>
            </w:r>
            <w:r w:rsidR="00956C2C" w:rsidRPr="00EA1250">
              <w:rPr>
                <w:b/>
                <w:bCs/>
              </w:rPr>
              <w:t>2021</w:t>
            </w:r>
          </w:p>
        </w:tc>
      </w:tr>
      <w:tr w:rsidR="00956C2C" w14:paraId="720659F4" w14:textId="77777777" w:rsidTr="00956C2C">
        <w:tc>
          <w:tcPr>
            <w:tcW w:w="3005" w:type="dxa"/>
          </w:tcPr>
          <w:p w14:paraId="6CC9F388" w14:textId="20C26650" w:rsidR="00956C2C" w:rsidRDefault="00956C2C" w:rsidP="004B5C20">
            <w:pPr>
              <w:jc w:val="both"/>
            </w:pPr>
            <w:r w:rsidRPr="00956C2C">
              <w:t>Cash and cash equivalents</w:t>
            </w:r>
          </w:p>
        </w:tc>
        <w:tc>
          <w:tcPr>
            <w:tcW w:w="3005" w:type="dxa"/>
          </w:tcPr>
          <w:p w14:paraId="1A90A28B" w14:textId="50C3067A" w:rsidR="00956C2C" w:rsidRDefault="00DE5899" w:rsidP="004B5C20">
            <w:pPr>
              <w:jc w:val="both"/>
            </w:pPr>
            <w:r>
              <w:t>-0.32</w:t>
            </w:r>
          </w:p>
        </w:tc>
        <w:tc>
          <w:tcPr>
            <w:tcW w:w="3006" w:type="dxa"/>
          </w:tcPr>
          <w:p w14:paraId="39B864F8" w14:textId="4BEDCA80" w:rsidR="00956C2C" w:rsidRDefault="00DE5899" w:rsidP="004B5C20">
            <w:pPr>
              <w:jc w:val="both"/>
            </w:pPr>
            <w:r>
              <w:t>-0.08</w:t>
            </w:r>
          </w:p>
        </w:tc>
      </w:tr>
      <w:tr w:rsidR="00956C2C" w14:paraId="4383429E" w14:textId="77777777" w:rsidTr="00956C2C">
        <w:tc>
          <w:tcPr>
            <w:tcW w:w="3005" w:type="dxa"/>
          </w:tcPr>
          <w:p w14:paraId="78B5DA00" w14:textId="485E8DC6" w:rsidR="00956C2C" w:rsidRDefault="00956C2C" w:rsidP="004B5C20">
            <w:pPr>
              <w:jc w:val="both"/>
            </w:pPr>
            <w:r w:rsidRPr="00956C2C">
              <w:t>Marketable securities</w:t>
            </w:r>
          </w:p>
        </w:tc>
        <w:tc>
          <w:tcPr>
            <w:tcW w:w="3005" w:type="dxa"/>
          </w:tcPr>
          <w:p w14:paraId="737935A5" w14:textId="5084A2FE" w:rsidR="00956C2C" w:rsidRDefault="00DE5899" w:rsidP="004B5C20">
            <w:pPr>
              <w:jc w:val="both"/>
            </w:pPr>
            <w:r>
              <w:t>-0.11</w:t>
            </w:r>
          </w:p>
        </w:tc>
        <w:tc>
          <w:tcPr>
            <w:tcW w:w="3006" w:type="dxa"/>
          </w:tcPr>
          <w:p w14:paraId="0C0C00B1" w14:textId="5EA9016D" w:rsidR="00956C2C" w:rsidRDefault="00DE5899" w:rsidP="004B5C20">
            <w:pPr>
              <w:jc w:val="both"/>
            </w:pPr>
            <w:r>
              <w:t>-0.48</w:t>
            </w:r>
          </w:p>
        </w:tc>
      </w:tr>
      <w:tr w:rsidR="00956C2C" w14:paraId="5D38D0B4" w14:textId="77777777" w:rsidTr="00956C2C">
        <w:tc>
          <w:tcPr>
            <w:tcW w:w="3005" w:type="dxa"/>
          </w:tcPr>
          <w:p w14:paraId="1D9F89B5" w14:textId="6C288A32" w:rsidR="00956C2C" w:rsidRDefault="00956C2C" w:rsidP="004B5C20">
            <w:pPr>
              <w:jc w:val="both"/>
            </w:pPr>
            <w:r w:rsidRPr="00956C2C">
              <w:t>Accounts receivable, net</w:t>
            </w:r>
          </w:p>
        </w:tc>
        <w:tc>
          <w:tcPr>
            <w:tcW w:w="3005" w:type="dxa"/>
          </w:tcPr>
          <w:p w14:paraId="0C72A439" w14:textId="76164963" w:rsidR="00956C2C" w:rsidRDefault="00DE5899" w:rsidP="004B5C20">
            <w:pPr>
              <w:jc w:val="both"/>
            </w:pPr>
            <w:r>
              <w:t>0.07</w:t>
            </w:r>
          </w:p>
        </w:tc>
        <w:tc>
          <w:tcPr>
            <w:tcW w:w="3006" w:type="dxa"/>
          </w:tcPr>
          <w:p w14:paraId="2512CC6A" w14:textId="26D70C03" w:rsidR="00956C2C" w:rsidRDefault="00DE5899" w:rsidP="004B5C20">
            <w:pPr>
              <w:jc w:val="both"/>
            </w:pPr>
            <w:r>
              <w:t>0.63</w:t>
            </w:r>
          </w:p>
        </w:tc>
      </w:tr>
      <w:tr w:rsidR="00956C2C" w14:paraId="0652EEB9" w14:textId="77777777" w:rsidTr="00956C2C">
        <w:tc>
          <w:tcPr>
            <w:tcW w:w="3005" w:type="dxa"/>
          </w:tcPr>
          <w:p w14:paraId="67AB6D31" w14:textId="4D7E4086" w:rsidR="00956C2C" w:rsidRDefault="00956C2C" w:rsidP="004B5C20">
            <w:pPr>
              <w:jc w:val="both"/>
            </w:pPr>
            <w:r w:rsidRPr="00956C2C">
              <w:t>Inventories</w:t>
            </w:r>
          </w:p>
        </w:tc>
        <w:tc>
          <w:tcPr>
            <w:tcW w:w="3005" w:type="dxa"/>
          </w:tcPr>
          <w:p w14:paraId="3688EEE8" w14:textId="2B5014D2" w:rsidR="00956C2C" w:rsidRDefault="00DE5899" w:rsidP="004B5C20">
            <w:pPr>
              <w:jc w:val="both"/>
            </w:pPr>
            <w:r>
              <w:t>-0.25</w:t>
            </w:r>
          </w:p>
        </w:tc>
        <w:tc>
          <w:tcPr>
            <w:tcW w:w="3006" w:type="dxa"/>
          </w:tcPr>
          <w:p w14:paraId="3E4208A8" w14:textId="520B0B4B" w:rsidR="00956C2C" w:rsidRDefault="00DE5899" w:rsidP="004B5C20">
            <w:pPr>
              <w:jc w:val="both"/>
            </w:pPr>
            <w:r>
              <w:t>0.62</w:t>
            </w:r>
          </w:p>
        </w:tc>
      </w:tr>
      <w:tr w:rsidR="00956C2C" w14:paraId="4E435D05" w14:textId="77777777" w:rsidTr="00956C2C">
        <w:tc>
          <w:tcPr>
            <w:tcW w:w="3005" w:type="dxa"/>
          </w:tcPr>
          <w:p w14:paraId="369CF2F1" w14:textId="7A93E6DA" w:rsidR="00956C2C" w:rsidRDefault="00956C2C" w:rsidP="004B5C20">
            <w:pPr>
              <w:jc w:val="both"/>
            </w:pPr>
            <w:r w:rsidRPr="00956C2C">
              <w:t xml:space="preserve">Vendor </w:t>
            </w:r>
            <w:proofErr w:type="gramStart"/>
            <w:r w:rsidRPr="00956C2C">
              <w:t>non</w:t>
            </w:r>
            <w:r>
              <w:t xml:space="preserve"> </w:t>
            </w:r>
            <w:r w:rsidRPr="00956C2C">
              <w:t>trade</w:t>
            </w:r>
            <w:proofErr w:type="gramEnd"/>
            <w:r w:rsidRPr="00956C2C">
              <w:t xml:space="preserve"> receivables</w:t>
            </w:r>
          </w:p>
        </w:tc>
        <w:tc>
          <w:tcPr>
            <w:tcW w:w="3005" w:type="dxa"/>
          </w:tcPr>
          <w:p w14:paraId="3E20E92F" w14:textId="6B5BEF27" w:rsidR="00956C2C" w:rsidRDefault="00DE5899" w:rsidP="004B5C20">
            <w:pPr>
              <w:jc w:val="both"/>
            </w:pPr>
            <w:r>
              <w:t>0.30</w:t>
            </w:r>
          </w:p>
        </w:tc>
        <w:tc>
          <w:tcPr>
            <w:tcW w:w="3006" w:type="dxa"/>
          </w:tcPr>
          <w:p w14:paraId="0F9E7D8E" w14:textId="10952AF5" w:rsidR="00956C2C" w:rsidRDefault="00DE5899" w:rsidP="004B5C20">
            <w:pPr>
              <w:jc w:val="both"/>
            </w:pPr>
            <w:r>
              <w:t>0.18</w:t>
            </w:r>
          </w:p>
        </w:tc>
      </w:tr>
      <w:tr w:rsidR="00956C2C" w14:paraId="3D8C5B13" w14:textId="77777777" w:rsidTr="00956C2C">
        <w:tc>
          <w:tcPr>
            <w:tcW w:w="3005" w:type="dxa"/>
          </w:tcPr>
          <w:p w14:paraId="095457A5" w14:textId="30469479" w:rsidR="00956C2C" w:rsidRDefault="00956C2C" w:rsidP="004B5C20">
            <w:pPr>
              <w:jc w:val="both"/>
            </w:pPr>
            <w:r w:rsidRPr="00956C2C">
              <w:t>Other current assets</w:t>
            </w:r>
          </w:p>
        </w:tc>
        <w:tc>
          <w:tcPr>
            <w:tcW w:w="3005" w:type="dxa"/>
          </w:tcPr>
          <w:p w14:paraId="03B30BB8" w14:textId="3334BFCF" w:rsidR="00956C2C" w:rsidRDefault="00DE5899" w:rsidP="004B5C20">
            <w:pPr>
              <w:jc w:val="both"/>
            </w:pPr>
            <w:r>
              <w:t>0.50</w:t>
            </w:r>
          </w:p>
        </w:tc>
        <w:tc>
          <w:tcPr>
            <w:tcW w:w="3006" w:type="dxa"/>
          </w:tcPr>
          <w:p w14:paraId="06D53CDB" w14:textId="42999431" w:rsidR="00956C2C" w:rsidRDefault="00DE5899" w:rsidP="004B5C20">
            <w:pPr>
              <w:jc w:val="both"/>
            </w:pPr>
            <w:r>
              <w:t>0.18</w:t>
            </w:r>
          </w:p>
        </w:tc>
      </w:tr>
      <w:tr w:rsidR="00956C2C" w14:paraId="4A4DD17E" w14:textId="77777777" w:rsidTr="00956C2C">
        <w:tc>
          <w:tcPr>
            <w:tcW w:w="3005" w:type="dxa"/>
          </w:tcPr>
          <w:p w14:paraId="1E590C08" w14:textId="77777777" w:rsidR="00956C2C" w:rsidRPr="00956C2C" w:rsidRDefault="00956C2C" w:rsidP="004B5C20">
            <w:pPr>
              <w:jc w:val="both"/>
              <w:rPr>
                <w:rFonts w:ascii="Calibri" w:hAnsi="Calibri" w:cs="Calibri"/>
                <w:color w:val="000000"/>
                <w:sz w:val="22"/>
                <w:szCs w:val="22"/>
              </w:rPr>
            </w:pPr>
            <w:r w:rsidRPr="00956C2C">
              <w:rPr>
                <w:rFonts w:ascii="Calibri" w:hAnsi="Calibri" w:cs="Calibri"/>
                <w:color w:val="000000"/>
                <w:sz w:val="22"/>
                <w:szCs w:val="22"/>
              </w:rPr>
              <w:t>Total current assets</w:t>
            </w:r>
          </w:p>
          <w:p w14:paraId="4C8EC69C" w14:textId="77777777" w:rsidR="00956C2C" w:rsidRPr="00956C2C" w:rsidRDefault="00956C2C" w:rsidP="004B5C20">
            <w:pPr>
              <w:jc w:val="both"/>
            </w:pPr>
          </w:p>
        </w:tc>
        <w:tc>
          <w:tcPr>
            <w:tcW w:w="3005" w:type="dxa"/>
          </w:tcPr>
          <w:p w14:paraId="1C663F4B" w14:textId="01CE1930" w:rsidR="00956C2C" w:rsidRDefault="00DE5899" w:rsidP="004B5C20">
            <w:pPr>
              <w:jc w:val="both"/>
            </w:pPr>
            <w:r>
              <w:t>0.0042</w:t>
            </w:r>
          </w:p>
        </w:tc>
        <w:tc>
          <w:tcPr>
            <w:tcW w:w="3006" w:type="dxa"/>
          </w:tcPr>
          <w:p w14:paraId="1996D3F3" w14:textId="7F0D530D" w:rsidR="00956C2C" w:rsidRDefault="00DE5899" w:rsidP="004B5C20">
            <w:pPr>
              <w:jc w:val="both"/>
            </w:pPr>
            <w:r>
              <w:t>-0.0618</w:t>
            </w:r>
          </w:p>
        </w:tc>
      </w:tr>
      <w:tr w:rsidR="00956C2C" w14:paraId="40B13FDB" w14:textId="77777777" w:rsidTr="00956C2C">
        <w:tc>
          <w:tcPr>
            <w:tcW w:w="3005" w:type="dxa"/>
          </w:tcPr>
          <w:p w14:paraId="65FD788E" w14:textId="23FF6843" w:rsidR="00956C2C" w:rsidRPr="00956C2C" w:rsidRDefault="00956C2C" w:rsidP="004B5C20">
            <w:pPr>
              <w:jc w:val="both"/>
              <w:rPr>
                <w:rFonts w:ascii="Calibri" w:hAnsi="Calibri" w:cs="Calibri"/>
                <w:color w:val="000000"/>
                <w:sz w:val="22"/>
                <w:szCs w:val="22"/>
              </w:rPr>
            </w:pPr>
            <w:r w:rsidRPr="00956C2C">
              <w:rPr>
                <w:rFonts w:ascii="Calibri" w:hAnsi="Calibri" w:cs="Calibri"/>
                <w:color w:val="000000"/>
                <w:sz w:val="22"/>
                <w:szCs w:val="22"/>
              </w:rPr>
              <w:t>Marketable securities</w:t>
            </w:r>
          </w:p>
        </w:tc>
        <w:tc>
          <w:tcPr>
            <w:tcW w:w="3005" w:type="dxa"/>
          </w:tcPr>
          <w:p w14:paraId="4806D407" w14:textId="6A134C87" w:rsidR="00956C2C" w:rsidRDefault="00DE5899" w:rsidP="004B5C20">
            <w:pPr>
              <w:jc w:val="both"/>
            </w:pPr>
            <w:r>
              <w:t>-0.06</w:t>
            </w:r>
          </w:p>
        </w:tc>
        <w:tc>
          <w:tcPr>
            <w:tcW w:w="3006" w:type="dxa"/>
          </w:tcPr>
          <w:p w14:paraId="4900D9D3" w14:textId="2D6E4784" w:rsidR="00956C2C" w:rsidRDefault="00DE5899" w:rsidP="004B5C20">
            <w:pPr>
              <w:jc w:val="both"/>
            </w:pPr>
            <w:r>
              <w:t>0.27</w:t>
            </w:r>
          </w:p>
        </w:tc>
      </w:tr>
      <w:tr w:rsidR="00956C2C" w14:paraId="7017DC9D" w14:textId="77777777" w:rsidTr="00956C2C">
        <w:tc>
          <w:tcPr>
            <w:tcW w:w="3005" w:type="dxa"/>
          </w:tcPr>
          <w:p w14:paraId="4F587EC2" w14:textId="2CE9A06C" w:rsidR="00956C2C" w:rsidRPr="00956C2C" w:rsidRDefault="00956C2C" w:rsidP="004B5C20">
            <w:pPr>
              <w:jc w:val="both"/>
              <w:rPr>
                <w:rFonts w:ascii="Calibri" w:hAnsi="Calibri" w:cs="Calibri"/>
                <w:color w:val="000000"/>
                <w:sz w:val="22"/>
                <w:szCs w:val="22"/>
              </w:rPr>
            </w:pPr>
            <w:r w:rsidRPr="00956C2C">
              <w:rPr>
                <w:rFonts w:ascii="Calibri" w:hAnsi="Calibri" w:cs="Calibri"/>
                <w:color w:val="000000"/>
                <w:sz w:val="22"/>
                <w:szCs w:val="22"/>
              </w:rPr>
              <w:t>Property, plant and equipment, net</w:t>
            </w:r>
          </w:p>
        </w:tc>
        <w:tc>
          <w:tcPr>
            <w:tcW w:w="3005" w:type="dxa"/>
          </w:tcPr>
          <w:p w14:paraId="1103B863" w14:textId="31BF2D5F" w:rsidR="00956C2C" w:rsidRDefault="00DE5899" w:rsidP="004B5C20">
            <w:pPr>
              <w:jc w:val="both"/>
            </w:pPr>
            <w:r>
              <w:t>0.07</w:t>
            </w:r>
          </w:p>
        </w:tc>
        <w:tc>
          <w:tcPr>
            <w:tcW w:w="3006" w:type="dxa"/>
          </w:tcPr>
          <w:p w14:paraId="56C5749F" w14:textId="01B41B33" w:rsidR="00956C2C" w:rsidRDefault="00DE5899" w:rsidP="004B5C20">
            <w:pPr>
              <w:jc w:val="both"/>
            </w:pPr>
            <w:r>
              <w:t>0.07</w:t>
            </w:r>
          </w:p>
        </w:tc>
      </w:tr>
      <w:tr w:rsidR="00956C2C" w14:paraId="2FB5AB0E" w14:textId="77777777" w:rsidTr="00956C2C">
        <w:tc>
          <w:tcPr>
            <w:tcW w:w="3005" w:type="dxa"/>
          </w:tcPr>
          <w:p w14:paraId="3FEE7FE6" w14:textId="2E158A36" w:rsidR="00956C2C" w:rsidRPr="00956C2C" w:rsidRDefault="00956C2C" w:rsidP="004B5C20">
            <w:pPr>
              <w:jc w:val="both"/>
              <w:rPr>
                <w:rFonts w:ascii="Calibri" w:hAnsi="Calibri" w:cs="Calibri"/>
                <w:color w:val="000000"/>
                <w:sz w:val="22"/>
                <w:szCs w:val="22"/>
              </w:rPr>
            </w:pPr>
            <w:r w:rsidRPr="00956C2C">
              <w:rPr>
                <w:rFonts w:ascii="Calibri" w:hAnsi="Calibri" w:cs="Calibri"/>
                <w:color w:val="000000"/>
                <w:sz w:val="22"/>
                <w:szCs w:val="22"/>
              </w:rPr>
              <w:t xml:space="preserve">Other </w:t>
            </w:r>
            <w:r w:rsidR="00DE5899" w:rsidRPr="00956C2C">
              <w:rPr>
                <w:rFonts w:ascii="Calibri" w:hAnsi="Calibri" w:cs="Calibri"/>
                <w:color w:val="000000"/>
                <w:sz w:val="22"/>
                <w:szCs w:val="22"/>
              </w:rPr>
              <w:t>non-current</w:t>
            </w:r>
            <w:r w:rsidRPr="00956C2C">
              <w:rPr>
                <w:rFonts w:ascii="Calibri" w:hAnsi="Calibri" w:cs="Calibri"/>
                <w:color w:val="000000"/>
                <w:sz w:val="22"/>
                <w:szCs w:val="22"/>
              </w:rPr>
              <w:t xml:space="preserve"> assets</w:t>
            </w:r>
          </w:p>
        </w:tc>
        <w:tc>
          <w:tcPr>
            <w:tcW w:w="3005" w:type="dxa"/>
          </w:tcPr>
          <w:p w14:paraId="3BAD7897" w14:textId="672B835C" w:rsidR="00956C2C" w:rsidRDefault="00DE5899" w:rsidP="004B5C20">
            <w:pPr>
              <w:jc w:val="both"/>
            </w:pPr>
            <w:r>
              <w:t>0.11</w:t>
            </w:r>
          </w:p>
        </w:tc>
        <w:tc>
          <w:tcPr>
            <w:tcW w:w="3006" w:type="dxa"/>
          </w:tcPr>
          <w:p w14:paraId="08F81120" w14:textId="57FF9C33" w:rsidR="00956C2C" w:rsidRDefault="00DE5899" w:rsidP="004B5C20">
            <w:pPr>
              <w:jc w:val="both"/>
            </w:pPr>
            <w:r>
              <w:t>0.15</w:t>
            </w:r>
          </w:p>
        </w:tc>
      </w:tr>
      <w:tr w:rsidR="00956C2C" w14:paraId="0244F8B1" w14:textId="77777777" w:rsidTr="00956C2C">
        <w:tc>
          <w:tcPr>
            <w:tcW w:w="3005" w:type="dxa"/>
          </w:tcPr>
          <w:p w14:paraId="366E2DCA" w14:textId="15548ED5" w:rsidR="00956C2C" w:rsidRPr="00956C2C" w:rsidRDefault="00956C2C" w:rsidP="004B5C20">
            <w:pPr>
              <w:jc w:val="both"/>
              <w:rPr>
                <w:rFonts w:ascii="Calibri" w:hAnsi="Calibri" w:cs="Calibri"/>
                <w:color w:val="000000"/>
                <w:sz w:val="22"/>
                <w:szCs w:val="22"/>
              </w:rPr>
            </w:pPr>
            <w:r w:rsidRPr="00956C2C">
              <w:rPr>
                <w:rFonts w:ascii="Calibri" w:hAnsi="Calibri" w:cs="Calibri"/>
                <w:color w:val="000000"/>
                <w:sz w:val="22"/>
                <w:szCs w:val="22"/>
              </w:rPr>
              <w:t xml:space="preserve">Total </w:t>
            </w:r>
            <w:r w:rsidR="00DE5899" w:rsidRPr="00956C2C">
              <w:rPr>
                <w:rFonts w:ascii="Calibri" w:hAnsi="Calibri" w:cs="Calibri"/>
                <w:color w:val="000000"/>
                <w:sz w:val="22"/>
                <w:szCs w:val="22"/>
              </w:rPr>
              <w:t>non-current</w:t>
            </w:r>
            <w:r w:rsidRPr="00956C2C">
              <w:rPr>
                <w:rFonts w:ascii="Calibri" w:hAnsi="Calibri" w:cs="Calibri"/>
                <w:color w:val="000000"/>
                <w:sz w:val="22"/>
                <w:szCs w:val="22"/>
              </w:rPr>
              <w:t xml:space="preserve"> assets</w:t>
            </w:r>
          </w:p>
        </w:tc>
        <w:tc>
          <w:tcPr>
            <w:tcW w:w="3005" w:type="dxa"/>
          </w:tcPr>
          <w:p w14:paraId="3BDF7154" w14:textId="00CFA25A" w:rsidR="00956C2C" w:rsidRDefault="00DE5899" w:rsidP="004B5C20">
            <w:pPr>
              <w:jc w:val="both"/>
            </w:pPr>
            <w:r>
              <w:t>0.01</w:t>
            </w:r>
          </w:p>
        </w:tc>
        <w:tc>
          <w:tcPr>
            <w:tcW w:w="3006" w:type="dxa"/>
          </w:tcPr>
          <w:p w14:paraId="060B8048" w14:textId="33F32533" w:rsidR="00956C2C" w:rsidRDefault="00DE5899" w:rsidP="004B5C20">
            <w:pPr>
              <w:jc w:val="both"/>
            </w:pPr>
            <w:r>
              <w:t>0.20</w:t>
            </w:r>
          </w:p>
        </w:tc>
      </w:tr>
      <w:tr w:rsidR="00956C2C" w14:paraId="29E6F58F" w14:textId="77777777" w:rsidTr="00956C2C">
        <w:tc>
          <w:tcPr>
            <w:tcW w:w="3005" w:type="dxa"/>
          </w:tcPr>
          <w:p w14:paraId="7DD2D14B" w14:textId="1B1B9B5F" w:rsidR="00956C2C" w:rsidRPr="00956C2C" w:rsidRDefault="00956C2C" w:rsidP="004B5C20">
            <w:pPr>
              <w:jc w:val="both"/>
              <w:rPr>
                <w:rFonts w:ascii="Calibri" w:hAnsi="Calibri" w:cs="Calibri"/>
                <w:color w:val="000000"/>
                <w:sz w:val="22"/>
                <w:szCs w:val="22"/>
              </w:rPr>
            </w:pPr>
            <w:r w:rsidRPr="00956C2C">
              <w:rPr>
                <w:rFonts w:ascii="Calibri" w:hAnsi="Calibri" w:cs="Calibri"/>
                <w:color w:val="000000"/>
                <w:sz w:val="22"/>
                <w:szCs w:val="22"/>
              </w:rPr>
              <w:t>Total assets</w:t>
            </w:r>
          </w:p>
        </w:tc>
        <w:tc>
          <w:tcPr>
            <w:tcW w:w="3005" w:type="dxa"/>
          </w:tcPr>
          <w:p w14:paraId="1BB42821" w14:textId="29AF56C7" w:rsidR="00956C2C" w:rsidRDefault="00DE5899" w:rsidP="004B5C20">
            <w:pPr>
              <w:jc w:val="both"/>
            </w:pPr>
            <w:r>
              <w:t>0.00</w:t>
            </w:r>
          </w:p>
        </w:tc>
        <w:tc>
          <w:tcPr>
            <w:tcW w:w="3006" w:type="dxa"/>
          </w:tcPr>
          <w:p w14:paraId="69743375" w14:textId="2695B0E2" w:rsidR="00956C2C" w:rsidRDefault="00DE5899" w:rsidP="004B5C20">
            <w:pPr>
              <w:jc w:val="both"/>
            </w:pPr>
            <w:r>
              <w:t>0.08</w:t>
            </w:r>
          </w:p>
        </w:tc>
      </w:tr>
      <w:tr w:rsidR="00956C2C" w14:paraId="25C933EF" w14:textId="77777777" w:rsidTr="00956C2C">
        <w:tc>
          <w:tcPr>
            <w:tcW w:w="3005" w:type="dxa"/>
          </w:tcPr>
          <w:p w14:paraId="1ADE9418" w14:textId="3B8C2918" w:rsidR="00956C2C" w:rsidRPr="00956C2C" w:rsidRDefault="00956C2C" w:rsidP="004B5C20">
            <w:pPr>
              <w:jc w:val="both"/>
              <w:rPr>
                <w:rFonts w:ascii="Calibri" w:hAnsi="Calibri" w:cs="Calibri"/>
                <w:color w:val="000000"/>
                <w:sz w:val="22"/>
                <w:szCs w:val="22"/>
              </w:rPr>
            </w:pPr>
            <w:r w:rsidRPr="00956C2C">
              <w:rPr>
                <w:rFonts w:ascii="Calibri" w:hAnsi="Calibri" w:cs="Calibri"/>
                <w:color w:val="000000"/>
                <w:sz w:val="22"/>
                <w:szCs w:val="22"/>
              </w:rPr>
              <w:t>Accounts payable</w:t>
            </w:r>
          </w:p>
        </w:tc>
        <w:tc>
          <w:tcPr>
            <w:tcW w:w="3005" w:type="dxa"/>
          </w:tcPr>
          <w:p w14:paraId="67E415D0" w14:textId="34CA47B4" w:rsidR="00956C2C" w:rsidRDefault="00DE5899" w:rsidP="004B5C20">
            <w:pPr>
              <w:jc w:val="both"/>
            </w:pPr>
            <w:r>
              <w:t>0.17</w:t>
            </w:r>
          </w:p>
        </w:tc>
        <w:tc>
          <w:tcPr>
            <w:tcW w:w="3006" w:type="dxa"/>
          </w:tcPr>
          <w:p w14:paraId="3425B623" w14:textId="17E208BF" w:rsidR="00956C2C" w:rsidRDefault="00DE5899" w:rsidP="004B5C20">
            <w:pPr>
              <w:jc w:val="both"/>
            </w:pPr>
            <w:r>
              <w:t>0.29</w:t>
            </w:r>
          </w:p>
        </w:tc>
      </w:tr>
      <w:tr w:rsidR="00956C2C" w14:paraId="3EB86EB6" w14:textId="77777777" w:rsidTr="00956C2C">
        <w:tc>
          <w:tcPr>
            <w:tcW w:w="3005" w:type="dxa"/>
          </w:tcPr>
          <w:p w14:paraId="6F4F88C9" w14:textId="799D46AB" w:rsidR="00956C2C" w:rsidRPr="00956C2C"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Other current liabilities</w:t>
            </w:r>
          </w:p>
        </w:tc>
        <w:tc>
          <w:tcPr>
            <w:tcW w:w="3005" w:type="dxa"/>
          </w:tcPr>
          <w:p w14:paraId="593F78AF" w14:textId="383BF8F1" w:rsidR="00956C2C" w:rsidRDefault="00DE5899" w:rsidP="004B5C20">
            <w:pPr>
              <w:jc w:val="both"/>
            </w:pPr>
            <w:r>
              <w:t>0.28</w:t>
            </w:r>
          </w:p>
        </w:tc>
        <w:tc>
          <w:tcPr>
            <w:tcW w:w="3006" w:type="dxa"/>
          </w:tcPr>
          <w:p w14:paraId="7305C08A" w14:textId="08AE6DA5" w:rsidR="00956C2C" w:rsidRDefault="00DE5899" w:rsidP="004B5C20">
            <w:pPr>
              <w:jc w:val="both"/>
            </w:pPr>
            <w:r>
              <w:t>0.11</w:t>
            </w:r>
          </w:p>
        </w:tc>
      </w:tr>
      <w:tr w:rsidR="00956C2C" w14:paraId="516C2513" w14:textId="77777777" w:rsidTr="00956C2C">
        <w:tc>
          <w:tcPr>
            <w:tcW w:w="3005" w:type="dxa"/>
          </w:tcPr>
          <w:p w14:paraId="302F31C1" w14:textId="14168190" w:rsidR="00956C2C" w:rsidRPr="00956C2C"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Deferred revenue</w:t>
            </w:r>
          </w:p>
        </w:tc>
        <w:tc>
          <w:tcPr>
            <w:tcW w:w="3005" w:type="dxa"/>
          </w:tcPr>
          <w:p w14:paraId="1D949128" w14:textId="00BE08D2" w:rsidR="00956C2C" w:rsidRDefault="00DE5899" w:rsidP="004B5C20">
            <w:pPr>
              <w:jc w:val="both"/>
            </w:pPr>
            <w:r>
              <w:t>0.04</w:t>
            </w:r>
          </w:p>
        </w:tc>
        <w:tc>
          <w:tcPr>
            <w:tcW w:w="3006" w:type="dxa"/>
          </w:tcPr>
          <w:p w14:paraId="67916F6A" w14:textId="32FC52D1" w:rsidR="00956C2C" w:rsidRDefault="00DE5899" w:rsidP="004B5C20">
            <w:pPr>
              <w:jc w:val="both"/>
            </w:pPr>
            <w:r>
              <w:t>0.15</w:t>
            </w:r>
          </w:p>
        </w:tc>
      </w:tr>
      <w:tr w:rsidR="00956C2C" w14:paraId="55CBCA68" w14:textId="77777777" w:rsidTr="00956C2C">
        <w:tc>
          <w:tcPr>
            <w:tcW w:w="3005" w:type="dxa"/>
          </w:tcPr>
          <w:p w14:paraId="058D9E5F" w14:textId="22729D06" w:rsidR="00956C2C" w:rsidRPr="00956C2C"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Commercial paper</w:t>
            </w:r>
          </w:p>
        </w:tc>
        <w:tc>
          <w:tcPr>
            <w:tcW w:w="3005" w:type="dxa"/>
          </w:tcPr>
          <w:p w14:paraId="25015145" w14:textId="30C39358" w:rsidR="00956C2C" w:rsidRDefault="00DE5899" w:rsidP="004B5C20">
            <w:pPr>
              <w:jc w:val="both"/>
            </w:pPr>
            <w:r>
              <w:t>0.66</w:t>
            </w:r>
          </w:p>
        </w:tc>
        <w:tc>
          <w:tcPr>
            <w:tcW w:w="3006" w:type="dxa"/>
          </w:tcPr>
          <w:p w14:paraId="3E9784BB" w14:textId="7592927A" w:rsidR="00956C2C" w:rsidRDefault="00DE5899" w:rsidP="004B5C20">
            <w:pPr>
              <w:jc w:val="both"/>
            </w:pPr>
            <w:r>
              <w:t>0.20</w:t>
            </w:r>
          </w:p>
        </w:tc>
      </w:tr>
      <w:tr w:rsidR="00956C2C" w14:paraId="18E80B0B" w14:textId="77777777" w:rsidTr="00956C2C">
        <w:tc>
          <w:tcPr>
            <w:tcW w:w="3005" w:type="dxa"/>
          </w:tcPr>
          <w:p w14:paraId="5D27B438" w14:textId="25EC0F66" w:rsidR="00956C2C" w:rsidRPr="00956C2C"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Term debt</w:t>
            </w:r>
          </w:p>
        </w:tc>
        <w:tc>
          <w:tcPr>
            <w:tcW w:w="3005" w:type="dxa"/>
          </w:tcPr>
          <w:p w14:paraId="5739C027" w14:textId="3D300593" w:rsidR="00956C2C" w:rsidRDefault="00DE5899" w:rsidP="004B5C20">
            <w:pPr>
              <w:jc w:val="both"/>
            </w:pPr>
            <w:r>
              <w:t>0.16</w:t>
            </w:r>
          </w:p>
        </w:tc>
        <w:tc>
          <w:tcPr>
            <w:tcW w:w="3006" w:type="dxa"/>
          </w:tcPr>
          <w:p w14:paraId="5D8D8304" w14:textId="7682355F" w:rsidR="00956C2C" w:rsidRDefault="00DE5899" w:rsidP="004B5C20">
            <w:pPr>
              <w:jc w:val="both"/>
            </w:pPr>
            <w:r>
              <w:t>0.10</w:t>
            </w:r>
          </w:p>
        </w:tc>
      </w:tr>
      <w:tr w:rsidR="00EA1250" w14:paraId="3177A769" w14:textId="77777777" w:rsidTr="00956C2C">
        <w:tc>
          <w:tcPr>
            <w:tcW w:w="3005" w:type="dxa"/>
          </w:tcPr>
          <w:p w14:paraId="350A82F4" w14:textId="116A7797"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Deferred revenue</w:t>
            </w:r>
          </w:p>
        </w:tc>
        <w:tc>
          <w:tcPr>
            <w:tcW w:w="3005" w:type="dxa"/>
          </w:tcPr>
          <w:p w14:paraId="6F4E97BE" w14:textId="5E57C145" w:rsidR="00EA1250" w:rsidRDefault="00DE5899" w:rsidP="004B5C20">
            <w:pPr>
              <w:jc w:val="both"/>
            </w:pPr>
            <w:r>
              <w:t>0.04</w:t>
            </w:r>
          </w:p>
        </w:tc>
        <w:tc>
          <w:tcPr>
            <w:tcW w:w="3006" w:type="dxa"/>
          </w:tcPr>
          <w:p w14:paraId="35204158" w14:textId="62657C56" w:rsidR="00EA1250" w:rsidRDefault="00DE5899" w:rsidP="004B5C20">
            <w:pPr>
              <w:jc w:val="both"/>
            </w:pPr>
            <w:r>
              <w:t>0.15</w:t>
            </w:r>
          </w:p>
        </w:tc>
      </w:tr>
      <w:tr w:rsidR="00EA1250" w14:paraId="3BAA025D" w14:textId="77777777" w:rsidTr="00956C2C">
        <w:tc>
          <w:tcPr>
            <w:tcW w:w="3005" w:type="dxa"/>
          </w:tcPr>
          <w:p w14:paraId="7595A9C4" w14:textId="2A838508"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Term debt</w:t>
            </w:r>
          </w:p>
        </w:tc>
        <w:tc>
          <w:tcPr>
            <w:tcW w:w="3005" w:type="dxa"/>
          </w:tcPr>
          <w:p w14:paraId="099ECB61" w14:textId="1A954F10" w:rsidR="00EA1250" w:rsidRDefault="00DE5899" w:rsidP="004B5C20">
            <w:pPr>
              <w:jc w:val="both"/>
            </w:pPr>
            <w:r>
              <w:t>-0.09</w:t>
            </w:r>
          </w:p>
        </w:tc>
        <w:tc>
          <w:tcPr>
            <w:tcW w:w="3006" w:type="dxa"/>
          </w:tcPr>
          <w:p w14:paraId="2BECEF6D" w14:textId="60466BF5" w:rsidR="00EA1250" w:rsidRDefault="00DE5899" w:rsidP="004B5C20">
            <w:pPr>
              <w:jc w:val="both"/>
            </w:pPr>
            <w:r>
              <w:t>0.11</w:t>
            </w:r>
          </w:p>
        </w:tc>
      </w:tr>
      <w:tr w:rsidR="00EA1250" w14:paraId="7615ED87" w14:textId="77777777" w:rsidTr="00956C2C">
        <w:tc>
          <w:tcPr>
            <w:tcW w:w="3005" w:type="dxa"/>
          </w:tcPr>
          <w:p w14:paraId="6994E6CE" w14:textId="313FFA41"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 xml:space="preserve">Other </w:t>
            </w:r>
            <w:r w:rsidR="005270EB" w:rsidRPr="00EA1250">
              <w:rPr>
                <w:rFonts w:ascii="Calibri" w:hAnsi="Calibri" w:cs="Calibri"/>
                <w:color w:val="000000"/>
                <w:sz w:val="22"/>
                <w:szCs w:val="22"/>
              </w:rPr>
              <w:t>non-current</w:t>
            </w:r>
            <w:r w:rsidRPr="00EA1250">
              <w:rPr>
                <w:rFonts w:ascii="Calibri" w:hAnsi="Calibri" w:cs="Calibri"/>
                <w:color w:val="000000"/>
                <w:sz w:val="22"/>
                <w:szCs w:val="22"/>
              </w:rPr>
              <w:t xml:space="preserve"> liabilities</w:t>
            </w:r>
          </w:p>
        </w:tc>
        <w:tc>
          <w:tcPr>
            <w:tcW w:w="3005" w:type="dxa"/>
          </w:tcPr>
          <w:p w14:paraId="10675B5C" w14:textId="2C6B96FC" w:rsidR="00EA1250" w:rsidRDefault="00DE5899" w:rsidP="004B5C20">
            <w:pPr>
              <w:jc w:val="both"/>
            </w:pPr>
            <w:r>
              <w:t>-0.08</w:t>
            </w:r>
          </w:p>
        </w:tc>
        <w:tc>
          <w:tcPr>
            <w:tcW w:w="3006" w:type="dxa"/>
          </w:tcPr>
          <w:p w14:paraId="682888D3" w14:textId="65A66D68" w:rsidR="00EA1250" w:rsidRDefault="00DE5899" w:rsidP="004B5C20">
            <w:pPr>
              <w:jc w:val="both"/>
            </w:pPr>
            <w:r>
              <w:t>-0.02</w:t>
            </w:r>
          </w:p>
        </w:tc>
      </w:tr>
      <w:tr w:rsidR="00EA1250" w14:paraId="3C3824C6" w14:textId="77777777" w:rsidTr="00956C2C">
        <w:tc>
          <w:tcPr>
            <w:tcW w:w="3005" w:type="dxa"/>
          </w:tcPr>
          <w:p w14:paraId="058781A6" w14:textId="14710F64"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lastRenderedPageBreak/>
              <w:t xml:space="preserve">Total </w:t>
            </w:r>
            <w:proofErr w:type="spellStart"/>
            <w:proofErr w:type="gramStart"/>
            <w:r w:rsidRPr="00EA1250">
              <w:rPr>
                <w:rFonts w:ascii="Calibri" w:hAnsi="Calibri" w:cs="Calibri"/>
                <w:color w:val="000000"/>
                <w:sz w:val="22"/>
                <w:szCs w:val="22"/>
              </w:rPr>
              <w:t>non current</w:t>
            </w:r>
            <w:proofErr w:type="spellEnd"/>
            <w:proofErr w:type="gramEnd"/>
            <w:r w:rsidRPr="00EA1250">
              <w:rPr>
                <w:rFonts w:ascii="Calibri" w:hAnsi="Calibri" w:cs="Calibri"/>
                <w:color w:val="000000"/>
                <w:sz w:val="22"/>
                <w:szCs w:val="22"/>
              </w:rPr>
              <w:t xml:space="preserve"> liabilities</w:t>
            </w:r>
          </w:p>
        </w:tc>
        <w:tc>
          <w:tcPr>
            <w:tcW w:w="3005" w:type="dxa"/>
          </w:tcPr>
          <w:p w14:paraId="3A857DE5" w14:textId="767D2A1B" w:rsidR="00EA1250" w:rsidRDefault="00DE5899" w:rsidP="004B5C20">
            <w:pPr>
              <w:jc w:val="both"/>
            </w:pPr>
            <w:r>
              <w:t>-0.09</w:t>
            </w:r>
          </w:p>
        </w:tc>
        <w:tc>
          <w:tcPr>
            <w:tcW w:w="3006" w:type="dxa"/>
          </w:tcPr>
          <w:p w14:paraId="2E3B83B3" w14:textId="5995D450" w:rsidR="00EA1250" w:rsidRDefault="00DE5899" w:rsidP="004B5C20">
            <w:pPr>
              <w:jc w:val="both"/>
            </w:pPr>
            <w:r>
              <w:t>0.06</w:t>
            </w:r>
          </w:p>
        </w:tc>
      </w:tr>
      <w:tr w:rsidR="00EA1250" w14:paraId="7D3D5D7F" w14:textId="77777777" w:rsidTr="00956C2C">
        <w:tc>
          <w:tcPr>
            <w:tcW w:w="3005" w:type="dxa"/>
          </w:tcPr>
          <w:p w14:paraId="5E678D7E" w14:textId="6569339D"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Total liabilities</w:t>
            </w:r>
          </w:p>
        </w:tc>
        <w:tc>
          <w:tcPr>
            <w:tcW w:w="3005" w:type="dxa"/>
          </w:tcPr>
          <w:p w14:paraId="45AC0D0A" w14:textId="1FEA61F0" w:rsidR="00EA1250" w:rsidRDefault="00925B3E" w:rsidP="004B5C20">
            <w:pPr>
              <w:jc w:val="both"/>
            </w:pPr>
            <w:r>
              <w:t>0.05</w:t>
            </w:r>
          </w:p>
        </w:tc>
        <w:tc>
          <w:tcPr>
            <w:tcW w:w="3006" w:type="dxa"/>
          </w:tcPr>
          <w:p w14:paraId="747D128B" w14:textId="27938AFE" w:rsidR="00EA1250" w:rsidRDefault="00925B3E" w:rsidP="004B5C20">
            <w:pPr>
              <w:jc w:val="both"/>
            </w:pPr>
            <w:r>
              <w:t>0.11</w:t>
            </w:r>
          </w:p>
        </w:tc>
      </w:tr>
      <w:tr w:rsidR="00EA1250" w14:paraId="601AA9AC" w14:textId="77777777" w:rsidTr="00956C2C">
        <w:tc>
          <w:tcPr>
            <w:tcW w:w="3005" w:type="dxa"/>
          </w:tcPr>
          <w:p w14:paraId="4BA84DC4" w14:textId="54E77C4D"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Common stock and additional paid in capital, $0.00001 par value: 12,600,000 shares authorized; 4,443,236 and 4,754,986 shares issued and outstanding, respectively</w:t>
            </w:r>
          </w:p>
        </w:tc>
        <w:tc>
          <w:tcPr>
            <w:tcW w:w="3005" w:type="dxa"/>
          </w:tcPr>
          <w:p w14:paraId="12BC3D96" w14:textId="5DF160FA" w:rsidR="00EA1250" w:rsidRDefault="00925B3E" w:rsidP="004B5C20">
            <w:pPr>
              <w:jc w:val="both"/>
            </w:pPr>
            <w:r>
              <w:t>0.13</w:t>
            </w:r>
          </w:p>
        </w:tc>
        <w:tc>
          <w:tcPr>
            <w:tcW w:w="3006" w:type="dxa"/>
          </w:tcPr>
          <w:p w14:paraId="5A934DC0" w14:textId="649C3625" w:rsidR="00EA1250" w:rsidRDefault="00925B3E" w:rsidP="004B5C20">
            <w:pPr>
              <w:jc w:val="both"/>
            </w:pPr>
            <w:r>
              <w:t>0.13</w:t>
            </w:r>
          </w:p>
        </w:tc>
      </w:tr>
      <w:tr w:rsidR="00EA1250" w14:paraId="30B842F8" w14:textId="77777777" w:rsidTr="00956C2C">
        <w:tc>
          <w:tcPr>
            <w:tcW w:w="3005" w:type="dxa"/>
          </w:tcPr>
          <w:p w14:paraId="30476B61" w14:textId="46549CDB"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Retained earnings</w:t>
            </w:r>
          </w:p>
        </w:tc>
        <w:tc>
          <w:tcPr>
            <w:tcW w:w="3005" w:type="dxa"/>
          </w:tcPr>
          <w:p w14:paraId="3EEF23A8" w14:textId="6AAD768A" w:rsidR="00EA1250" w:rsidRDefault="00925B3E" w:rsidP="004B5C20">
            <w:pPr>
              <w:jc w:val="both"/>
            </w:pPr>
            <w:r>
              <w:t>-1.55</w:t>
            </w:r>
          </w:p>
        </w:tc>
        <w:tc>
          <w:tcPr>
            <w:tcW w:w="3006" w:type="dxa"/>
          </w:tcPr>
          <w:p w14:paraId="7737BF71" w14:textId="60F9679A" w:rsidR="00EA1250" w:rsidRDefault="00925B3E" w:rsidP="004B5C20">
            <w:pPr>
              <w:jc w:val="both"/>
            </w:pPr>
            <w:r>
              <w:t>0.37</w:t>
            </w:r>
          </w:p>
        </w:tc>
      </w:tr>
      <w:tr w:rsidR="00EA1250" w14:paraId="73FE2D6D" w14:textId="77777777" w:rsidTr="00956C2C">
        <w:tc>
          <w:tcPr>
            <w:tcW w:w="3005" w:type="dxa"/>
          </w:tcPr>
          <w:p w14:paraId="27326362" w14:textId="37AE9DDD"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Accumulated other comprehensive income/(loss)</w:t>
            </w:r>
          </w:p>
        </w:tc>
        <w:tc>
          <w:tcPr>
            <w:tcW w:w="3005" w:type="dxa"/>
          </w:tcPr>
          <w:p w14:paraId="531B6B4F" w14:textId="78123A30" w:rsidR="00EA1250" w:rsidRDefault="00925B3E" w:rsidP="004B5C20">
            <w:pPr>
              <w:jc w:val="both"/>
            </w:pPr>
            <w:r>
              <w:t>-69.15</w:t>
            </w:r>
          </w:p>
        </w:tc>
        <w:tc>
          <w:tcPr>
            <w:tcW w:w="3006" w:type="dxa"/>
          </w:tcPr>
          <w:p w14:paraId="5DF0A531" w14:textId="199AB181" w:rsidR="00EA1250" w:rsidRDefault="00925B3E" w:rsidP="004B5C20">
            <w:pPr>
              <w:jc w:val="both"/>
            </w:pPr>
            <w:r>
              <w:t>-1.40</w:t>
            </w:r>
          </w:p>
        </w:tc>
      </w:tr>
      <w:tr w:rsidR="00EA1250" w14:paraId="6A66F117" w14:textId="77777777" w:rsidTr="00956C2C">
        <w:tc>
          <w:tcPr>
            <w:tcW w:w="3005" w:type="dxa"/>
          </w:tcPr>
          <w:p w14:paraId="5A0D3DE8" w14:textId="6CDBB376"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Total shareholders’ equity</w:t>
            </w:r>
          </w:p>
        </w:tc>
        <w:tc>
          <w:tcPr>
            <w:tcW w:w="3005" w:type="dxa"/>
          </w:tcPr>
          <w:p w14:paraId="490CCB51" w14:textId="71C3A6F7" w:rsidR="00EA1250" w:rsidRDefault="00925B3E" w:rsidP="004B5C20">
            <w:pPr>
              <w:jc w:val="both"/>
            </w:pPr>
            <w:r>
              <w:t>-0.20</w:t>
            </w:r>
          </w:p>
        </w:tc>
        <w:tc>
          <w:tcPr>
            <w:tcW w:w="3006" w:type="dxa"/>
          </w:tcPr>
          <w:p w14:paraId="0AE0BAB2" w14:textId="60DA0B5C" w:rsidR="00EA1250" w:rsidRDefault="00925B3E" w:rsidP="004B5C20">
            <w:pPr>
              <w:jc w:val="both"/>
            </w:pPr>
            <w:r>
              <w:t>-0.03</w:t>
            </w:r>
          </w:p>
        </w:tc>
      </w:tr>
      <w:tr w:rsidR="00EA1250" w14:paraId="4BF2AD64" w14:textId="77777777" w:rsidTr="00956C2C">
        <w:tc>
          <w:tcPr>
            <w:tcW w:w="3005" w:type="dxa"/>
          </w:tcPr>
          <w:p w14:paraId="02861B55" w14:textId="68DC06A7" w:rsidR="00EA1250" w:rsidRPr="00EA1250" w:rsidRDefault="00EA1250" w:rsidP="004B5C20">
            <w:pPr>
              <w:jc w:val="both"/>
              <w:rPr>
                <w:rFonts w:ascii="Calibri" w:hAnsi="Calibri" w:cs="Calibri"/>
                <w:color w:val="000000"/>
                <w:sz w:val="22"/>
                <w:szCs w:val="22"/>
              </w:rPr>
            </w:pPr>
            <w:r w:rsidRPr="00EA1250">
              <w:rPr>
                <w:rFonts w:ascii="Calibri" w:hAnsi="Calibri" w:cs="Calibri"/>
                <w:color w:val="000000"/>
                <w:sz w:val="22"/>
                <w:szCs w:val="22"/>
              </w:rPr>
              <w:t>Total liabilities and shareholders’ equity</w:t>
            </w:r>
          </w:p>
        </w:tc>
        <w:tc>
          <w:tcPr>
            <w:tcW w:w="3005" w:type="dxa"/>
          </w:tcPr>
          <w:p w14:paraId="6DD32C2C" w14:textId="29F271E9" w:rsidR="00EA1250" w:rsidRDefault="00925B3E" w:rsidP="004B5C20">
            <w:pPr>
              <w:jc w:val="both"/>
            </w:pPr>
            <w:r>
              <w:t>0.00</w:t>
            </w:r>
          </w:p>
        </w:tc>
        <w:tc>
          <w:tcPr>
            <w:tcW w:w="3006" w:type="dxa"/>
          </w:tcPr>
          <w:p w14:paraId="595278D7" w14:textId="66C8FBB8" w:rsidR="00EA1250" w:rsidRDefault="00925B3E" w:rsidP="004B5C20">
            <w:pPr>
              <w:jc w:val="both"/>
            </w:pPr>
            <w:r>
              <w:t>0.08</w:t>
            </w:r>
          </w:p>
        </w:tc>
      </w:tr>
    </w:tbl>
    <w:p w14:paraId="6877C3BC" w14:textId="77777777" w:rsidR="00956C2C" w:rsidRDefault="00956C2C" w:rsidP="004B5C20">
      <w:pPr>
        <w:jc w:val="both"/>
      </w:pPr>
    </w:p>
    <w:p w14:paraId="720E2EA9" w14:textId="77777777" w:rsidR="007A47AC" w:rsidRDefault="007A47AC" w:rsidP="004B5C20">
      <w:pPr>
        <w:jc w:val="both"/>
        <w:rPr>
          <w:b/>
          <w:bCs/>
        </w:rPr>
      </w:pPr>
      <w:r>
        <w:rPr>
          <w:b/>
          <w:bCs/>
        </w:rPr>
        <w:t>ANALYSIS</w:t>
      </w:r>
    </w:p>
    <w:p w14:paraId="4D58B0B3" w14:textId="301DAA2B" w:rsidR="009357C5" w:rsidRPr="009357C5" w:rsidRDefault="009357C5" w:rsidP="009357C5">
      <w:pPr>
        <w:jc w:val="both"/>
      </w:pPr>
      <w:r w:rsidRPr="009357C5">
        <w:t xml:space="preserve">Regarding the balance sheet items, the growth rate depicts a mixed performance. Significant reductions in cash and cash equivalents, as well as marketable securities, raise liquidity concerns, as highlighted by the analysis of liquidity ratios. Inventories showed a declining growth rate over the three-year period, which may indicate efficient inventory management or a reduction in </w:t>
      </w:r>
      <w:proofErr w:type="spellStart"/>
      <w:proofErr w:type="gramStart"/>
      <w:r w:rsidRPr="009357C5">
        <w:t>demand.The</w:t>
      </w:r>
      <w:proofErr w:type="spellEnd"/>
      <w:proofErr w:type="gramEnd"/>
      <w:r w:rsidRPr="009357C5">
        <w:t xml:space="preserve"> significant increase in accounts payable and current liabilities suggests a higher reliance on short-term financing. Additionally, the decreasing growth rate in accumulated other comprehensive income and retained earnings points to challenges in sustaining profitability and equity value.</w:t>
      </w:r>
    </w:p>
    <w:p w14:paraId="10805E85" w14:textId="77777777" w:rsidR="009357C5" w:rsidRDefault="009357C5" w:rsidP="004B5C20">
      <w:pPr>
        <w:jc w:val="both"/>
        <w:rPr>
          <w:b/>
          <w:bCs/>
        </w:rPr>
      </w:pPr>
    </w:p>
    <w:p w14:paraId="35B37F20" w14:textId="2F5950E0" w:rsidR="00EA1250" w:rsidRPr="001E7492" w:rsidRDefault="00EA1250" w:rsidP="004B5C20">
      <w:pPr>
        <w:jc w:val="both"/>
        <w:rPr>
          <w:b/>
          <w:bCs/>
        </w:rPr>
      </w:pPr>
      <w:r w:rsidRPr="001E7492">
        <w:rPr>
          <w:b/>
          <w:bCs/>
        </w:rPr>
        <w:t>MARGIN AS A PERCENTAGE OF NET SALES</w:t>
      </w:r>
    </w:p>
    <w:tbl>
      <w:tblPr>
        <w:tblStyle w:val="TableGrid"/>
        <w:tblW w:w="0" w:type="auto"/>
        <w:tblLook w:val="04A0" w:firstRow="1" w:lastRow="0" w:firstColumn="1" w:lastColumn="0" w:noHBand="0" w:noVBand="1"/>
      </w:tblPr>
      <w:tblGrid>
        <w:gridCol w:w="2254"/>
        <w:gridCol w:w="2254"/>
        <w:gridCol w:w="2254"/>
        <w:gridCol w:w="2254"/>
      </w:tblGrid>
      <w:tr w:rsidR="00EA1250" w14:paraId="60627B91" w14:textId="77777777" w:rsidTr="00EA1250">
        <w:tc>
          <w:tcPr>
            <w:tcW w:w="2254" w:type="dxa"/>
          </w:tcPr>
          <w:p w14:paraId="0CE22FED" w14:textId="36E6EE78" w:rsidR="00EA1250" w:rsidRPr="00B47BC6" w:rsidRDefault="00EA1250" w:rsidP="004B5C20">
            <w:pPr>
              <w:jc w:val="both"/>
              <w:rPr>
                <w:b/>
                <w:bCs/>
              </w:rPr>
            </w:pPr>
            <w:r w:rsidRPr="00B47BC6">
              <w:rPr>
                <w:b/>
                <w:bCs/>
              </w:rPr>
              <w:t>ITEM</w:t>
            </w:r>
          </w:p>
        </w:tc>
        <w:tc>
          <w:tcPr>
            <w:tcW w:w="2254" w:type="dxa"/>
          </w:tcPr>
          <w:p w14:paraId="5C555D74" w14:textId="2BE70771" w:rsidR="00EA1250" w:rsidRPr="00B47BC6" w:rsidRDefault="00EA1250" w:rsidP="004B5C20">
            <w:pPr>
              <w:jc w:val="both"/>
              <w:rPr>
                <w:b/>
                <w:bCs/>
              </w:rPr>
            </w:pPr>
            <w:r w:rsidRPr="00B47BC6">
              <w:rPr>
                <w:b/>
                <w:bCs/>
              </w:rPr>
              <w:t>2022</w:t>
            </w:r>
          </w:p>
        </w:tc>
        <w:tc>
          <w:tcPr>
            <w:tcW w:w="2254" w:type="dxa"/>
          </w:tcPr>
          <w:p w14:paraId="51EF1A7C" w14:textId="16C5F7BD" w:rsidR="00EA1250" w:rsidRPr="00B47BC6" w:rsidRDefault="00EA1250" w:rsidP="004B5C20">
            <w:pPr>
              <w:jc w:val="both"/>
              <w:rPr>
                <w:b/>
                <w:bCs/>
              </w:rPr>
            </w:pPr>
            <w:r w:rsidRPr="00B47BC6">
              <w:rPr>
                <w:b/>
                <w:bCs/>
              </w:rPr>
              <w:t>2021</w:t>
            </w:r>
          </w:p>
        </w:tc>
        <w:tc>
          <w:tcPr>
            <w:tcW w:w="2254" w:type="dxa"/>
          </w:tcPr>
          <w:p w14:paraId="5CD7DDBD" w14:textId="0566D056" w:rsidR="00EA1250" w:rsidRPr="00B47BC6" w:rsidRDefault="00EA1250" w:rsidP="004B5C20">
            <w:pPr>
              <w:jc w:val="both"/>
              <w:rPr>
                <w:b/>
                <w:bCs/>
              </w:rPr>
            </w:pPr>
            <w:r w:rsidRPr="00B47BC6">
              <w:rPr>
                <w:b/>
                <w:bCs/>
              </w:rPr>
              <w:t>2020</w:t>
            </w:r>
          </w:p>
        </w:tc>
      </w:tr>
      <w:tr w:rsidR="00EA1250" w14:paraId="2C27E7EE" w14:textId="77777777" w:rsidTr="00EA1250">
        <w:tc>
          <w:tcPr>
            <w:tcW w:w="2254" w:type="dxa"/>
          </w:tcPr>
          <w:p w14:paraId="3D2B56B2" w14:textId="40B4D5D3" w:rsidR="00EA1250" w:rsidRDefault="00EA1250" w:rsidP="004B5C20">
            <w:pPr>
              <w:jc w:val="both"/>
            </w:pPr>
            <w:r w:rsidRPr="00EA1250">
              <w:t>COGS (Cost of goods sold)</w:t>
            </w:r>
          </w:p>
        </w:tc>
        <w:tc>
          <w:tcPr>
            <w:tcW w:w="2254" w:type="dxa"/>
          </w:tcPr>
          <w:p w14:paraId="42A9CF85" w14:textId="4D4F8326" w:rsidR="00EA1250" w:rsidRDefault="00925B3E" w:rsidP="004B5C20">
            <w:pPr>
              <w:jc w:val="both"/>
            </w:pPr>
            <w:r>
              <w:t>0.57</w:t>
            </w:r>
          </w:p>
        </w:tc>
        <w:tc>
          <w:tcPr>
            <w:tcW w:w="2254" w:type="dxa"/>
          </w:tcPr>
          <w:p w14:paraId="078AE787" w14:textId="0CF9F4AD" w:rsidR="00EA1250" w:rsidRDefault="00925B3E" w:rsidP="004B5C20">
            <w:pPr>
              <w:jc w:val="both"/>
            </w:pPr>
            <w:r>
              <w:t>0.58</w:t>
            </w:r>
          </w:p>
        </w:tc>
        <w:tc>
          <w:tcPr>
            <w:tcW w:w="2254" w:type="dxa"/>
          </w:tcPr>
          <w:p w14:paraId="76E0E115" w14:textId="003C1593" w:rsidR="00EA1250" w:rsidRDefault="00925B3E" w:rsidP="004B5C20">
            <w:pPr>
              <w:jc w:val="both"/>
            </w:pPr>
            <w:r>
              <w:t>0.62</w:t>
            </w:r>
          </w:p>
        </w:tc>
      </w:tr>
      <w:tr w:rsidR="00EA1250" w14:paraId="0C6DFD35" w14:textId="77777777" w:rsidTr="00EA1250">
        <w:tc>
          <w:tcPr>
            <w:tcW w:w="2254" w:type="dxa"/>
          </w:tcPr>
          <w:p w14:paraId="11F94E56" w14:textId="6F753655" w:rsidR="00EA1250" w:rsidRDefault="00EA1250" w:rsidP="004B5C20">
            <w:pPr>
              <w:jc w:val="both"/>
            </w:pPr>
            <w:r w:rsidRPr="00EA1250">
              <w:t>Gross profits</w:t>
            </w:r>
          </w:p>
        </w:tc>
        <w:tc>
          <w:tcPr>
            <w:tcW w:w="2254" w:type="dxa"/>
          </w:tcPr>
          <w:p w14:paraId="243EE78D" w14:textId="4ADBD0F3" w:rsidR="00EA1250" w:rsidRDefault="00925B3E" w:rsidP="004B5C20">
            <w:pPr>
              <w:jc w:val="both"/>
            </w:pPr>
            <w:r>
              <w:t>0.43</w:t>
            </w:r>
          </w:p>
        </w:tc>
        <w:tc>
          <w:tcPr>
            <w:tcW w:w="2254" w:type="dxa"/>
          </w:tcPr>
          <w:p w14:paraId="1C45C971" w14:textId="1416BA8C" w:rsidR="00EA1250" w:rsidRDefault="00925B3E" w:rsidP="004B5C20">
            <w:pPr>
              <w:jc w:val="both"/>
            </w:pPr>
            <w:r>
              <w:t>0.42</w:t>
            </w:r>
          </w:p>
        </w:tc>
        <w:tc>
          <w:tcPr>
            <w:tcW w:w="2254" w:type="dxa"/>
          </w:tcPr>
          <w:p w14:paraId="3C4DB6E3" w14:textId="0BD02201" w:rsidR="00EA1250" w:rsidRDefault="00925B3E" w:rsidP="004B5C20">
            <w:pPr>
              <w:jc w:val="both"/>
            </w:pPr>
            <w:r>
              <w:t>0.38</w:t>
            </w:r>
          </w:p>
        </w:tc>
      </w:tr>
      <w:tr w:rsidR="00EA1250" w14:paraId="428D5DFC" w14:textId="77777777" w:rsidTr="00EA1250">
        <w:tc>
          <w:tcPr>
            <w:tcW w:w="2254" w:type="dxa"/>
          </w:tcPr>
          <w:p w14:paraId="72978C74" w14:textId="7CB6F0A7" w:rsidR="00EA1250" w:rsidRDefault="00EA1250" w:rsidP="004B5C20">
            <w:pPr>
              <w:jc w:val="both"/>
            </w:pPr>
            <w:r w:rsidRPr="00EA1250">
              <w:t>Research and development</w:t>
            </w:r>
          </w:p>
        </w:tc>
        <w:tc>
          <w:tcPr>
            <w:tcW w:w="2254" w:type="dxa"/>
          </w:tcPr>
          <w:p w14:paraId="3AF432CE" w14:textId="1EA69E78" w:rsidR="00EA1250" w:rsidRDefault="00925B3E" w:rsidP="004B5C20">
            <w:pPr>
              <w:jc w:val="both"/>
            </w:pPr>
            <w:r>
              <w:t>0.07</w:t>
            </w:r>
          </w:p>
        </w:tc>
        <w:tc>
          <w:tcPr>
            <w:tcW w:w="2254" w:type="dxa"/>
          </w:tcPr>
          <w:p w14:paraId="454DDBA2" w14:textId="10F97817" w:rsidR="00EA1250" w:rsidRDefault="00925B3E" w:rsidP="004B5C20">
            <w:pPr>
              <w:jc w:val="both"/>
            </w:pPr>
            <w:r>
              <w:t>0.06</w:t>
            </w:r>
          </w:p>
        </w:tc>
        <w:tc>
          <w:tcPr>
            <w:tcW w:w="2254" w:type="dxa"/>
          </w:tcPr>
          <w:p w14:paraId="56EFA4AD" w14:textId="30561589" w:rsidR="00EA1250" w:rsidRDefault="00925B3E" w:rsidP="004B5C20">
            <w:pPr>
              <w:jc w:val="both"/>
            </w:pPr>
            <w:r>
              <w:t>0.07</w:t>
            </w:r>
          </w:p>
        </w:tc>
      </w:tr>
      <w:tr w:rsidR="00EA1250" w14:paraId="0E05B837" w14:textId="77777777" w:rsidTr="00EA1250">
        <w:tc>
          <w:tcPr>
            <w:tcW w:w="2254" w:type="dxa"/>
          </w:tcPr>
          <w:p w14:paraId="445B5DEB" w14:textId="0C248CEE" w:rsidR="00EA1250" w:rsidRDefault="00EA1250" w:rsidP="004B5C20">
            <w:pPr>
              <w:jc w:val="both"/>
            </w:pPr>
            <w:r w:rsidRPr="00EA1250">
              <w:t>Selling, general and administrative</w:t>
            </w:r>
          </w:p>
        </w:tc>
        <w:tc>
          <w:tcPr>
            <w:tcW w:w="2254" w:type="dxa"/>
          </w:tcPr>
          <w:p w14:paraId="002EE441" w14:textId="41FC1FE9" w:rsidR="00EA1250" w:rsidRDefault="00925B3E" w:rsidP="004B5C20">
            <w:pPr>
              <w:jc w:val="both"/>
            </w:pPr>
            <w:r>
              <w:t>0.06</w:t>
            </w:r>
          </w:p>
        </w:tc>
        <w:tc>
          <w:tcPr>
            <w:tcW w:w="2254" w:type="dxa"/>
          </w:tcPr>
          <w:p w14:paraId="21F749F6" w14:textId="6BE54CEB" w:rsidR="00EA1250" w:rsidRDefault="00925B3E" w:rsidP="004B5C20">
            <w:pPr>
              <w:jc w:val="both"/>
            </w:pPr>
            <w:r>
              <w:t>0.06</w:t>
            </w:r>
          </w:p>
        </w:tc>
        <w:tc>
          <w:tcPr>
            <w:tcW w:w="2254" w:type="dxa"/>
          </w:tcPr>
          <w:p w14:paraId="26DD2CA0" w14:textId="4024375B" w:rsidR="00EA1250" w:rsidRDefault="00925B3E" w:rsidP="004B5C20">
            <w:pPr>
              <w:jc w:val="both"/>
            </w:pPr>
            <w:r>
              <w:t>0.07</w:t>
            </w:r>
          </w:p>
        </w:tc>
      </w:tr>
      <w:tr w:rsidR="00EA1250" w14:paraId="733C6449" w14:textId="77777777" w:rsidTr="00EA1250">
        <w:tc>
          <w:tcPr>
            <w:tcW w:w="2254" w:type="dxa"/>
          </w:tcPr>
          <w:p w14:paraId="60399213" w14:textId="07230C0B" w:rsidR="00EA1250" w:rsidRPr="00EA1250" w:rsidRDefault="00EA1250" w:rsidP="004B5C20">
            <w:pPr>
              <w:jc w:val="both"/>
            </w:pPr>
            <w:r w:rsidRPr="00EA1250">
              <w:t>Operating income</w:t>
            </w:r>
          </w:p>
        </w:tc>
        <w:tc>
          <w:tcPr>
            <w:tcW w:w="2254" w:type="dxa"/>
          </w:tcPr>
          <w:p w14:paraId="1BA5D1CC" w14:textId="0CF48416" w:rsidR="00EA1250" w:rsidRDefault="00925B3E" w:rsidP="004B5C20">
            <w:pPr>
              <w:jc w:val="both"/>
            </w:pPr>
            <w:r>
              <w:t>0.30</w:t>
            </w:r>
          </w:p>
        </w:tc>
        <w:tc>
          <w:tcPr>
            <w:tcW w:w="2254" w:type="dxa"/>
          </w:tcPr>
          <w:p w14:paraId="436E525B" w14:textId="01E1F5B0" w:rsidR="00EA1250" w:rsidRDefault="00925B3E" w:rsidP="004B5C20">
            <w:pPr>
              <w:jc w:val="both"/>
            </w:pPr>
            <w:r>
              <w:t>0.30</w:t>
            </w:r>
          </w:p>
        </w:tc>
        <w:tc>
          <w:tcPr>
            <w:tcW w:w="2254" w:type="dxa"/>
          </w:tcPr>
          <w:p w14:paraId="7A5A3F54" w14:textId="776F72D5" w:rsidR="00EA1250" w:rsidRDefault="00925B3E" w:rsidP="004B5C20">
            <w:pPr>
              <w:jc w:val="both"/>
            </w:pPr>
            <w:r>
              <w:t>0.24</w:t>
            </w:r>
          </w:p>
        </w:tc>
      </w:tr>
      <w:tr w:rsidR="00EA1250" w14:paraId="4238235F" w14:textId="77777777" w:rsidTr="00EA1250">
        <w:tc>
          <w:tcPr>
            <w:tcW w:w="2254" w:type="dxa"/>
          </w:tcPr>
          <w:p w14:paraId="5D8646B0" w14:textId="0E5558D2" w:rsidR="00EA1250" w:rsidRPr="00EA1250" w:rsidRDefault="00EA1250" w:rsidP="004B5C20">
            <w:pPr>
              <w:jc w:val="both"/>
            </w:pPr>
            <w:r w:rsidRPr="00EA1250">
              <w:t>Net profit</w:t>
            </w:r>
          </w:p>
        </w:tc>
        <w:tc>
          <w:tcPr>
            <w:tcW w:w="2254" w:type="dxa"/>
          </w:tcPr>
          <w:p w14:paraId="0352BA37" w14:textId="05A57885" w:rsidR="00EA1250" w:rsidRDefault="00925B3E" w:rsidP="004B5C20">
            <w:pPr>
              <w:jc w:val="both"/>
            </w:pPr>
            <w:r>
              <w:t>0.25</w:t>
            </w:r>
          </w:p>
        </w:tc>
        <w:tc>
          <w:tcPr>
            <w:tcW w:w="2254" w:type="dxa"/>
          </w:tcPr>
          <w:p w14:paraId="17BE6F27" w14:textId="0795C68B" w:rsidR="00EA1250" w:rsidRDefault="00925B3E" w:rsidP="004B5C20">
            <w:pPr>
              <w:jc w:val="both"/>
            </w:pPr>
            <w:r>
              <w:t>0.26</w:t>
            </w:r>
          </w:p>
        </w:tc>
        <w:tc>
          <w:tcPr>
            <w:tcW w:w="2254" w:type="dxa"/>
          </w:tcPr>
          <w:p w14:paraId="7FBAF439" w14:textId="212A531B" w:rsidR="00EA1250" w:rsidRDefault="00925B3E" w:rsidP="004B5C20">
            <w:pPr>
              <w:jc w:val="both"/>
            </w:pPr>
            <w:r>
              <w:t>0.21</w:t>
            </w:r>
          </w:p>
        </w:tc>
      </w:tr>
    </w:tbl>
    <w:p w14:paraId="1CA638E3" w14:textId="1E9C36DA" w:rsidR="00EA1250" w:rsidRDefault="00EA1250" w:rsidP="004B5C20">
      <w:pPr>
        <w:jc w:val="both"/>
      </w:pPr>
    </w:p>
    <w:p w14:paraId="529B4D4A" w14:textId="77777777" w:rsidR="00B47BC6" w:rsidRDefault="00B47BC6" w:rsidP="004B5C20">
      <w:pPr>
        <w:jc w:val="both"/>
      </w:pPr>
    </w:p>
    <w:p w14:paraId="795CB7B1" w14:textId="77777777" w:rsidR="00B47BC6" w:rsidRDefault="00B47BC6" w:rsidP="004B5C20">
      <w:pPr>
        <w:jc w:val="both"/>
      </w:pPr>
    </w:p>
    <w:p w14:paraId="46BBAD6E" w14:textId="371B02AB" w:rsidR="009357C5" w:rsidRDefault="004966BB" w:rsidP="004B5C20">
      <w:pPr>
        <w:jc w:val="both"/>
        <w:rPr>
          <w:b/>
          <w:bCs/>
        </w:rPr>
      </w:pPr>
      <w:r>
        <w:rPr>
          <w:noProof/>
        </w:rPr>
        <w:lastRenderedPageBreak/>
        <w:drawing>
          <wp:inline distT="0" distB="0" distL="0" distR="0" wp14:anchorId="22422DBE" wp14:editId="6DDE90C5">
            <wp:extent cx="4572000" cy="2743200"/>
            <wp:effectExtent l="0" t="0" r="0" b="0"/>
            <wp:docPr id="1990563682" name="Chart 1">
              <a:extLst xmlns:a="http://schemas.openxmlformats.org/drawingml/2006/main">
                <a:ext uri="{FF2B5EF4-FFF2-40B4-BE49-F238E27FC236}">
                  <a16:creationId xmlns:a16="http://schemas.microsoft.com/office/drawing/2014/main" id="{241E396E-4524-8AEC-6F5A-7C2A21A707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FE2AAE" w14:textId="4A7D5F3E" w:rsidR="006C7FB8" w:rsidRPr="009357C5" w:rsidRDefault="006C7FB8" w:rsidP="004B5C20">
      <w:pPr>
        <w:jc w:val="both"/>
        <w:rPr>
          <w:b/>
          <w:bCs/>
        </w:rPr>
      </w:pPr>
      <w:r w:rsidRPr="009357C5">
        <w:rPr>
          <w:b/>
          <w:bCs/>
        </w:rPr>
        <w:t>ANALYSIS</w:t>
      </w:r>
    </w:p>
    <w:p w14:paraId="1D881970" w14:textId="5A75E239" w:rsidR="001E7492" w:rsidRPr="001E7492" w:rsidRDefault="006C7FB8" w:rsidP="004B5C20">
      <w:pPr>
        <w:jc w:val="both"/>
      </w:pPr>
      <w:r>
        <w:t xml:space="preserve">The significant reduction in the percentage </w:t>
      </w:r>
      <w:r w:rsidR="001E7492" w:rsidRPr="001E7492">
        <w:t>C</w:t>
      </w:r>
      <w:r>
        <w:t xml:space="preserve">ost of goods sold </w:t>
      </w:r>
      <w:r w:rsidR="001E7492" w:rsidRPr="001E7492">
        <w:t xml:space="preserve">as a percentage of net sales has decreased from 62% in 2020 to 57% in 2022. This reduction suggests improved efficiency in </w:t>
      </w:r>
      <w:r w:rsidR="009357C5" w:rsidRPr="001E7492">
        <w:t>production. Gross</w:t>
      </w:r>
      <w:r w:rsidR="001E7492" w:rsidRPr="001E7492">
        <w:t xml:space="preserve"> profit margins have increased from 38% in 2020 to 43% in 2022</w:t>
      </w:r>
      <w:r>
        <w:t xml:space="preserve"> which also shows </w:t>
      </w:r>
      <w:r w:rsidRPr="006C7FB8">
        <w:t>better cost management or pricing strategies that enhance profitability.</w:t>
      </w:r>
    </w:p>
    <w:p w14:paraId="4A9E8E34" w14:textId="63C6A6B1" w:rsidR="001E7492" w:rsidRPr="001E7492" w:rsidRDefault="001E7492" w:rsidP="004B5C20">
      <w:pPr>
        <w:jc w:val="both"/>
      </w:pPr>
      <w:r w:rsidRPr="001E7492">
        <w:t>R</w:t>
      </w:r>
      <w:r w:rsidR="006C7FB8">
        <w:t>esearch and development</w:t>
      </w:r>
      <w:r w:rsidRPr="001E7492">
        <w:t xml:space="preserve"> expenses as a percentage of net sales have remained relatively stable, with a slight </w:t>
      </w:r>
      <w:r w:rsidR="006C7FB8">
        <w:t>increase</w:t>
      </w:r>
      <w:r w:rsidRPr="001E7492">
        <w:t xml:space="preserve"> in 2021</w:t>
      </w:r>
      <w:r w:rsidR="006C7FB8">
        <w:t xml:space="preserve"> whereas selling, general and </w:t>
      </w:r>
      <w:r w:rsidR="009357C5">
        <w:t xml:space="preserve">administrative </w:t>
      </w:r>
      <w:r w:rsidR="009357C5" w:rsidRPr="001E7492">
        <w:t>expenses</w:t>
      </w:r>
      <w:r w:rsidRPr="001E7492">
        <w:t xml:space="preserve"> have also remained stable, with a slight reduction from 7% in 2020 to 6% in 2021 and 2022 reflect</w:t>
      </w:r>
      <w:r w:rsidR="006C7FB8">
        <w:t xml:space="preserve">ing </w:t>
      </w:r>
      <w:r w:rsidRPr="001E7492">
        <w:t>effective cost management</w:t>
      </w:r>
      <w:r w:rsidR="006C7FB8">
        <w:t>.</w:t>
      </w:r>
    </w:p>
    <w:p w14:paraId="324954FF" w14:textId="5F3034DE" w:rsidR="001E7492" w:rsidRPr="001E7492" w:rsidRDefault="001E7492" w:rsidP="004B5C20">
      <w:pPr>
        <w:jc w:val="both"/>
      </w:pPr>
      <w:r w:rsidRPr="001E7492">
        <w:t>Operating income margins have improved from 24% in 2020 to 30% in 2021 and remained steady in 2022</w:t>
      </w:r>
      <w:r w:rsidR="006C7FB8">
        <w:t xml:space="preserve"> implying </w:t>
      </w:r>
      <w:r w:rsidR="006C7FB8" w:rsidRPr="001E7492">
        <w:t>that</w:t>
      </w:r>
      <w:r w:rsidRPr="001E7492">
        <w:t xml:space="preserve"> Apple</w:t>
      </w:r>
      <w:r w:rsidR="006C7FB8">
        <w:t xml:space="preserve"> Inc.</w:t>
      </w:r>
      <w:r w:rsidRPr="001E7492">
        <w:t xml:space="preserve"> has managed to convert a larger portion of its sales into operating profit.</w:t>
      </w:r>
    </w:p>
    <w:p w14:paraId="02B2E09C" w14:textId="4C36F6D8" w:rsidR="001E7492" w:rsidRPr="001E7492" w:rsidRDefault="001E7492" w:rsidP="004B5C20">
      <w:pPr>
        <w:jc w:val="both"/>
      </w:pPr>
      <w:r w:rsidRPr="001E7492">
        <w:t>Net profit margins increased from 21% in 2020 to 26% in 2021, before slightly declining to 25% in 2022. The overall improvement over the three years indicates strong profitability.</w:t>
      </w:r>
    </w:p>
    <w:p w14:paraId="1B20095F" w14:textId="069CECDD" w:rsidR="002E592D" w:rsidRPr="002E592D" w:rsidRDefault="002E592D" w:rsidP="004B5C20">
      <w:pPr>
        <w:jc w:val="both"/>
        <w:rPr>
          <w:b/>
          <w:bCs/>
        </w:rPr>
      </w:pPr>
      <w:r w:rsidRPr="002E592D">
        <w:rPr>
          <w:b/>
          <w:bCs/>
        </w:rPr>
        <w:t>SUMMARY</w:t>
      </w:r>
    </w:p>
    <w:p w14:paraId="0A89D147" w14:textId="7E7028B9" w:rsidR="009357C5" w:rsidRPr="009357C5" w:rsidRDefault="005B4DEB" w:rsidP="009357C5">
      <w:pPr>
        <w:jc w:val="both"/>
      </w:pPr>
      <w:r w:rsidRPr="009357C5">
        <w:t xml:space="preserve">In conclusion, </w:t>
      </w:r>
      <w:r w:rsidR="001E7492" w:rsidRPr="001E7492">
        <w:t xml:space="preserve">Apple's financial performance exhibits strong profitability, with improving gross profit and operating income margins. The stability in </w:t>
      </w:r>
      <w:r>
        <w:t>Research and development costs</w:t>
      </w:r>
      <w:r w:rsidR="001E7492" w:rsidRPr="001E7492">
        <w:t xml:space="preserve"> and S</w:t>
      </w:r>
      <w:r>
        <w:t xml:space="preserve">elling </w:t>
      </w:r>
      <w:r w:rsidR="001E7492" w:rsidRPr="001E7492">
        <w:t>G</w:t>
      </w:r>
      <w:r>
        <w:t>eneral and administrative</w:t>
      </w:r>
      <w:r w:rsidR="001E7492" w:rsidRPr="001E7492">
        <w:t xml:space="preserve"> expenses as a percentage of net sales highlights effective cost management. However, the slight decline in net profit margin from 2021 to 2022 may indicate emerging challenges that need to be </w:t>
      </w:r>
      <w:r w:rsidR="002E592D" w:rsidRPr="001E7492">
        <w:t>addressed</w:t>
      </w:r>
      <w:r w:rsidR="002E592D">
        <w:t>.</w:t>
      </w:r>
      <w:r w:rsidR="002E592D" w:rsidRPr="009357C5">
        <w:t xml:space="preserve"> Effective</w:t>
      </w:r>
      <w:r w:rsidR="009357C5" w:rsidRPr="009357C5">
        <w:t xml:space="preserve"> management of these elements </w:t>
      </w:r>
      <w:r w:rsidR="009357C5">
        <w:t xml:space="preserve">mentioned </w:t>
      </w:r>
      <w:r w:rsidR="009357C5" w:rsidRPr="009357C5">
        <w:t>will be crucial for ensuring the company's long-term financial stability and growth.</w:t>
      </w:r>
    </w:p>
    <w:p w14:paraId="66B1A7E7" w14:textId="77777777" w:rsidR="001E7492" w:rsidRDefault="001E7492" w:rsidP="004B5C20">
      <w:pPr>
        <w:jc w:val="both"/>
      </w:pPr>
    </w:p>
    <w:sectPr w:rsidR="001E749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C87C5" w14:textId="77777777" w:rsidR="00EC16AE" w:rsidRDefault="00EC16AE" w:rsidP="0048313B">
      <w:pPr>
        <w:spacing w:after="0" w:line="240" w:lineRule="auto"/>
      </w:pPr>
      <w:r>
        <w:separator/>
      </w:r>
    </w:p>
  </w:endnote>
  <w:endnote w:type="continuationSeparator" w:id="0">
    <w:p w14:paraId="62329166" w14:textId="77777777" w:rsidR="00EC16AE" w:rsidRDefault="00EC16AE" w:rsidP="0048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413174"/>
      <w:docPartObj>
        <w:docPartGallery w:val="Page Numbers (Bottom of Page)"/>
        <w:docPartUnique/>
      </w:docPartObj>
    </w:sdtPr>
    <w:sdtContent>
      <w:p w14:paraId="4105A46E" w14:textId="75EA4C1F" w:rsidR="0048313B" w:rsidRDefault="0048313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7EC72A9" w14:textId="77777777" w:rsidR="0048313B" w:rsidRDefault="0048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385C7" w14:textId="77777777" w:rsidR="00EC16AE" w:rsidRDefault="00EC16AE" w:rsidP="0048313B">
      <w:pPr>
        <w:spacing w:after="0" w:line="240" w:lineRule="auto"/>
      </w:pPr>
      <w:r>
        <w:separator/>
      </w:r>
    </w:p>
  </w:footnote>
  <w:footnote w:type="continuationSeparator" w:id="0">
    <w:p w14:paraId="049E20BC" w14:textId="77777777" w:rsidR="00EC16AE" w:rsidRDefault="00EC16AE" w:rsidP="00483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194A"/>
    <w:multiLevelType w:val="multilevel"/>
    <w:tmpl w:val="BB74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E3E7A"/>
    <w:multiLevelType w:val="multilevel"/>
    <w:tmpl w:val="408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C6ABB"/>
    <w:multiLevelType w:val="multilevel"/>
    <w:tmpl w:val="B73C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27E8E"/>
    <w:multiLevelType w:val="multilevel"/>
    <w:tmpl w:val="D724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92ED2"/>
    <w:multiLevelType w:val="multilevel"/>
    <w:tmpl w:val="D6A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25439"/>
    <w:multiLevelType w:val="multilevel"/>
    <w:tmpl w:val="AAEE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A1751"/>
    <w:multiLevelType w:val="multilevel"/>
    <w:tmpl w:val="7606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02416"/>
    <w:multiLevelType w:val="multilevel"/>
    <w:tmpl w:val="3AD6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A4718"/>
    <w:multiLevelType w:val="multilevel"/>
    <w:tmpl w:val="291E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13AFC"/>
    <w:multiLevelType w:val="multilevel"/>
    <w:tmpl w:val="12A0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87AAF"/>
    <w:multiLevelType w:val="multilevel"/>
    <w:tmpl w:val="BFA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E3FD8"/>
    <w:multiLevelType w:val="multilevel"/>
    <w:tmpl w:val="10C0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AD52E3"/>
    <w:multiLevelType w:val="multilevel"/>
    <w:tmpl w:val="207A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414AD"/>
    <w:multiLevelType w:val="multilevel"/>
    <w:tmpl w:val="BFBC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D7493"/>
    <w:multiLevelType w:val="multilevel"/>
    <w:tmpl w:val="11DC9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96AEE"/>
    <w:multiLevelType w:val="multilevel"/>
    <w:tmpl w:val="D374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40F10"/>
    <w:multiLevelType w:val="multilevel"/>
    <w:tmpl w:val="3C0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23592"/>
    <w:multiLevelType w:val="hybridMultilevel"/>
    <w:tmpl w:val="CFD016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DA592F"/>
    <w:multiLevelType w:val="multilevel"/>
    <w:tmpl w:val="332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B72CE8"/>
    <w:multiLevelType w:val="multilevel"/>
    <w:tmpl w:val="1826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035068"/>
    <w:multiLevelType w:val="multilevel"/>
    <w:tmpl w:val="B6CE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DC1888"/>
    <w:multiLevelType w:val="multilevel"/>
    <w:tmpl w:val="81E4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B52B6"/>
    <w:multiLevelType w:val="multilevel"/>
    <w:tmpl w:val="8B4E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8C17D3"/>
    <w:multiLevelType w:val="multilevel"/>
    <w:tmpl w:val="6C06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20BB8"/>
    <w:multiLevelType w:val="multilevel"/>
    <w:tmpl w:val="6E22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93B8A"/>
    <w:multiLevelType w:val="multilevel"/>
    <w:tmpl w:val="B566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C161D1"/>
    <w:multiLevelType w:val="multilevel"/>
    <w:tmpl w:val="C488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8B714C"/>
    <w:multiLevelType w:val="multilevel"/>
    <w:tmpl w:val="5BD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9824F6"/>
    <w:multiLevelType w:val="hybridMultilevel"/>
    <w:tmpl w:val="7E52731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EF0E4E"/>
    <w:multiLevelType w:val="hybridMultilevel"/>
    <w:tmpl w:val="A7D407BA"/>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73538E"/>
    <w:multiLevelType w:val="multilevel"/>
    <w:tmpl w:val="5C12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F3937"/>
    <w:multiLevelType w:val="multilevel"/>
    <w:tmpl w:val="4A2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97EFA"/>
    <w:multiLevelType w:val="multilevel"/>
    <w:tmpl w:val="2420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218467">
    <w:abstractNumId w:val="17"/>
  </w:num>
  <w:num w:numId="2" w16cid:durableId="1910995140">
    <w:abstractNumId w:val="14"/>
  </w:num>
  <w:num w:numId="3" w16cid:durableId="1927301668">
    <w:abstractNumId w:val="11"/>
  </w:num>
  <w:num w:numId="4" w16cid:durableId="28527759">
    <w:abstractNumId w:val="2"/>
  </w:num>
  <w:num w:numId="5" w16cid:durableId="818036257">
    <w:abstractNumId w:val="19"/>
  </w:num>
  <w:num w:numId="6" w16cid:durableId="375590462">
    <w:abstractNumId w:val="15"/>
  </w:num>
  <w:num w:numId="7" w16cid:durableId="1130323442">
    <w:abstractNumId w:val="9"/>
  </w:num>
  <w:num w:numId="8" w16cid:durableId="1173757877">
    <w:abstractNumId w:val="25"/>
  </w:num>
  <w:num w:numId="9" w16cid:durableId="832454719">
    <w:abstractNumId w:val="1"/>
  </w:num>
  <w:num w:numId="10" w16cid:durableId="1258060192">
    <w:abstractNumId w:val="26"/>
  </w:num>
  <w:num w:numId="11" w16cid:durableId="1596523490">
    <w:abstractNumId w:val="12"/>
  </w:num>
  <w:num w:numId="12" w16cid:durableId="1026251504">
    <w:abstractNumId w:val="7"/>
  </w:num>
  <w:num w:numId="13" w16cid:durableId="555313198">
    <w:abstractNumId w:val="24"/>
  </w:num>
  <w:num w:numId="14" w16cid:durableId="1770733973">
    <w:abstractNumId w:val="32"/>
  </w:num>
  <w:num w:numId="15" w16cid:durableId="814835702">
    <w:abstractNumId w:val="10"/>
  </w:num>
  <w:num w:numId="16" w16cid:durableId="1590583678">
    <w:abstractNumId w:val="0"/>
  </w:num>
  <w:num w:numId="17" w16cid:durableId="574170403">
    <w:abstractNumId w:val="30"/>
  </w:num>
  <w:num w:numId="18" w16cid:durableId="454255483">
    <w:abstractNumId w:val="31"/>
  </w:num>
  <w:num w:numId="19" w16cid:durableId="874731611">
    <w:abstractNumId w:val="18"/>
  </w:num>
  <w:num w:numId="20" w16cid:durableId="756171831">
    <w:abstractNumId w:val="27"/>
  </w:num>
  <w:num w:numId="21" w16cid:durableId="1475831779">
    <w:abstractNumId w:val="8"/>
  </w:num>
  <w:num w:numId="22" w16cid:durableId="836071687">
    <w:abstractNumId w:val="16"/>
  </w:num>
  <w:num w:numId="23" w16cid:durableId="1416438379">
    <w:abstractNumId w:val="22"/>
  </w:num>
  <w:num w:numId="24" w16cid:durableId="616067467">
    <w:abstractNumId w:val="6"/>
  </w:num>
  <w:num w:numId="25" w16cid:durableId="1826625442">
    <w:abstractNumId w:val="13"/>
  </w:num>
  <w:num w:numId="26" w16cid:durableId="983464656">
    <w:abstractNumId w:val="23"/>
  </w:num>
  <w:num w:numId="27" w16cid:durableId="782649709">
    <w:abstractNumId w:val="3"/>
  </w:num>
  <w:num w:numId="28" w16cid:durableId="433987891">
    <w:abstractNumId w:val="5"/>
  </w:num>
  <w:num w:numId="29" w16cid:durableId="623198951">
    <w:abstractNumId w:val="20"/>
  </w:num>
  <w:num w:numId="30" w16cid:durableId="1911571080">
    <w:abstractNumId w:val="21"/>
  </w:num>
  <w:num w:numId="31" w16cid:durableId="323168632">
    <w:abstractNumId w:val="4"/>
  </w:num>
  <w:num w:numId="32" w16cid:durableId="393116461">
    <w:abstractNumId w:val="28"/>
  </w:num>
  <w:num w:numId="33" w16cid:durableId="9658117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57"/>
    <w:rsid w:val="00023452"/>
    <w:rsid w:val="000A29A4"/>
    <w:rsid w:val="0010305F"/>
    <w:rsid w:val="001331F7"/>
    <w:rsid w:val="001462F4"/>
    <w:rsid w:val="001624FE"/>
    <w:rsid w:val="001E7492"/>
    <w:rsid w:val="001F7089"/>
    <w:rsid w:val="00243DEC"/>
    <w:rsid w:val="002639BE"/>
    <w:rsid w:val="002A6393"/>
    <w:rsid w:val="002D030B"/>
    <w:rsid w:val="002E592D"/>
    <w:rsid w:val="002F1557"/>
    <w:rsid w:val="003646E6"/>
    <w:rsid w:val="003C6980"/>
    <w:rsid w:val="00410A63"/>
    <w:rsid w:val="00413060"/>
    <w:rsid w:val="00420EAE"/>
    <w:rsid w:val="004224FA"/>
    <w:rsid w:val="00454B75"/>
    <w:rsid w:val="00460C4C"/>
    <w:rsid w:val="004655D6"/>
    <w:rsid w:val="0048313B"/>
    <w:rsid w:val="004966BB"/>
    <w:rsid w:val="004A0B4E"/>
    <w:rsid w:val="004B5C20"/>
    <w:rsid w:val="005270EB"/>
    <w:rsid w:val="005353CB"/>
    <w:rsid w:val="00584A6D"/>
    <w:rsid w:val="005944AE"/>
    <w:rsid w:val="005B4DEB"/>
    <w:rsid w:val="006C7FB8"/>
    <w:rsid w:val="00700587"/>
    <w:rsid w:val="007262B2"/>
    <w:rsid w:val="007565C8"/>
    <w:rsid w:val="007A258B"/>
    <w:rsid w:val="007A47AC"/>
    <w:rsid w:val="007C08AB"/>
    <w:rsid w:val="007F301C"/>
    <w:rsid w:val="008268EF"/>
    <w:rsid w:val="00836B7C"/>
    <w:rsid w:val="00857D66"/>
    <w:rsid w:val="00903023"/>
    <w:rsid w:val="00925B3E"/>
    <w:rsid w:val="00934359"/>
    <w:rsid w:val="009357C5"/>
    <w:rsid w:val="00956C2C"/>
    <w:rsid w:val="00980689"/>
    <w:rsid w:val="0098089A"/>
    <w:rsid w:val="00995098"/>
    <w:rsid w:val="009B420A"/>
    <w:rsid w:val="009F165A"/>
    <w:rsid w:val="00B04708"/>
    <w:rsid w:val="00B47BC6"/>
    <w:rsid w:val="00B53891"/>
    <w:rsid w:val="00B67AE9"/>
    <w:rsid w:val="00BA71DE"/>
    <w:rsid w:val="00BB20C9"/>
    <w:rsid w:val="00BB76EF"/>
    <w:rsid w:val="00BD0B47"/>
    <w:rsid w:val="00C33F08"/>
    <w:rsid w:val="00C63D23"/>
    <w:rsid w:val="00C73AB4"/>
    <w:rsid w:val="00CA3176"/>
    <w:rsid w:val="00D404E2"/>
    <w:rsid w:val="00D40EB2"/>
    <w:rsid w:val="00D91B94"/>
    <w:rsid w:val="00D937B4"/>
    <w:rsid w:val="00DE5899"/>
    <w:rsid w:val="00E325BC"/>
    <w:rsid w:val="00E74EF7"/>
    <w:rsid w:val="00EA1250"/>
    <w:rsid w:val="00EC0FF4"/>
    <w:rsid w:val="00EC16AE"/>
    <w:rsid w:val="00F10615"/>
    <w:rsid w:val="00F712B3"/>
    <w:rsid w:val="00FF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A881"/>
  <w15:chartTrackingRefBased/>
  <w15:docId w15:val="{23FE79A8-AC6A-4408-A28A-D4D1A76C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5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5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5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5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5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5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5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5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5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5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5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5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5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5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5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5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5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557"/>
    <w:rPr>
      <w:rFonts w:eastAsiaTheme="majorEastAsia" w:cstheme="majorBidi"/>
      <w:color w:val="272727" w:themeColor="text1" w:themeTint="D8"/>
    </w:rPr>
  </w:style>
  <w:style w:type="paragraph" w:styleId="Title">
    <w:name w:val="Title"/>
    <w:basedOn w:val="Normal"/>
    <w:next w:val="Normal"/>
    <w:link w:val="TitleChar"/>
    <w:uiPriority w:val="10"/>
    <w:qFormat/>
    <w:rsid w:val="002F15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5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5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557"/>
    <w:pPr>
      <w:spacing w:before="160"/>
      <w:jc w:val="center"/>
    </w:pPr>
    <w:rPr>
      <w:i/>
      <w:iCs/>
      <w:color w:val="404040" w:themeColor="text1" w:themeTint="BF"/>
    </w:rPr>
  </w:style>
  <w:style w:type="character" w:customStyle="1" w:styleId="QuoteChar">
    <w:name w:val="Quote Char"/>
    <w:basedOn w:val="DefaultParagraphFont"/>
    <w:link w:val="Quote"/>
    <w:uiPriority w:val="29"/>
    <w:rsid w:val="002F1557"/>
    <w:rPr>
      <w:i/>
      <w:iCs/>
      <w:color w:val="404040" w:themeColor="text1" w:themeTint="BF"/>
    </w:rPr>
  </w:style>
  <w:style w:type="paragraph" w:styleId="ListParagraph">
    <w:name w:val="List Paragraph"/>
    <w:basedOn w:val="Normal"/>
    <w:uiPriority w:val="34"/>
    <w:qFormat/>
    <w:rsid w:val="002F1557"/>
    <w:pPr>
      <w:ind w:left="720"/>
      <w:contextualSpacing/>
    </w:pPr>
  </w:style>
  <w:style w:type="character" w:styleId="IntenseEmphasis">
    <w:name w:val="Intense Emphasis"/>
    <w:basedOn w:val="DefaultParagraphFont"/>
    <w:uiPriority w:val="21"/>
    <w:qFormat/>
    <w:rsid w:val="002F1557"/>
    <w:rPr>
      <w:i/>
      <w:iCs/>
      <w:color w:val="0F4761" w:themeColor="accent1" w:themeShade="BF"/>
    </w:rPr>
  </w:style>
  <w:style w:type="paragraph" w:styleId="IntenseQuote">
    <w:name w:val="Intense Quote"/>
    <w:basedOn w:val="Normal"/>
    <w:next w:val="Normal"/>
    <w:link w:val="IntenseQuoteChar"/>
    <w:uiPriority w:val="30"/>
    <w:qFormat/>
    <w:rsid w:val="002F15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557"/>
    <w:rPr>
      <w:i/>
      <w:iCs/>
      <w:color w:val="0F4761" w:themeColor="accent1" w:themeShade="BF"/>
    </w:rPr>
  </w:style>
  <w:style w:type="character" w:styleId="IntenseReference">
    <w:name w:val="Intense Reference"/>
    <w:basedOn w:val="DefaultParagraphFont"/>
    <w:uiPriority w:val="32"/>
    <w:qFormat/>
    <w:rsid w:val="002F1557"/>
    <w:rPr>
      <w:b/>
      <w:bCs/>
      <w:smallCaps/>
      <w:color w:val="0F4761" w:themeColor="accent1" w:themeShade="BF"/>
      <w:spacing w:val="5"/>
    </w:rPr>
  </w:style>
  <w:style w:type="table" w:styleId="TableGrid">
    <w:name w:val="Table Grid"/>
    <w:basedOn w:val="TableNormal"/>
    <w:uiPriority w:val="39"/>
    <w:rsid w:val="0046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13B"/>
  </w:style>
  <w:style w:type="paragraph" w:styleId="Footer">
    <w:name w:val="footer"/>
    <w:basedOn w:val="Normal"/>
    <w:link w:val="FooterChar"/>
    <w:uiPriority w:val="99"/>
    <w:unhideWhenUsed/>
    <w:rsid w:val="00483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13B"/>
  </w:style>
  <w:style w:type="paragraph" w:styleId="NormalWeb">
    <w:name w:val="Normal (Web)"/>
    <w:basedOn w:val="Normal"/>
    <w:uiPriority w:val="99"/>
    <w:semiHidden/>
    <w:unhideWhenUsed/>
    <w:rsid w:val="00C33F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807">
      <w:bodyDiv w:val="1"/>
      <w:marLeft w:val="0"/>
      <w:marRight w:val="0"/>
      <w:marTop w:val="0"/>
      <w:marBottom w:val="0"/>
      <w:divBdr>
        <w:top w:val="none" w:sz="0" w:space="0" w:color="auto"/>
        <w:left w:val="none" w:sz="0" w:space="0" w:color="auto"/>
        <w:bottom w:val="none" w:sz="0" w:space="0" w:color="auto"/>
        <w:right w:val="none" w:sz="0" w:space="0" w:color="auto"/>
      </w:divBdr>
    </w:div>
    <w:div w:id="73207831">
      <w:bodyDiv w:val="1"/>
      <w:marLeft w:val="0"/>
      <w:marRight w:val="0"/>
      <w:marTop w:val="0"/>
      <w:marBottom w:val="0"/>
      <w:divBdr>
        <w:top w:val="none" w:sz="0" w:space="0" w:color="auto"/>
        <w:left w:val="none" w:sz="0" w:space="0" w:color="auto"/>
        <w:bottom w:val="none" w:sz="0" w:space="0" w:color="auto"/>
        <w:right w:val="none" w:sz="0" w:space="0" w:color="auto"/>
      </w:divBdr>
      <w:divsChild>
        <w:div w:id="1862278863">
          <w:marLeft w:val="0"/>
          <w:marRight w:val="0"/>
          <w:marTop w:val="0"/>
          <w:marBottom w:val="0"/>
          <w:divBdr>
            <w:top w:val="none" w:sz="0" w:space="0" w:color="auto"/>
            <w:left w:val="none" w:sz="0" w:space="0" w:color="auto"/>
            <w:bottom w:val="none" w:sz="0" w:space="0" w:color="auto"/>
            <w:right w:val="none" w:sz="0" w:space="0" w:color="auto"/>
          </w:divBdr>
          <w:divsChild>
            <w:div w:id="1424374938">
              <w:marLeft w:val="0"/>
              <w:marRight w:val="0"/>
              <w:marTop w:val="0"/>
              <w:marBottom w:val="0"/>
              <w:divBdr>
                <w:top w:val="none" w:sz="0" w:space="0" w:color="auto"/>
                <w:left w:val="none" w:sz="0" w:space="0" w:color="auto"/>
                <w:bottom w:val="none" w:sz="0" w:space="0" w:color="auto"/>
                <w:right w:val="none" w:sz="0" w:space="0" w:color="auto"/>
              </w:divBdr>
              <w:divsChild>
                <w:div w:id="1705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8639">
      <w:bodyDiv w:val="1"/>
      <w:marLeft w:val="0"/>
      <w:marRight w:val="0"/>
      <w:marTop w:val="0"/>
      <w:marBottom w:val="0"/>
      <w:divBdr>
        <w:top w:val="none" w:sz="0" w:space="0" w:color="auto"/>
        <w:left w:val="none" w:sz="0" w:space="0" w:color="auto"/>
        <w:bottom w:val="none" w:sz="0" w:space="0" w:color="auto"/>
        <w:right w:val="none" w:sz="0" w:space="0" w:color="auto"/>
      </w:divBdr>
    </w:div>
    <w:div w:id="350183518">
      <w:bodyDiv w:val="1"/>
      <w:marLeft w:val="0"/>
      <w:marRight w:val="0"/>
      <w:marTop w:val="0"/>
      <w:marBottom w:val="0"/>
      <w:divBdr>
        <w:top w:val="none" w:sz="0" w:space="0" w:color="auto"/>
        <w:left w:val="none" w:sz="0" w:space="0" w:color="auto"/>
        <w:bottom w:val="none" w:sz="0" w:space="0" w:color="auto"/>
        <w:right w:val="none" w:sz="0" w:space="0" w:color="auto"/>
      </w:divBdr>
    </w:div>
    <w:div w:id="359938635">
      <w:bodyDiv w:val="1"/>
      <w:marLeft w:val="0"/>
      <w:marRight w:val="0"/>
      <w:marTop w:val="0"/>
      <w:marBottom w:val="0"/>
      <w:divBdr>
        <w:top w:val="none" w:sz="0" w:space="0" w:color="auto"/>
        <w:left w:val="none" w:sz="0" w:space="0" w:color="auto"/>
        <w:bottom w:val="none" w:sz="0" w:space="0" w:color="auto"/>
        <w:right w:val="none" w:sz="0" w:space="0" w:color="auto"/>
      </w:divBdr>
    </w:div>
    <w:div w:id="370347313">
      <w:bodyDiv w:val="1"/>
      <w:marLeft w:val="0"/>
      <w:marRight w:val="0"/>
      <w:marTop w:val="0"/>
      <w:marBottom w:val="0"/>
      <w:divBdr>
        <w:top w:val="none" w:sz="0" w:space="0" w:color="auto"/>
        <w:left w:val="none" w:sz="0" w:space="0" w:color="auto"/>
        <w:bottom w:val="none" w:sz="0" w:space="0" w:color="auto"/>
        <w:right w:val="none" w:sz="0" w:space="0" w:color="auto"/>
      </w:divBdr>
    </w:div>
    <w:div w:id="449515588">
      <w:bodyDiv w:val="1"/>
      <w:marLeft w:val="0"/>
      <w:marRight w:val="0"/>
      <w:marTop w:val="0"/>
      <w:marBottom w:val="0"/>
      <w:divBdr>
        <w:top w:val="none" w:sz="0" w:space="0" w:color="auto"/>
        <w:left w:val="none" w:sz="0" w:space="0" w:color="auto"/>
        <w:bottom w:val="none" w:sz="0" w:space="0" w:color="auto"/>
        <w:right w:val="none" w:sz="0" w:space="0" w:color="auto"/>
      </w:divBdr>
    </w:div>
    <w:div w:id="460391214">
      <w:bodyDiv w:val="1"/>
      <w:marLeft w:val="0"/>
      <w:marRight w:val="0"/>
      <w:marTop w:val="0"/>
      <w:marBottom w:val="0"/>
      <w:divBdr>
        <w:top w:val="none" w:sz="0" w:space="0" w:color="auto"/>
        <w:left w:val="none" w:sz="0" w:space="0" w:color="auto"/>
        <w:bottom w:val="none" w:sz="0" w:space="0" w:color="auto"/>
        <w:right w:val="none" w:sz="0" w:space="0" w:color="auto"/>
      </w:divBdr>
    </w:div>
    <w:div w:id="465512567">
      <w:bodyDiv w:val="1"/>
      <w:marLeft w:val="0"/>
      <w:marRight w:val="0"/>
      <w:marTop w:val="0"/>
      <w:marBottom w:val="0"/>
      <w:divBdr>
        <w:top w:val="none" w:sz="0" w:space="0" w:color="auto"/>
        <w:left w:val="none" w:sz="0" w:space="0" w:color="auto"/>
        <w:bottom w:val="none" w:sz="0" w:space="0" w:color="auto"/>
        <w:right w:val="none" w:sz="0" w:space="0" w:color="auto"/>
      </w:divBdr>
    </w:div>
    <w:div w:id="477572675">
      <w:bodyDiv w:val="1"/>
      <w:marLeft w:val="0"/>
      <w:marRight w:val="0"/>
      <w:marTop w:val="0"/>
      <w:marBottom w:val="0"/>
      <w:divBdr>
        <w:top w:val="none" w:sz="0" w:space="0" w:color="auto"/>
        <w:left w:val="none" w:sz="0" w:space="0" w:color="auto"/>
        <w:bottom w:val="none" w:sz="0" w:space="0" w:color="auto"/>
        <w:right w:val="none" w:sz="0" w:space="0" w:color="auto"/>
      </w:divBdr>
    </w:div>
    <w:div w:id="481972891">
      <w:bodyDiv w:val="1"/>
      <w:marLeft w:val="0"/>
      <w:marRight w:val="0"/>
      <w:marTop w:val="0"/>
      <w:marBottom w:val="0"/>
      <w:divBdr>
        <w:top w:val="none" w:sz="0" w:space="0" w:color="auto"/>
        <w:left w:val="none" w:sz="0" w:space="0" w:color="auto"/>
        <w:bottom w:val="none" w:sz="0" w:space="0" w:color="auto"/>
        <w:right w:val="none" w:sz="0" w:space="0" w:color="auto"/>
      </w:divBdr>
    </w:div>
    <w:div w:id="501556172">
      <w:bodyDiv w:val="1"/>
      <w:marLeft w:val="0"/>
      <w:marRight w:val="0"/>
      <w:marTop w:val="0"/>
      <w:marBottom w:val="0"/>
      <w:divBdr>
        <w:top w:val="none" w:sz="0" w:space="0" w:color="auto"/>
        <w:left w:val="none" w:sz="0" w:space="0" w:color="auto"/>
        <w:bottom w:val="none" w:sz="0" w:space="0" w:color="auto"/>
        <w:right w:val="none" w:sz="0" w:space="0" w:color="auto"/>
      </w:divBdr>
    </w:div>
    <w:div w:id="529924753">
      <w:bodyDiv w:val="1"/>
      <w:marLeft w:val="0"/>
      <w:marRight w:val="0"/>
      <w:marTop w:val="0"/>
      <w:marBottom w:val="0"/>
      <w:divBdr>
        <w:top w:val="none" w:sz="0" w:space="0" w:color="auto"/>
        <w:left w:val="none" w:sz="0" w:space="0" w:color="auto"/>
        <w:bottom w:val="none" w:sz="0" w:space="0" w:color="auto"/>
        <w:right w:val="none" w:sz="0" w:space="0" w:color="auto"/>
      </w:divBdr>
    </w:div>
    <w:div w:id="606498225">
      <w:bodyDiv w:val="1"/>
      <w:marLeft w:val="0"/>
      <w:marRight w:val="0"/>
      <w:marTop w:val="0"/>
      <w:marBottom w:val="0"/>
      <w:divBdr>
        <w:top w:val="none" w:sz="0" w:space="0" w:color="auto"/>
        <w:left w:val="none" w:sz="0" w:space="0" w:color="auto"/>
        <w:bottom w:val="none" w:sz="0" w:space="0" w:color="auto"/>
        <w:right w:val="none" w:sz="0" w:space="0" w:color="auto"/>
      </w:divBdr>
    </w:div>
    <w:div w:id="647978034">
      <w:bodyDiv w:val="1"/>
      <w:marLeft w:val="0"/>
      <w:marRight w:val="0"/>
      <w:marTop w:val="0"/>
      <w:marBottom w:val="0"/>
      <w:divBdr>
        <w:top w:val="none" w:sz="0" w:space="0" w:color="auto"/>
        <w:left w:val="none" w:sz="0" w:space="0" w:color="auto"/>
        <w:bottom w:val="none" w:sz="0" w:space="0" w:color="auto"/>
        <w:right w:val="none" w:sz="0" w:space="0" w:color="auto"/>
      </w:divBdr>
      <w:divsChild>
        <w:div w:id="875044994">
          <w:marLeft w:val="0"/>
          <w:marRight w:val="0"/>
          <w:marTop w:val="0"/>
          <w:marBottom w:val="0"/>
          <w:divBdr>
            <w:top w:val="none" w:sz="0" w:space="0" w:color="auto"/>
            <w:left w:val="none" w:sz="0" w:space="0" w:color="auto"/>
            <w:bottom w:val="none" w:sz="0" w:space="0" w:color="auto"/>
            <w:right w:val="none" w:sz="0" w:space="0" w:color="auto"/>
          </w:divBdr>
          <w:divsChild>
            <w:div w:id="1138376286">
              <w:marLeft w:val="0"/>
              <w:marRight w:val="0"/>
              <w:marTop w:val="0"/>
              <w:marBottom w:val="0"/>
              <w:divBdr>
                <w:top w:val="none" w:sz="0" w:space="0" w:color="auto"/>
                <w:left w:val="none" w:sz="0" w:space="0" w:color="auto"/>
                <w:bottom w:val="none" w:sz="0" w:space="0" w:color="auto"/>
                <w:right w:val="none" w:sz="0" w:space="0" w:color="auto"/>
              </w:divBdr>
              <w:divsChild>
                <w:div w:id="831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1047">
      <w:bodyDiv w:val="1"/>
      <w:marLeft w:val="0"/>
      <w:marRight w:val="0"/>
      <w:marTop w:val="0"/>
      <w:marBottom w:val="0"/>
      <w:divBdr>
        <w:top w:val="none" w:sz="0" w:space="0" w:color="auto"/>
        <w:left w:val="none" w:sz="0" w:space="0" w:color="auto"/>
        <w:bottom w:val="none" w:sz="0" w:space="0" w:color="auto"/>
        <w:right w:val="none" w:sz="0" w:space="0" w:color="auto"/>
      </w:divBdr>
    </w:div>
    <w:div w:id="685252368">
      <w:bodyDiv w:val="1"/>
      <w:marLeft w:val="0"/>
      <w:marRight w:val="0"/>
      <w:marTop w:val="0"/>
      <w:marBottom w:val="0"/>
      <w:divBdr>
        <w:top w:val="none" w:sz="0" w:space="0" w:color="auto"/>
        <w:left w:val="none" w:sz="0" w:space="0" w:color="auto"/>
        <w:bottom w:val="none" w:sz="0" w:space="0" w:color="auto"/>
        <w:right w:val="none" w:sz="0" w:space="0" w:color="auto"/>
      </w:divBdr>
    </w:div>
    <w:div w:id="710766949">
      <w:bodyDiv w:val="1"/>
      <w:marLeft w:val="0"/>
      <w:marRight w:val="0"/>
      <w:marTop w:val="0"/>
      <w:marBottom w:val="0"/>
      <w:divBdr>
        <w:top w:val="none" w:sz="0" w:space="0" w:color="auto"/>
        <w:left w:val="none" w:sz="0" w:space="0" w:color="auto"/>
        <w:bottom w:val="none" w:sz="0" w:space="0" w:color="auto"/>
        <w:right w:val="none" w:sz="0" w:space="0" w:color="auto"/>
      </w:divBdr>
    </w:div>
    <w:div w:id="711421292">
      <w:bodyDiv w:val="1"/>
      <w:marLeft w:val="0"/>
      <w:marRight w:val="0"/>
      <w:marTop w:val="0"/>
      <w:marBottom w:val="0"/>
      <w:divBdr>
        <w:top w:val="none" w:sz="0" w:space="0" w:color="auto"/>
        <w:left w:val="none" w:sz="0" w:space="0" w:color="auto"/>
        <w:bottom w:val="none" w:sz="0" w:space="0" w:color="auto"/>
        <w:right w:val="none" w:sz="0" w:space="0" w:color="auto"/>
      </w:divBdr>
    </w:div>
    <w:div w:id="742335147">
      <w:bodyDiv w:val="1"/>
      <w:marLeft w:val="0"/>
      <w:marRight w:val="0"/>
      <w:marTop w:val="0"/>
      <w:marBottom w:val="0"/>
      <w:divBdr>
        <w:top w:val="none" w:sz="0" w:space="0" w:color="auto"/>
        <w:left w:val="none" w:sz="0" w:space="0" w:color="auto"/>
        <w:bottom w:val="none" w:sz="0" w:space="0" w:color="auto"/>
        <w:right w:val="none" w:sz="0" w:space="0" w:color="auto"/>
      </w:divBdr>
    </w:div>
    <w:div w:id="904216098">
      <w:bodyDiv w:val="1"/>
      <w:marLeft w:val="0"/>
      <w:marRight w:val="0"/>
      <w:marTop w:val="0"/>
      <w:marBottom w:val="0"/>
      <w:divBdr>
        <w:top w:val="none" w:sz="0" w:space="0" w:color="auto"/>
        <w:left w:val="none" w:sz="0" w:space="0" w:color="auto"/>
        <w:bottom w:val="none" w:sz="0" w:space="0" w:color="auto"/>
        <w:right w:val="none" w:sz="0" w:space="0" w:color="auto"/>
      </w:divBdr>
    </w:div>
    <w:div w:id="942810017">
      <w:bodyDiv w:val="1"/>
      <w:marLeft w:val="0"/>
      <w:marRight w:val="0"/>
      <w:marTop w:val="0"/>
      <w:marBottom w:val="0"/>
      <w:divBdr>
        <w:top w:val="none" w:sz="0" w:space="0" w:color="auto"/>
        <w:left w:val="none" w:sz="0" w:space="0" w:color="auto"/>
        <w:bottom w:val="none" w:sz="0" w:space="0" w:color="auto"/>
        <w:right w:val="none" w:sz="0" w:space="0" w:color="auto"/>
      </w:divBdr>
    </w:div>
    <w:div w:id="1021735587">
      <w:bodyDiv w:val="1"/>
      <w:marLeft w:val="0"/>
      <w:marRight w:val="0"/>
      <w:marTop w:val="0"/>
      <w:marBottom w:val="0"/>
      <w:divBdr>
        <w:top w:val="none" w:sz="0" w:space="0" w:color="auto"/>
        <w:left w:val="none" w:sz="0" w:space="0" w:color="auto"/>
        <w:bottom w:val="none" w:sz="0" w:space="0" w:color="auto"/>
        <w:right w:val="none" w:sz="0" w:space="0" w:color="auto"/>
      </w:divBdr>
    </w:div>
    <w:div w:id="1053118396">
      <w:bodyDiv w:val="1"/>
      <w:marLeft w:val="0"/>
      <w:marRight w:val="0"/>
      <w:marTop w:val="0"/>
      <w:marBottom w:val="0"/>
      <w:divBdr>
        <w:top w:val="none" w:sz="0" w:space="0" w:color="auto"/>
        <w:left w:val="none" w:sz="0" w:space="0" w:color="auto"/>
        <w:bottom w:val="none" w:sz="0" w:space="0" w:color="auto"/>
        <w:right w:val="none" w:sz="0" w:space="0" w:color="auto"/>
      </w:divBdr>
    </w:div>
    <w:div w:id="1079593254">
      <w:bodyDiv w:val="1"/>
      <w:marLeft w:val="0"/>
      <w:marRight w:val="0"/>
      <w:marTop w:val="0"/>
      <w:marBottom w:val="0"/>
      <w:divBdr>
        <w:top w:val="none" w:sz="0" w:space="0" w:color="auto"/>
        <w:left w:val="none" w:sz="0" w:space="0" w:color="auto"/>
        <w:bottom w:val="none" w:sz="0" w:space="0" w:color="auto"/>
        <w:right w:val="none" w:sz="0" w:space="0" w:color="auto"/>
      </w:divBdr>
    </w:div>
    <w:div w:id="1152453584">
      <w:bodyDiv w:val="1"/>
      <w:marLeft w:val="0"/>
      <w:marRight w:val="0"/>
      <w:marTop w:val="0"/>
      <w:marBottom w:val="0"/>
      <w:divBdr>
        <w:top w:val="none" w:sz="0" w:space="0" w:color="auto"/>
        <w:left w:val="none" w:sz="0" w:space="0" w:color="auto"/>
        <w:bottom w:val="none" w:sz="0" w:space="0" w:color="auto"/>
        <w:right w:val="none" w:sz="0" w:space="0" w:color="auto"/>
      </w:divBdr>
    </w:div>
    <w:div w:id="1187671450">
      <w:bodyDiv w:val="1"/>
      <w:marLeft w:val="0"/>
      <w:marRight w:val="0"/>
      <w:marTop w:val="0"/>
      <w:marBottom w:val="0"/>
      <w:divBdr>
        <w:top w:val="none" w:sz="0" w:space="0" w:color="auto"/>
        <w:left w:val="none" w:sz="0" w:space="0" w:color="auto"/>
        <w:bottom w:val="none" w:sz="0" w:space="0" w:color="auto"/>
        <w:right w:val="none" w:sz="0" w:space="0" w:color="auto"/>
      </w:divBdr>
    </w:div>
    <w:div w:id="1205216574">
      <w:bodyDiv w:val="1"/>
      <w:marLeft w:val="0"/>
      <w:marRight w:val="0"/>
      <w:marTop w:val="0"/>
      <w:marBottom w:val="0"/>
      <w:divBdr>
        <w:top w:val="none" w:sz="0" w:space="0" w:color="auto"/>
        <w:left w:val="none" w:sz="0" w:space="0" w:color="auto"/>
        <w:bottom w:val="none" w:sz="0" w:space="0" w:color="auto"/>
        <w:right w:val="none" w:sz="0" w:space="0" w:color="auto"/>
      </w:divBdr>
      <w:divsChild>
        <w:div w:id="985235125">
          <w:marLeft w:val="0"/>
          <w:marRight w:val="0"/>
          <w:marTop w:val="0"/>
          <w:marBottom w:val="0"/>
          <w:divBdr>
            <w:top w:val="none" w:sz="0" w:space="0" w:color="auto"/>
            <w:left w:val="none" w:sz="0" w:space="0" w:color="auto"/>
            <w:bottom w:val="none" w:sz="0" w:space="0" w:color="auto"/>
            <w:right w:val="none" w:sz="0" w:space="0" w:color="auto"/>
          </w:divBdr>
          <w:divsChild>
            <w:div w:id="907499654">
              <w:marLeft w:val="0"/>
              <w:marRight w:val="0"/>
              <w:marTop w:val="0"/>
              <w:marBottom w:val="0"/>
              <w:divBdr>
                <w:top w:val="none" w:sz="0" w:space="0" w:color="auto"/>
                <w:left w:val="none" w:sz="0" w:space="0" w:color="auto"/>
                <w:bottom w:val="none" w:sz="0" w:space="0" w:color="auto"/>
                <w:right w:val="none" w:sz="0" w:space="0" w:color="auto"/>
              </w:divBdr>
            </w:div>
          </w:divsChild>
        </w:div>
        <w:div w:id="2077849298">
          <w:marLeft w:val="0"/>
          <w:marRight w:val="0"/>
          <w:marTop w:val="0"/>
          <w:marBottom w:val="0"/>
          <w:divBdr>
            <w:top w:val="none" w:sz="0" w:space="0" w:color="auto"/>
            <w:left w:val="none" w:sz="0" w:space="0" w:color="auto"/>
            <w:bottom w:val="none" w:sz="0" w:space="0" w:color="auto"/>
            <w:right w:val="none" w:sz="0" w:space="0" w:color="auto"/>
          </w:divBdr>
          <w:divsChild>
            <w:div w:id="854735072">
              <w:marLeft w:val="0"/>
              <w:marRight w:val="0"/>
              <w:marTop w:val="0"/>
              <w:marBottom w:val="0"/>
              <w:divBdr>
                <w:top w:val="none" w:sz="0" w:space="0" w:color="auto"/>
                <w:left w:val="none" w:sz="0" w:space="0" w:color="auto"/>
                <w:bottom w:val="none" w:sz="0" w:space="0" w:color="auto"/>
                <w:right w:val="none" w:sz="0" w:space="0" w:color="auto"/>
              </w:divBdr>
              <w:divsChild>
                <w:div w:id="1962035133">
                  <w:marLeft w:val="0"/>
                  <w:marRight w:val="0"/>
                  <w:marTop w:val="0"/>
                  <w:marBottom w:val="0"/>
                  <w:divBdr>
                    <w:top w:val="none" w:sz="0" w:space="0" w:color="auto"/>
                    <w:left w:val="none" w:sz="0" w:space="0" w:color="auto"/>
                    <w:bottom w:val="none" w:sz="0" w:space="0" w:color="auto"/>
                    <w:right w:val="none" w:sz="0" w:space="0" w:color="auto"/>
                  </w:divBdr>
                  <w:divsChild>
                    <w:div w:id="1571690332">
                      <w:marLeft w:val="0"/>
                      <w:marRight w:val="0"/>
                      <w:marTop w:val="0"/>
                      <w:marBottom w:val="0"/>
                      <w:divBdr>
                        <w:top w:val="none" w:sz="0" w:space="0" w:color="auto"/>
                        <w:left w:val="none" w:sz="0" w:space="0" w:color="auto"/>
                        <w:bottom w:val="none" w:sz="0" w:space="0" w:color="auto"/>
                        <w:right w:val="none" w:sz="0" w:space="0" w:color="auto"/>
                      </w:divBdr>
                      <w:divsChild>
                        <w:div w:id="1574463221">
                          <w:marLeft w:val="0"/>
                          <w:marRight w:val="0"/>
                          <w:marTop w:val="0"/>
                          <w:marBottom w:val="0"/>
                          <w:divBdr>
                            <w:top w:val="none" w:sz="0" w:space="0" w:color="auto"/>
                            <w:left w:val="none" w:sz="0" w:space="0" w:color="auto"/>
                            <w:bottom w:val="none" w:sz="0" w:space="0" w:color="auto"/>
                            <w:right w:val="none" w:sz="0" w:space="0" w:color="auto"/>
                          </w:divBdr>
                          <w:divsChild>
                            <w:div w:id="409349085">
                              <w:marLeft w:val="0"/>
                              <w:marRight w:val="0"/>
                              <w:marTop w:val="0"/>
                              <w:marBottom w:val="0"/>
                              <w:divBdr>
                                <w:top w:val="none" w:sz="0" w:space="0" w:color="auto"/>
                                <w:left w:val="none" w:sz="0" w:space="0" w:color="auto"/>
                                <w:bottom w:val="none" w:sz="0" w:space="0" w:color="auto"/>
                                <w:right w:val="none" w:sz="0" w:space="0" w:color="auto"/>
                              </w:divBdr>
                              <w:divsChild>
                                <w:div w:id="6400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4331">
                          <w:marLeft w:val="0"/>
                          <w:marRight w:val="0"/>
                          <w:marTop w:val="0"/>
                          <w:marBottom w:val="0"/>
                          <w:divBdr>
                            <w:top w:val="none" w:sz="0" w:space="0" w:color="auto"/>
                            <w:left w:val="none" w:sz="0" w:space="0" w:color="auto"/>
                            <w:bottom w:val="none" w:sz="0" w:space="0" w:color="auto"/>
                            <w:right w:val="none" w:sz="0" w:space="0" w:color="auto"/>
                          </w:divBdr>
                          <w:divsChild>
                            <w:div w:id="241763250">
                              <w:marLeft w:val="0"/>
                              <w:marRight w:val="0"/>
                              <w:marTop w:val="0"/>
                              <w:marBottom w:val="0"/>
                              <w:divBdr>
                                <w:top w:val="none" w:sz="0" w:space="0" w:color="auto"/>
                                <w:left w:val="none" w:sz="0" w:space="0" w:color="auto"/>
                                <w:bottom w:val="none" w:sz="0" w:space="0" w:color="auto"/>
                                <w:right w:val="none" w:sz="0" w:space="0" w:color="auto"/>
                              </w:divBdr>
                            </w:div>
                          </w:divsChild>
                        </w:div>
                        <w:div w:id="2002196048">
                          <w:marLeft w:val="0"/>
                          <w:marRight w:val="0"/>
                          <w:marTop w:val="0"/>
                          <w:marBottom w:val="0"/>
                          <w:divBdr>
                            <w:top w:val="none" w:sz="0" w:space="0" w:color="auto"/>
                            <w:left w:val="none" w:sz="0" w:space="0" w:color="auto"/>
                            <w:bottom w:val="none" w:sz="0" w:space="0" w:color="auto"/>
                            <w:right w:val="none" w:sz="0" w:space="0" w:color="auto"/>
                          </w:divBdr>
                          <w:divsChild>
                            <w:div w:id="1664817684">
                              <w:marLeft w:val="0"/>
                              <w:marRight w:val="0"/>
                              <w:marTop w:val="0"/>
                              <w:marBottom w:val="0"/>
                              <w:divBdr>
                                <w:top w:val="none" w:sz="0" w:space="0" w:color="auto"/>
                                <w:left w:val="none" w:sz="0" w:space="0" w:color="auto"/>
                                <w:bottom w:val="none" w:sz="0" w:space="0" w:color="auto"/>
                                <w:right w:val="none" w:sz="0" w:space="0" w:color="auto"/>
                              </w:divBdr>
                              <w:divsChild>
                                <w:div w:id="16268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16">
                          <w:marLeft w:val="0"/>
                          <w:marRight w:val="0"/>
                          <w:marTop w:val="0"/>
                          <w:marBottom w:val="0"/>
                          <w:divBdr>
                            <w:top w:val="none" w:sz="0" w:space="0" w:color="auto"/>
                            <w:left w:val="none" w:sz="0" w:space="0" w:color="auto"/>
                            <w:bottom w:val="none" w:sz="0" w:space="0" w:color="auto"/>
                            <w:right w:val="none" w:sz="0" w:space="0" w:color="auto"/>
                          </w:divBdr>
                          <w:divsChild>
                            <w:div w:id="14697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7262">
                      <w:marLeft w:val="0"/>
                      <w:marRight w:val="0"/>
                      <w:marTop w:val="0"/>
                      <w:marBottom w:val="0"/>
                      <w:divBdr>
                        <w:top w:val="none" w:sz="0" w:space="0" w:color="auto"/>
                        <w:left w:val="none" w:sz="0" w:space="0" w:color="auto"/>
                        <w:bottom w:val="none" w:sz="0" w:space="0" w:color="auto"/>
                        <w:right w:val="none" w:sz="0" w:space="0" w:color="auto"/>
                      </w:divBdr>
                      <w:divsChild>
                        <w:div w:id="464156325">
                          <w:marLeft w:val="0"/>
                          <w:marRight w:val="0"/>
                          <w:marTop w:val="0"/>
                          <w:marBottom w:val="0"/>
                          <w:divBdr>
                            <w:top w:val="none" w:sz="0" w:space="0" w:color="auto"/>
                            <w:left w:val="none" w:sz="0" w:space="0" w:color="auto"/>
                            <w:bottom w:val="none" w:sz="0" w:space="0" w:color="auto"/>
                            <w:right w:val="none" w:sz="0" w:space="0" w:color="auto"/>
                          </w:divBdr>
                          <w:divsChild>
                            <w:div w:id="1586257235">
                              <w:marLeft w:val="0"/>
                              <w:marRight w:val="0"/>
                              <w:marTop w:val="0"/>
                              <w:marBottom w:val="0"/>
                              <w:divBdr>
                                <w:top w:val="none" w:sz="0" w:space="0" w:color="auto"/>
                                <w:left w:val="none" w:sz="0" w:space="0" w:color="auto"/>
                                <w:bottom w:val="none" w:sz="0" w:space="0" w:color="auto"/>
                                <w:right w:val="none" w:sz="0" w:space="0" w:color="auto"/>
                              </w:divBdr>
                              <w:divsChild>
                                <w:div w:id="1061099260">
                                  <w:marLeft w:val="0"/>
                                  <w:marRight w:val="0"/>
                                  <w:marTop w:val="0"/>
                                  <w:marBottom w:val="0"/>
                                  <w:divBdr>
                                    <w:top w:val="none" w:sz="0" w:space="0" w:color="auto"/>
                                    <w:left w:val="none" w:sz="0" w:space="0" w:color="auto"/>
                                    <w:bottom w:val="none" w:sz="0" w:space="0" w:color="auto"/>
                                    <w:right w:val="none" w:sz="0" w:space="0" w:color="auto"/>
                                  </w:divBdr>
                                  <w:divsChild>
                                    <w:div w:id="87635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8414">
                              <w:marLeft w:val="0"/>
                              <w:marRight w:val="0"/>
                              <w:marTop w:val="0"/>
                              <w:marBottom w:val="0"/>
                              <w:divBdr>
                                <w:top w:val="none" w:sz="0" w:space="0" w:color="auto"/>
                                <w:left w:val="none" w:sz="0" w:space="0" w:color="auto"/>
                                <w:bottom w:val="none" w:sz="0" w:space="0" w:color="auto"/>
                                <w:right w:val="none" w:sz="0" w:space="0" w:color="auto"/>
                              </w:divBdr>
                              <w:divsChild>
                                <w:div w:id="11264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829832">
          <w:marLeft w:val="0"/>
          <w:marRight w:val="0"/>
          <w:marTop w:val="0"/>
          <w:marBottom w:val="0"/>
          <w:divBdr>
            <w:top w:val="none" w:sz="0" w:space="0" w:color="auto"/>
            <w:left w:val="none" w:sz="0" w:space="0" w:color="auto"/>
            <w:bottom w:val="none" w:sz="0" w:space="0" w:color="auto"/>
            <w:right w:val="none" w:sz="0" w:space="0" w:color="auto"/>
          </w:divBdr>
          <w:divsChild>
            <w:div w:id="532575709">
              <w:marLeft w:val="0"/>
              <w:marRight w:val="0"/>
              <w:marTop w:val="0"/>
              <w:marBottom w:val="0"/>
              <w:divBdr>
                <w:top w:val="none" w:sz="0" w:space="0" w:color="auto"/>
                <w:left w:val="none" w:sz="0" w:space="0" w:color="auto"/>
                <w:bottom w:val="none" w:sz="0" w:space="0" w:color="auto"/>
                <w:right w:val="none" w:sz="0" w:space="0" w:color="auto"/>
              </w:divBdr>
              <w:divsChild>
                <w:div w:id="1087193907">
                  <w:marLeft w:val="0"/>
                  <w:marRight w:val="0"/>
                  <w:marTop w:val="0"/>
                  <w:marBottom w:val="0"/>
                  <w:divBdr>
                    <w:top w:val="none" w:sz="0" w:space="0" w:color="auto"/>
                    <w:left w:val="none" w:sz="0" w:space="0" w:color="auto"/>
                    <w:bottom w:val="none" w:sz="0" w:space="0" w:color="auto"/>
                    <w:right w:val="none" w:sz="0" w:space="0" w:color="auto"/>
                  </w:divBdr>
                  <w:divsChild>
                    <w:div w:id="1220748072">
                      <w:marLeft w:val="0"/>
                      <w:marRight w:val="0"/>
                      <w:marTop w:val="0"/>
                      <w:marBottom w:val="0"/>
                      <w:divBdr>
                        <w:top w:val="none" w:sz="0" w:space="0" w:color="auto"/>
                        <w:left w:val="none" w:sz="0" w:space="0" w:color="auto"/>
                        <w:bottom w:val="none" w:sz="0" w:space="0" w:color="auto"/>
                        <w:right w:val="none" w:sz="0" w:space="0" w:color="auto"/>
                      </w:divBdr>
                      <w:divsChild>
                        <w:div w:id="1872914111">
                          <w:marLeft w:val="0"/>
                          <w:marRight w:val="0"/>
                          <w:marTop w:val="0"/>
                          <w:marBottom w:val="0"/>
                          <w:divBdr>
                            <w:top w:val="none" w:sz="0" w:space="0" w:color="auto"/>
                            <w:left w:val="none" w:sz="0" w:space="0" w:color="auto"/>
                            <w:bottom w:val="none" w:sz="0" w:space="0" w:color="auto"/>
                            <w:right w:val="none" w:sz="0" w:space="0" w:color="auto"/>
                          </w:divBdr>
                          <w:divsChild>
                            <w:div w:id="1899634836">
                              <w:marLeft w:val="0"/>
                              <w:marRight w:val="0"/>
                              <w:marTop w:val="0"/>
                              <w:marBottom w:val="0"/>
                              <w:divBdr>
                                <w:top w:val="none" w:sz="0" w:space="0" w:color="auto"/>
                                <w:left w:val="none" w:sz="0" w:space="0" w:color="auto"/>
                                <w:bottom w:val="none" w:sz="0" w:space="0" w:color="auto"/>
                                <w:right w:val="none" w:sz="0" w:space="0" w:color="auto"/>
                              </w:divBdr>
                              <w:divsChild>
                                <w:div w:id="22634856">
                                  <w:marLeft w:val="0"/>
                                  <w:marRight w:val="0"/>
                                  <w:marTop w:val="0"/>
                                  <w:marBottom w:val="0"/>
                                  <w:divBdr>
                                    <w:top w:val="none" w:sz="0" w:space="0" w:color="auto"/>
                                    <w:left w:val="none" w:sz="0" w:space="0" w:color="auto"/>
                                    <w:bottom w:val="none" w:sz="0" w:space="0" w:color="auto"/>
                                    <w:right w:val="none" w:sz="0" w:space="0" w:color="auto"/>
                                  </w:divBdr>
                                  <w:divsChild>
                                    <w:div w:id="36054165">
                                      <w:marLeft w:val="0"/>
                                      <w:marRight w:val="0"/>
                                      <w:marTop w:val="0"/>
                                      <w:marBottom w:val="0"/>
                                      <w:divBdr>
                                        <w:top w:val="none" w:sz="0" w:space="0" w:color="auto"/>
                                        <w:left w:val="none" w:sz="0" w:space="0" w:color="auto"/>
                                        <w:bottom w:val="none" w:sz="0" w:space="0" w:color="auto"/>
                                        <w:right w:val="none" w:sz="0" w:space="0" w:color="auto"/>
                                      </w:divBdr>
                                      <w:divsChild>
                                        <w:div w:id="102311472">
                                          <w:marLeft w:val="0"/>
                                          <w:marRight w:val="0"/>
                                          <w:marTop w:val="0"/>
                                          <w:marBottom w:val="0"/>
                                          <w:divBdr>
                                            <w:top w:val="none" w:sz="0" w:space="0" w:color="auto"/>
                                            <w:left w:val="none" w:sz="0" w:space="0" w:color="auto"/>
                                            <w:bottom w:val="none" w:sz="0" w:space="0" w:color="auto"/>
                                            <w:right w:val="none" w:sz="0" w:space="0" w:color="auto"/>
                                          </w:divBdr>
                                          <w:divsChild>
                                            <w:div w:id="571937126">
                                              <w:marLeft w:val="0"/>
                                              <w:marRight w:val="0"/>
                                              <w:marTop w:val="0"/>
                                              <w:marBottom w:val="0"/>
                                              <w:divBdr>
                                                <w:top w:val="none" w:sz="0" w:space="0" w:color="auto"/>
                                                <w:left w:val="none" w:sz="0" w:space="0" w:color="auto"/>
                                                <w:bottom w:val="none" w:sz="0" w:space="0" w:color="auto"/>
                                                <w:right w:val="none" w:sz="0" w:space="0" w:color="auto"/>
                                              </w:divBdr>
                                              <w:divsChild>
                                                <w:div w:id="2065372065">
                                                  <w:marLeft w:val="0"/>
                                                  <w:marRight w:val="0"/>
                                                  <w:marTop w:val="0"/>
                                                  <w:marBottom w:val="0"/>
                                                  <w:divBdr>
                                                    <w:top w:val="none" w:sz="0" w:space="0" w:color="auto"/>
                                                    <w:left w:val="none" w:sz="0" w:space="0" w:color="auto"/>
                                                    <w:bottom w:val="none" w:sz="0" w:space="0" w:color="auto"/>
                                                    <w:right w:val="none" w:sz="0" w:space="0" w:color="auto"/>
                                                  </w:divBdr>
                                                  <w:divsChild>
                                                    <w:div w:id="37512235">
                                                      <w:marLeft w:val="0"/>
                                                      <w:marRight w:val="0"/>
                                                      <w:marTop w:val="0"/>
                                                      <w:marBottom w:val="0"/>
                                                      <w:divBdr>
                                                        <w:top w:val="none" w:sz="0" w:space="0" w:color="auto"/>
                                                        <w:left w:val="none" w:sz="0" w:space="0" w:color="auto"/>
                                                        <w:bottom w:val="none" w:sz="0" w:space="0" w:color="auto"/>
                                                        <w:right w:val="none" w:sz="0" w:space="0" w:color="auto"/>
                                                      </w:divBdr>
                                                      <w:divsChild>
                                                        <w:div w:id="1413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0504442">
      <w:bodyDiv w:val="1"/>
      <w:marLeft w:val="0"/>
      <w:marRight w:val="0"/>
      <w:marTop w:val="0"/>
      <w:marBottom w:val="0"/>
      <w:divBdr>
        <w:top w:val="none" w:sz="0" w:space="0" w:color="auto"/>
        <w:left w:val="none" w:sz="0" w:space="0" w:color="auto"/>
        <w:bottom w:val="none" w:sz="0" w:space="0" w:color="auto"/>
        <w:right w:val="none" w:sz="0" w:space="0" w:color="auto"/>
      </w:divBdr>
    </w:div>
    <w:div w:id="1442872918">
      <w:bodyDiv w:val="1"/>
      <w:marLeft w:val="0"/>
      <w:marRight w:val="0"/>
      <w:marTop w:val="0"/>
      <w:marBottom w:val="0"/>
      <w:divBdr>
        <w:top w:val="none" w:sz="0" w:space="0" w:color="auto"/>
        <w:left w:val="none" w:sz="0" w:space="0" w:color="auto"/>
        <w:bottom w:val="none" w:sz="0" w:space="0" w:color="auto"/>
        <w:right w:val="none" w:sz="0" w:space="0" w:color="auto"/>
      </w:divBdr>
    </w:div>
    <w:div w:id="1499734168">
      <w:bodyDiv w:val="1"/>
      <w:marLeft w:val="0"/>
      <w:marRight w:val="0"/>
      <w:marTop w:val="0"/>
      <w:marBottom w:val="0"/>
      <w:divBdr>
        <w:top w:val="none" w:sz="0" w:space="0" w:color="auto"/>
        <w:left w:val="none" w:sz="0" w:space="0" w:color="auto"/>
        <w:bottom w:val="none" w:sz="0" w:space="0" w:color="auto"/>
        <w:right w:val="none" w:sz="0" w:space="0" w:color="auto"/>
      </w:divBdr>
    </w:div>
    <w:div w:id="1519002135">
      <w:bodyDiv w:val="1"/>
      <w:marLeft w:val="0"/>
      <w:marRight w:val="0"/>
      <w:marTop w:val="0"/>
      <w:marBottom w:val="0"/>
      <w:divBdr>
        <w:top w:val="none" w:sz="0" w:space="0" w:color="auto"/>
        <w:left w:val="none" w:sz="0" w:space="0" w:color="auto"/>
        <w:bottom w:val="none" w:sz="0" w:space="0" w:color="auto"/>
        <w:right w:val="none" w:sz="0" w:space="0" w:color="auto"/>
      </w:divBdr>
    </w:div>
    <w:div w:id="1549954800">
      <w:bodyDiv w:val="1"/>
      <w:marLeft w:val="0"/>
      <w:marRight w:val="0"/>
      <w:marTop w:val="0"/>
      <w:marBottom w:val="0"/>
      <w:divBdr>
        <w:top w:val="none" w:sz="0" w:space="0" w:color="auto"/>
        <w:left w:val="none" w:sz="0" w:space="0" w:color="auto"/>
        <w:bottom w:val="none" w:sz="0" w:space="0" w:color="auto"/>
        <w:right w:val="none" w:sz="0" w:space="0" w:color="auto"/>
      </w:divBdr>
      <w:divsChild>
        <w:div w:id="1847551361">
          <w:marLeft w:val="0"/>
          <w:marRight w:val="0"/>
          <w:marTop w:val="0"/>
          <w:marBottom w:val="0"/>
          <w:divBdr>
            <w:top w:val="none" w:sz="0" w:space="0" w:color="auto"/>
            <w:left w:val="none" w:sz="0" w:space="0" w:color="auto"/>
            <w:bottom w:val="none" w:sz="0" w:space="0" w:color="auto"/>
            <w:right w:val="none" w:sz="0" w:space="0" w:color="auto"/>
          </w:divBdr>
          <w:divsChild>
            <w:div w:id="1668287538">
              <w:marLeft w:val="0"/>
              <w:marRight w:val="0"/>
              <w:marTop w:val="0"/>
              <w:marBottom w:val="0"/>
              <w:divBdr>
                <w:top w:val="none" w:sz="0" w:space="0" w:color="auto"/>
                <w:left w:val="none" w:sz="0" w:space="0" w:color="auto"/>
                <w:bottom w:val="none" w:sz="0" w:space="0" w:color="auto"/>
                <w:right w:val="none" w:sz="0" w:space="0" w:color="auto"/>
              </w:divBdr>
            </w:div>
          </w:divsChild>
        </w:div>
        <w:div w:id="133106805">
          <w:marLeft w:val="0"/>
          <w:marRight w:val="0"/>
          <w:marTop w:val="0"/>
          <w:marBottom w:val="0"/>
          <w:divBdr>
            <w:top w:val="none" w:sz="0" w:space="0" w:color="auto"/>
            <w:left w:val="none" w:sz="0" w:space="0" w:color="auto"/>
            <w:bottom w:val="none" w:sz="0" w:space="0" w:color="auto"/>
            <w:right w:val="none" w:sz="0" w:space="0" w:color="auto"/>
          </w:divBdr>
          <w:divsChild>
            <w:div w:id="1007516304">
              <w:marLeft w:val="0"/>
              <w:marRight w:val="0"/>
              <w:marTop w:val="0"/>
              <w:marBottom w:val="0"/>
              <w:divBdr>
                <w:top w:val="none" w:sz="0" w:space="0" w:color="auto"/>
                <w:left w:val="none" w:sz="0" w:space="0" w:color="auto"/>
                <w:bottom w:val="none" w:sz="0" w:space="0" w:color="auto"/>
                <w:right w:val="none" w:sz="0" w:space="0" w:color="auto"/>
              </w:divBdr>
              <w:divsChild>
                <w:div w:id="934435654">
                  <w:marLeft w:val="0"/>
                  <w:marRight w:val="0"/>
                  <w:marTop w:val="0"/>
                  <w:marBottom w:val="0"/>
                  <w:divBdr>
                    <w:top w:val="none" w:sz="0" w:space="0" w:color="auto"/>
                    <w:left w:val="none" w:sz="0" w:space="0" w:color="auto"/>
                    <w:bottom w:val="none" w:sz="0" w:space="0" w:color="auto"/>
                    <w:right w:val="none" w:sz="0" w:space="0" w:color="auto"/>
                  </w:divBdr>
                  <w:divsChild>
                    <w:div w:id="704983527">
                      <w:marLeft w:val="0"/>
                      <w:marRight w:val="0"/>
                      <w:marTop w:val="0"/>
                      <w:marBottom w:val="0"/>
                      <w:divBdr>
                        <w:top w:val="none" w:sz="0" w:space="0" w:color="auto"/>
                        <w:left w:val="none" w:sz="0" w:space="0" w:color="auto"/>
                        <w:bottom w:val="none" w:sz="0" w:space="0" w:color="auto"/>
                        <w:right w:val="none" w:sz="0" w:space="0" w:color="auto"/>
                      </w:divBdr>
                      <w:divsChild>
                        <w:div w:id="631714502">
                          <w:marLeft w:val="0"/>
                          <w:marRight w:val="0"/>
                          <w:marTop w:val="0"/>
                          <w:marBottom w:val="0"/>
                          <w:divBdr>
                            <w:top w:val="none" w:sz="0" w:space="0" w:color="auto"/>
                            <w:left w:val="none" w:sz="0" w:space="0" w:color="auto"/>
                            <w:bottom w:val="none" w:sz="0" w:space="0" w:color="auto"/>
                            <w:right w:val="none" w:sz="0" w:space="0" w:color="auto"/>
                          </w:divBdr>
                          <w:divsChild>
                            <w:div w:id="797794408">
                              <w:marLeft w:val="0"/>
                              <w:marRight w:val="0"/>
                              <w:marTop w:val="0"/>
                              <w:marBottom w:val="0"/>
                              <w:divBdr>
                                <w:top w:val="none" w:sz="0" w:space="0" w:color="auto"/>
                                <w:left w:val="none" w:sz="0" w:space="0" w:color="auto"/>
                                <w:bottom w:val="none" w:sz="0" w:space="0" w:color="auto"/>
                                <w:right w:val="none" w:sz="0" w:space="0" w:color="auto"/>
                              </w:divBdr>
                              <w:divsChild>
                                <w:div w:id="6469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6801">
                          <w:marLeft w:val="0"/>
                          <w:marRight w:val="0"/>
                          <w:marTop w:val="0"/>
                          <w:marBottom w:val="0"/>
                          <w:divBdr>
                            <w:top w:val="none" w:sz="0" w:space="0" w:color="auto"/>
                            <w:left w:val="none" w:sz="0" w:space="0" w:color="auto"/>
                            <w:bottom w:val="none" w:sz="0" w:space="0" w:color="auto"/>
                            <w:right w:val="none" w:sz="0" w:space="0" w:color="auto"/>
                          </w:divBdr>
                          <w:divsChild>
                            <w:div w:id="1457529060">
                              <w:marLeft w:val="0"/>
                              <w:marRight w:val="0"/>
                              <w:marTop w:val="0"/>
                              <w:marBottom w:val="0"/>
                              <w:divBdr>
                                <w:top w:val="none" w:sz="0" w:space="0" w:color="auto"/>
                                <w:left w:val="none" w:sz="0" w:space="0" w:color="auto"/>
                                <w:bottom w:val="none" w:sz="0" w:space="0" w:color="auto"/>
                                <w:right w:val="none" w:sz="0" w:space="0" w:color="auto"/>
                              </w:divBdr>
                            </w:div>
                          </w:divsChild>
                        </w:div>
                        <w:div w:id="795416052">
                          <w:marLeft w:val="0"/>
                          <w:marRight w:val="0"/>
                          <w:marTop w:val="0"/>
                          <w:marBottom w:val="0"/>
                          <w:divBdr>
                            <w:top w:val="none" w:sz="0" w:space="0" w:color="auto"/>
                            <w:left w:val="none" w:sz="0" w:space="0" w:color="auto"/>
                            <w:bottom w:val="none" w:sz="0" w:space="0" w:color="auto"/>
                            <w:right w:val="none" w:sz="0" w:space="0" w:color="auto"/>
                          </w:divBdr>
                          <w:divsChild>
                            <w:div w:id="566459018">
                              <w:marLeft w:val="0"/>
                              <w:marRight w:val="0"/>
                              <w:marTop w:val="0"/>
                              <w:marBottom w:val="0"/>
                              <w:divBdr>
                                <w:top w:val="none" w:sz="0" w:space="0" w:color="auto"/>
                                <w:left w:val="none" w:sz="0" w:space="0" w:color="auto"/>
                                <w:bottom w:val="none" w:sz="0" w:space="0" w:color="auto"/>
                                <w:right w:val="none" w:sz="0" w:space="0" w:color="auto"/>
                              </w:divBdr>
                              <w:divsChild>
                                <w:div w:id="56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3254">
                          <w:marLeft w:val="0"/>
                          <w:marRight w:val="0"/>
                          <w:marTop w:val="0"/>
                          <w:marBottom w:val="0"/>
                          <w:divBdr>
                            <w:top w:val="none" w:sz="0" w:space="0" w:color="auto"/>
                            <w:left w:val="none" w:sz="0" w:space="0" w:color="auto"/>
                            <w:bottom w:val="none" w:sz="0" w:space="0" w:color="auto"/>
                            <w:right w:val="none" w:sz="0" w:space="0" w:color="auto"/>
                          </w:divBdr>
                          <w:divsChild>
                            <w:div w:id="10593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755">
                      <w:marLeft w:val="0"/>
                      <w:marRight w:val="0"/>
                      <w:marTop w:val="0"/>
                      <w:marBottom w:val="0"/>
                      <w:divBdr>
                        <w:top w:val="none" w:sz="0" w:space="0" w:color="auto"/>
                        <w:left w:val="none" w:sz="0" w:space="0" w:color="auto"/>
                        <w:bottom w:val="none" w:sz="0" w:space="0" w:color="auto"/>
                        <w:right w:val="none" w:sz="0" w:space="0" w:color="auto"/>
                      </w:divBdr>
                      <w:divsChild>
                        <w:div w:id="58747140">
                          <w:marLeft w:val="0"/>
                          <w:marRight w:val="0"/>
                          <w:marTop w:val="0"/>
                          <w:marBottom w:val="0"/>
                          <w:divBdr>
                            <w:top w:val="none" w:sz="0" w:space="0" w:color="auto"/>
                            <w:left w:val="none" w:sz="0" w:space="0" w:color="auto"/>
                            <w:bottom w:val="none" w:sz="0" w:space="0" w:color="auto"/>
                            <w:right w:val="none" w:sz="0" w:space="0" w:color="auto"/>
                          </w:divBdr>
                          <w:divsChild>
                            <w:div w:id="179125578">
                              <w:marLeft w:val="0"/>
                              <w:marRight w:val="0"/>
                              <w:marTop w:val="0"/>
                              <w:marBottom w:val="0"/>
                              <w:divBdr>
                                <w:top w:val="none" w:sz="0" w:space="0" w:color="auto"/>
                                <w:left w:val="none" w:sz="0" w:space="0" w:color="auto"/>
                                <w:bottom w:val="none" w:sz="0" w:space="0" w:color="auto"/>
                                <w:right w:val="none" w:sz="0" w:space="0" w:color="auto"/>
                              </w:divBdr>
                              <w:divsChild>
                                <w:div w:id="1484201439">
                                  <w:marLeft w:val="0"/>
                                  <w:marRight w:val="0"/>
                                  <w:marTop w:val="0"/>
                                  <w:marBottom w:val="0"/>
                                  <w:divBdr>
                                    <w:top w:val="none" w:sz="0" w:space="0" w:color="auto"/>
                                    <w:left w:val="none" w:sz="0" w:space="0" w:color="auto"/>
                                    <w:bottom w:val="none" w:sz="0" w:space="0" w:color="auto"/>
                                    <w:right w:val="none" w:sz="0" w:space="0" w:color="auto"/>
                                  </w:divBdr>
                                  <w:divsChild>
                                    <w:div w:id="2871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7682">
                              <w:marLeft w:val="0"/>
                              <w:marRight w:val="0"/>
                              <w:marTop w:val="0"/>
                              <w:marBottom w:val="0"/>
                              <w:divBdr>
                                <w:top w:val="none" w:sz="0" w:space="0" w:color="auto"/>
                                <w:left w:val="none" w:sz="0" w:space="0" w:color="auto"/>
                                <w:bottom w:val="none" w:sz="0" w:space="0" w:color="auto"/>
                                <w:right w:val="none" w:sz="0" w:space="0" w:color="auto"/>
                              </w:divBdr>
                              <w:divsChild>
                                <w:div w:id="14728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48224">
          <w:marLeft w:val="0"/>
          <w:marRight w:val="0"/>
          <w:marTop w:val="0"/>
          <w:marBottom w:val="0"/>
          <w:divBdr>
            <w:top w:val="none" w:sz="0" w:space="0" w:color="auto"/>
            <w:left w:val="none" w:sz="0" w:space="0" w:color="auto"/>
            <w:bottom w:val="none" w:sz="0" w:space="0" w:color="auto"/>
            <w:right w:val="none" w:sz="0" w:space="0" w:color="auto"/>
          </w:divBdr>
          <w:divsChild>
            <w:div w:id="1530488223">
              <w:marLeft w:val="0"/>
              <w:marRight w:val="0"/>
              <w:marTop w:val="0"/>
              <w:marBottom w:val="0"/>
              <w:divBdr>
                <w:top w:val="none" w:sz="0" w:space="0" w:color="auto"/>
                <w:left w:val="none" w:sz="0" w:space="0" w:color="auto"/>
                <w:bottom w:val="none" w:sz="0" w:space="0" w:color="auto"/>
                <w:right w:val="none" w:sz="0" w:space="0" w:color="auto"/>
              </w:divBdr>
              <w:divsChild>
                <w:div w:id="1005665553">
                  <w:marLeft w:val="0"/>
                  <w:marRight w:val="0"/>
                  <w:marTop w:val="0"/>
                  <w:marBottom w:val="0"/>
                  <w:divBdr>
                    <w:top w:val="none" w:sz="0" w:space="0" w:color="auto"/>
                    <w:left w:val="none" w:sz="0" w:space="0" w:color="auto"/>
                    <w:bottom w:val="none" w:sz="0" w:space="0" w:color="auto"/>
                    <w:right w:val="none" w:sz="0" w:space="0" w:color="auto"/>
                  </w:divBdr>
                  <w:divsChild>
                    <w:div w:id="964459086">
                      <w:marLeft w:val="0"/>
                      <w:marRight w:val="0"/>
                      <w:marTop w:val="0"/>
                      <w:marBottom w:val="0"/>
                      <w:divBdr>
                        <w:top w:val="none" w:sz="0" w:space="0" w:color="auto"/>
                        <w:left w:val="none" w:sz="0" w:space="0" w:color="auto"/>
                        <w:bottom w:val="none" w:sz="0" w:space="0" w:color="auto"/>
                        <w:right w:val="none" w:sz="0" w:space="0" w:color="auto"/>
                      </w:divBdr>
                      <w:divsChild>
                        <w:div w:id="1599409955">
                          <w:marLeft w:val="0"/>
                          <w:marRight w:val="0"/>
                          <w:marTop w:val="0"/>
                          <w:marBottom w:val="0"/>
                          <w:divBdr>
                            <w:top w:val="none" w:sz="0" w:space="0" w:color="auto"/>
                            <w:left w:val="none" w:sz="0" w:space="0" w:color="auto"/>
                            <w:bottom w:val="none" w:sz="0" w:space="0" w:color="auto"/>
                            <w:right w:val="none" w:sz="0" w:space="0" w:color="auto"/>
                          </w:divBdr>
                          <w:divsChild>
                            <w:div w:id="1373534389">
                              <w:marLeft w:val="0"/>
                              <w:marRight w:val="0"/>
                              <w:marTop w:val="0"/>
                              <w:marBottom w:val="0"/>
                              <w:divBdr>
                                <w:top w:val="none" w:sz="0" w:space="0" w:color="auto"/>
                                <w:left w:val="none" w:sz="0" w:space="0" w:color="auto"/>
                                <w:bottom w:val="none" w:sz="0" w:space="0" w:color="auto"/>
                                <w:right w:val="none" w:sz="0" w:space="0" w:color="auto"/>
                              </w:divBdr>
                              <w:divsChild>
                                <w:div w:id="1876574408">
                                  <w:marLeft w:val="0"/>
                                  <w:marRight w:val="0"/>
                                  <w:marTop w:val="0"/>
                                  <w:marBottom w:val="0"/>
                                  <w:divBdr>
                                    <w:top w:val="none" w:sz="0" w:space="0" w:color="auto"/>
                                    <w:left w:val="none" w:sz="0" w:space="0" w:color="auto"/>
                                    <w:bottom w:val="none" w:sz="0" w:space="0" w:color="auto"/>
                                    <w:right w:val="none" w:sz="0" w:space="0" w:color="auto"/>
                                  </w:divBdr>
                                  <w:divsChild>
                                    <w:div w:id="1790010868">
                                      <w:marLeft w:val="0"/>
                                      <w:marRight w:val="0"/>
                                      <w:marTop w:val="0"/>
                                      <w:marBottom w:val="0"/>
                                      <w:divBdr>
                                        <w:top w:val="none" w:sz="0" w:space="0" w:color="auto"/>
                                        <w:left w:val="none" w:sz="0" w:space="0" w:color="auto"/>
                                        <w:bottom w:val="none" w:sz="0" w:space="0" w:color="auto"/>
                                        <w:right w:val="none" w:sz="0" w:space="0" w:color="auto"/>
                                      </w:divBdr>
                                      <w:divsChild>
                                        <w:div w:id="204416139">
                                          <w:marLeft w:val="0"/>
                                          <w:marRight w:val="0"/>
                                          <w:marTop w:val="0"/>
                                          <w:marBottom w:val="0"/>
                                          <w:divBdr>
                                            <w:top w:val="none" w:sz="0" w:space="0" w:color="auto"/>
                                            <w:left w:val="none" w:sz="0" w:space="0" w:color="auto"/>
                                            <w:bottom w:val="none" w:sz="0" w:space="0" w:color="auto"/>
                                            <w:right w:val="none" w:sz="0" w:space="0" w:color="auto"/>
                                          </w:divBdr>
                                          <w:divsChild>
                                            <w:div w:id="827550761">
                                              <w:marLeft w:val="0"/>
                                              <w:marRight w:val="0"/>
                                              <w:marTop w:val="0"/>
                                              <w:marBottom w:val="0"/>
                                              <w:divBdr>
                                                <w:top w:val="none" w:sz="0" w:space="0" w:color="auto"/>
                                                <w:left w:val="none" w:sz="0" w:space="0" w:color="auto"/>
                                                <w:bottom w:val="none" w:sz="0" w:space="0" w:color="auto"/>
                                                <w:right w:val="none" w:sz="0" w:space="0" w:color="auto"/>
                                              </w:divBdr>
                                              <w:divsChild>
                                                <w:div w:id="1944996060">
                                                  <w:marLeft w:val="0"/>
                                                  <w:marRight w:val="0"/>
                                                  <w:marTop w:val="0"/>
                                                  <w:marBottom w:val="0"/>
                                                  <w:divBdr>
                                                    <w:top w:val="none" w:sz="0" w:space="0" w:color="auto"/>
                                                    <w:left w:val="none" w:sz="0" w:space="0" w:color="auto"/>
                                                    <w:bottom w:val="none" w:sz="0" w:space="0" w:color="auto"/>
                                                    <w:right w:val="none" w:sz="0" w:space="0" w:color="auto"/>
                                                  </w:divBdr>
                                                  <w:divsChild>
                                                    <w:div w:id="2131436276">
                                                      <w:marLeft w:val="0"/>
                                                      <w:marRight w:val="0"/>
                                                      <w:marTop w:val="0"/>
                                                      <w:marBottom w:val="0"/>
                                                      <w:divBdr>
                                                        <w:top w:val="none" w:sz="0" w:space="0" w:color="auto"/>
                                                        <w:left w:val="none" w:sz="0" w:space="0" w:color="auto"/>
                                                        <w:bottom w:val="none" w:sz="0" w:space="0" w:color="auto"/>
                                                        <w:right w:val="none" w:sz="0" w:space="0" w:color="auto"/>
                                                      </w:divBdr>
                                                      <w:divsChild>
                                                        <w:div w:id="17491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001318">
      <w:bodyDiv w:val="1"/>
      <w:marLeft w:val="0"/>
      <w:marRight w:val="0"/>
      <w:marTop w:val="0"/>
      <w:marBottom w:val="0"/>
      <w:divBdr>
        <w:top w:val="none" w:sz="0" w:space="0" w:color="auto"/>
        <w:left w:val="none" w:sz="0" w:space="0" w:color="auto"/>
        <w:bottom w:val="none" w:sz="0" w:space="0" w:color="auto"/>
        <w:right w:val="none" w:sz="0" w:space="0" w:color="auto"/>
      </w:divBdr>
      <w:divsChild>
        <w:div w:id="2039039767">
          <w:marLeft w:val="0"/>
          <w:marRight w:val="0"/>
          <w:marTop w:val="0"/>
          <w:marBottom w:val="0"/>
          <w:divBdr>
            <w:top w:val="none" w:sz="0" w:space="0" w:color="auto"/>
            <w:left w:val="none" w:sz="0" w:space="0" w:color="auto"/>
            <w:bottom w:val="none" w:sz="0" w:space="0" w:color="auto"/>
            <w:right w:val="none" w:sz="0" w:space="0" w:color="auto"/>
          </w:divBdr>
          <w:divsChild>
            <w:div w:id="1573662760">
              <w:marLeft w:val="0"/>
              <w:marRight w:val="0"/>
              <w:marTop w:val="0"/>
              <w:marBottom w:val="0"/>
              <w:divBdr>
                <w:top w:val="none" w:sz="0" w:space="0" w:color="auto"/>
                <w:left w:val="none" w:sz="0" w:space="0" w:color="auto"/>
                <w:bottom w:val="none" w:sz="0" w:space="0" w:color="auto"/>
                <w:right w:val="none" w:sz="0" w:space="0" w:color="auto"/>
              </w:divBdr>
              <w:divsChild>
                <w:div w:id="1451776582">
                  <w:marLeft w:val="0"/>
                  <w:marRight w:val="0"/>
                  <w:marTop w:val="0"/>
                  <w:marBottom w:val="0"/>
                  <w:divBdr>
                    <w:top w:val="none" w:sz="0" w:space="0" w:color="auto"/>
                    <w:left w:val="none" w:sz="0" w:space="0" w:color="auto"/>
                    <w:bottom w:val="none" w:sz="0" w:space="0" w:color="auto"/>
                    <w:right w:val="none" w:sz="0" w:space="0" w:color="auto"/>
                  </w:divBdr>
                  <w:divsChild>
                    <w:div w:id="980889635">
                      <w:marLeft w:val="0"/>
                      <w:marRight w:val="0"/>
                      <w:marTop w:val="0"/>
                      <w:marBottom w:val="0"/>
                      <w:divBdr>
                        <w:top w:val="none" w:sz="0" w:space="0" w:color="auto"/>
                        <w:left w:val="none" w:sz="0" w:space="0" w:color="auto"/>
                        <w:bottom w:val="none" w:sz="0" w:space="0" w:color="auto"/>
                        <w:right w:val="none" w:sz="0" w:space="0" w:color="auto"/>
                      </w:divBdr>
                      <w:divsChild>
                        <w:div w:id="1298802856">
                          <w:marLeft w:val="0"/>
                          <w:marRight w:val="0"/>
                          <w:marTop w:val="0"/>
                          <w:marBottom w:val="0"/>
                          <w:divBdr>
                            <w:top w:val="none" w:sz="0" w:space="0" w:color="auto"/>
                            <w:left w:val="none" w:sz="0" w:space="0" w:color="auto"/>
                            <w:bottom w:val="none" w:sz="0" w:space="0" w:color="auto"/>
                            <w:right w:val="none" w:sz="0" w:space="0" w:color="auto"/>
                          </w:divBdr>
                          <w:divsChild>
                            <w:div w:id="78913443">
                              <w:marLeft w:val="0"/>
                              <w:marRight w:val="0"/>
                              <w:marTop w:val="0"/>
                              <w:marBottom w:val="0"/>
                              <w:divBdr>
                                <w:top w:val="none" w:sz="0" w:space="0" w:color="auto"/>
                                <w:left w:val="none" w:sz="0" w:space="0" w:color="auto"/>
                                <w:bottom w:val="none" w:sz="0" w:space="0" w:color="auto"/>
                                <w:right w:val="none" w:sz="0" w:space="0" w:color="auto"/>
                              </w:divBdr>
                              <w:divsChild>
                                <w:div w:id="2953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585685">
      <w:bodyDiv w:val="1"/>
      <w:marLeft w:val="0"/>
      <w:marRight w:val="0"/>
      <w:marTop w:val="0"/>
      <w:marBottom w:val="0"/>
      <w:divBdr>
        <w:top w:val="none" w:sz="0" w:space="0" w:color="auto"/>
        <w:left w:val="none" w:sz="0" w:space="0" w:color="auto"/>
        <w:bottom w:val="none" w:sz="0" w:space="0" w:color="auto"/>
        <w:right w:val="none" w:sz="0" w:space="0" w:color="auto"/>
      </w:divBdr>
    </w:div>
    <w:div w:id="1728727412">
      <w:bodyDiv w:val="1"/>
      <w:marLeft w:val="0"/>
      <w:marRight w:val="0"/>
      <w:marTop w:val="0"/>
      <w:marBottom w:val="0"/>
      <w:divBdr>
        <w:top w:val="none" w:sz="0" w:space="0" w:color="auto"/>
        <w:left w:val="none" w:sz="0" w:space="0" w:color="auto"/>
        <w:bottom w:val="none" w:sz="0" w:space="0" w:color="auto"/>
        <w:right w:val="none" w:sz="0" w:space="0" w:color="auto"/>
      </w:divBdr>
    </w:div>
    <w:div w:id="1760977939">
      <w:bodyDiv w:val="1"/>
      <w:marLeft w:val="0"/>
      <w:marRight w:val="0"/>
      <w:marTop w:val="0"/>
      <w:marBottom w:val="0"/>
      <w:divBdr>
        <w:top w:val="none" w:sz="0" w:space="0" w:color="auto"/>
        <w:left w:val="none" w:sz="0" w:space="0" w:color="auto"/>
        <w:bottom w:val="none" w:sz="0" w:space="0" w:color="auto"/>
        <w:right w:val="none" w:sz="0" w:space="0" w:color="auto"/>
      </w:divBdr>
    </w:div>
    <w:div w:id="1809475833">
      <w:bodyDiv w:val="1"/>
      <w:marLeft w:val="0"/>
      <w:marRight w:val="0"/>
      <w:marTop w:val="0"/>
      <w:marBottom w:val="0"/>
      <w:divBdr>
        <w:top w:val="none" w:sz="0" w:space="0" w:color="auto"/>
        <w:left w:val="none" w:sz="0" w:space="0" w:color="auto"/>
        <w:bottom w:val="none" w:sz="0" w:space="0" w:color="auto"/>
        <w:right w:val="none" w:sz="0" w:space="0" w:color="auto"/>
      </w:divBdr>
    </w:div>
    <w:div w:id="1880044016">
      <w:bodyDiv w:val="1"/>
      <w:marLeft w:val="0"/>
      <w:marRight w:val="0"/>
      <w:marTop w:val="0"/>
      <w:marBottom w:val="0"/>
      <w:divBdr>
        <w:top w:val="none" w:sz="0" w:space="0" w:color="auto"/>
        <w:left w:val="none" w:sz="0" w:space="0" w:color="auto"/>
        <w:bottom w:val="none" w:sz="0" w:space="0" w:color="auto"/>
        <w:right w:val="none" w:sz="0" w:space="0" w:color="auto"/>
      </w:divBdr>
    </w:div>
    <w:div w:id="2017807306">
      <w:bodyDiv w:val="1"/>
      <w:marLeft w:val="0"/>
      <w:marRight w:val="0"/>
      <w:marTop w:val="0"/>
      <w:marBottom w:val="0"/>
      <w:divBdr>
        <w:top w:val="none" w:sz="0" w:space="0" w:color="auto"/>
        <w:left w:val="none" w:sz="0" w:space="0" w:color="auto"/>
        <w:bottom w:val="none" w:sz="0" w:space="0" w:color="auto"/>
        <w:right w:val="none" w:sz="0" w:space="0" w:color="auto"/>
      </w:divBdr>
      <w:divsChild>
        <w:div w:id="750932811">
          <w:marLeft w:val="0"/>
          <w:marRight w:val="0"/>
          <w:marTop w:val="0"/>
          <w:marBottom w:val="0"/>
          <w:divBdr>
            <w:top w:val="none" w:sz="0" w:space="0" w:color="auto"/>
            <w:left w:val="none" w:sz="0" w:space="0" w:color="auto"/>
            <w:bottom w:val="none" w:sz="0" w:space="0" w:color="auto"/>
            <w:right w:val="none" w:sz="0" w:space="0" w:color="auto"/>
          </w:divBdr>
          <w:divsChild>
            <w:div w:id="1966620898">
              <w:marLeft w:val="0"/>
              <w:marRight w:val="0"/>
              <w:marTop w:val="0"/>
              <w:marBottom w:val="0"/>
              <w:divBdr>
                <w:top w:val="none" w:sz="0" w:space="0" w:color="auto"/>
                <w:left w:val="none" w:sz="0" w:space="0" w:color="auto"/>
                <w:bottom w:val="none" w:sz="0" w:space="0" w:color="auto"/>
                <w:right w:val="none" w:sz="0" w:space="0" w:color="auto"/>
              </w:divBdr>
              <w:divsChild>
                <w:div w:id="1138493517">
                  <w:marLeft w:val="0"/>
                  <w:marRight w:val="0"/>
                  <w:marTop w:val="0"/>
                  <w:marBottom w:val="0"/>
                  <w:divBdr>
                    <w:top w:val="none" w:sz="0" w:space="0" w:color="auto"/>
                    <w:left w:val="none" w:sz="0" w:space="0" w:color="auto"/>
                    <w:bottom w:val="none" w:sz="0" w:space="0" w:color="auto"/>
                    <w:right w:val="none" w:sz="0" w:space="0" w:color="auto"/>
                  </w:divBdr>
                  <w:divsChild>
                    <w:div w:id="1721243755">
                      <w:marLeft w:val="0"/>
                      <w:marRight w:val="0"/>
                      <w:marTop w:val="0"/>
                      <w:marBottom w:val="0"/>
                      <w:divBdr>
                        <w:top w:val="none" w:sz="0" w:space="0" w:color="auto"/>
                        <w:left w:val="none" w:sz="0" w:space="0" w:color="auto"/>
                        <w:bottom w:val="none" w:sz="0" w:space="0" w:color="auto"/>
                        <w:right w:val="none" w:sz="0" w:space="0" w:color="auto"/>
                      </w:divBdr>
                      <w:divsChild>
                        <w:div w:id="218514780">
                          <w:marLeft w:val="0"/>
                          <w:marRight w:val="0"/>
                          <w:marTop w:val="0"/>
                          <w:marBottom w:val="0"/>
                          <w:divBdr>
                            <w:top w:val="none" w:sz="0" w:space="0" w:color="auto"/>
                            <w:left w:val="none" w:sz="0" w:space="0" w:color="auto"/>
                            <w:bottom w:val="none" w:sz="0" w:space="0" w:color="auto"/>
                            <w:right w:val="none" w:sz="0" w:space="0" w:color="auto"/>
                          </w:divBdr>
                          <w:divsChild>
                            <w:div w:id="929120244">
                              <w:marLeft w:val="0"/>
                              <w:marRight w:val="0"/>
                              <w:marTop w:val="0"/>
                              <w:marBottom w:val="0"/>
                              <w:divBdr>
                                <w:top w:val="none" w:sz="0" w:space="0" w:color="auto"/>
                                <w:left w:val="none" w:sz="0" w:space="0" w:color="auto"/>
                                <w:bottom w:val="none" w:sz="0" w:space="0" w:color="auto"/>
                                <w:right w:val="none" w:sz="0" w:space="0" w:color="auto"/>
                              </w:divBdr>
                              <w:divsChild>
                                <w:div w:id="681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05217">
      <w:bodyDiv w:val="1"/>
      <w:marLeft w:val="0"/>
      <w:marRight w:val="0"/>
      <w:marTop w:val="0"/>
      <w:marBottom w:val="0"/>
      <w:divBdr>
        <w:top w:val="none" w:sz="0" w:space="0" w:color="auto"/>
        <w:left w:val="none" w:sz="0" w:space="0" w:color="auto"/>
        <w:bottom w:val="none" w:sz="0" w:space="0" w:color="auto"/>
        <w:right w:val="none" w:sz="0" w:space="0" w:color="auto"/>
      </w:divBdr>
    </w:div>
    <w:div w:id="21106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LIQUIDITY RATIO CHART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Current ratio</c:v>
                </c:pt>
                <c:pt idx="1">
                  <c:v>Quick ratio</c:v>
                </c:pt>
                <c:pt idx="2">
                  <c:v>Cash ratio</c:v>
                </c:pt>
              </c:strCache>
            </c:strRef>
          </c:cat>
          <c:val>
            <c:numRef>
              <c:f>Sheet1!$B$2:$B$4</c:f>
              <c:numCache>
                <c:formatCode>General</c:formatCode>
                <c:ptCount val="3"/>
                <c:pt idx="0">
                  <c:v>0.88</c:v>
                </c:pt>
                <c:pt idx="1">
                  <c:v>0.85</c:v>
                </c:pt>
                <c:pt idx="2">
                  <c:v>0.15</c:v>
                </c:pt>
              </c:numCache>
            </c:numRef>
          </c:val>
          <c:extLst>
            <c:ext xmlns:c16="http://schemas.microsoft.com/office/drawing/2014/chart" uri="{C3380CC4-5D6E-409C-BE32-E72D297353CC}">
              <c16:uniqueId val="{00000000-00B5-4797-8197-C1A31A1267BD}"/>
            </c:ext>
          </c:extLst>
        </c:ser>
        <c:ser>
          <c:idx val="1"/>
          <c:order val="1"/>
          <c:tx>
            <c:strRef>
              <c:f>Sheet1!$C$1</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Current ratio</c:v>
                </c:pt>
                <c:pt idx="1">
                  <c:v>Quick ratio</c:v>
                </c:pt>
                <c:pt idx="2">
                  <c:v>Cash ratio</c:v>
                </c:pt>
              </c:strCache>
            </c:strRef>
          </c:cat>
          <c:val>
            <c:numRef>
              <c:f>Sheet1!$C$2:$C$4</c:f>
              <c:numCache>
                <c:formatCode>General</c:formatCode>
                <c:ptCount val="3"/>
                <c:pt idx="0">
                  <c:v>1.07</c:v>
                </c:pt>
                <c:pt idx="1">
                  <c:v>1.02</c:v>
                </c:pt>
                <c:pt idx="2">
                  <c:v>0.28000000000000003</c:v>
                </c:pt>
              </c:numCache>
            </c:numRef>
          </c:val>
          <c:extLst>
            <c:ext xmlns:c16="http://schemas.microsoft.com/office/drawing/2014/chart" uri="{C3380CC4-5D6E-409C-BE32-E72D297353CC}">
              <c16:uniqueId val="{00000001-00B5-4797-8197-C1A31A1267BD}"/>
            </c:ext>
          </c:extLst>
        </c:ser>
        <c:ser>
          <c:idx val="2"/>
          <c:order val="2"/>
          <c:tx>
            <c:strRef>
              <c:f>Sheet1!$D$1</c:f>
              <c:strCache>
                <c:ptCount val="1"/>
                <c:pt idx="0">
                  <c:v>2020</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Current ratio</c:v>
                </c:pt>
                <c:pt idx="1">
                  <c:v>Quick ratio</c:v>
                </c:pt>
                <c:pt idx="2">
                  <c:v>Cash ratio</c:v>
                </c:pt>
              </c:strCache>
            </c:strRef>
          </c:cat>
          <c:val>
            <c:numRef>
              <c:f>Sheet1!$D$2:$D$4</c:f>
              <c:numCache>
                <c:formatCode>General</c:formatCode>
                <c:ptCount val="3"/>
                <c:pt idx="0">
                  <c:v>1.36</c:v>
                </c:pt>
                <c:pt idx="1">
                  <c:v>1.33</c:v>
                </c:pt>
                <c:pt idx="2">
                  <c:v>0.36</c:v>
                </c:pt>
              </c:numCache>
            </c:numRef>
          </c:val>
          <c:extLst>
            <c:ext xmlns:c16="http://schemas.microsoft.com/office/drawing/2014/chart" uri="{C3380CC4-5D6E-409C-BE32-E72D297353CC}">
              <c16:uniqueId val="{00000002-00B5-4797-8197-C1A31A1267BD}"/>
            </c:ext>
          </c:extLst>
        </c:ser>
        <c:dLbls>
          <c:showLegendKey val="0"/>
          <c:showVal val="0"/>
          <c:showCatName val="0"/>
          <c:showSerName val="0"/>
          <c:showPercent val="0"/>
          <c:showBubbleSize val="0"/>
        </c:dLbls>
        <c:gapWidth val="100"/>
        <c:overlap val="-24"/>
        <c:axId val="1279925167"/>
        <c:axId val="1279935727"/>
      </c:barChart>
      <c:catAx>
        <c:axId val="127992516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9935727"/>
        <c:crosses val="autoZero"/>
        <c:auto val="1"/>
        <c:lblAlgn val="ctr"/>
        <c:lblOffset val="100"/>
        <c:noMultiLvlLbl val="0"/>
      </c:catAx>
      <c:valAx>
        <c:axId val="1279935727"/>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79925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OTHER LIQUIDITY RATIOS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Sheet2!$A$2</c:f>
              <c:strCache>
                <c:ptCount val="1"/>
                <c:pt idx="0">
                  <c:v>2020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Sheet2!$B$1:$D$1</c:f>
              <c:strCache>
                <c:ptCount val="3"/>
                <c:pt idx="0">
                  <c:v>Inventory Days</c:v>
                </c:pt>
                <c:pt idx="1">
                  <c:v>Payable Days</c:v>
                </c:pt>
                <c:pt idx="2">
                  <c:v>Receivable days</c:v>
                </c:pt>
              </c:strCache>
            </c:strRef>
          </c:cat>
          <c:val>
            <c:numRef>
              <c:f>Sheet2!$B$2:$D$2</c:f>
              <c:numCache>
                <c:formatCode>General</c:formatCode>
                <c:ptCount val="3"/>
                <c:pt idx="0">
                  <c:v>9</c:v>
                </c:pt>
                <c:pt idx="1">
                  <c:v>91</c:v>
                </c:pt>
                <c:pt idx="2">
                  <c:v>21</c:v>
                </c:pt>
              </c:numCache>
            </c:numRef>
          </c:val>
          <c:extLst>
            <c:ext xmlns:c16="http://schemas.microsoft.com/office/drawing/2014/chart" uri="{C3380CC4-5D6E-409C-BE32-E72D297353CC}">
              <c16:uniqueId val="{00000000-5DF0-41EE-BF77-ED131AD607FD}"/>
            </c:ext>
          </c:extLst>
        </c:ser>
        <c:ser>
          <c:idx val="1"/>
          <c:order val="1"/>
          <c:tx>
            <c:strRef>
              <c:f>Sheet2!$A$3</c:f>
              <c:strCache>
                <c:ptCount val="1"/>
                <c:pt idx="0">
                  <c:v>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Sheet2!$B$1:$D$1</c:f>
              <c:strCache>
                <c:ptCount val="3"/>
                <c:pt idx="0">
                  <c:v>Inventory Days</c:v>
                </c:pt>
                <c:pt idx="1">
                  <c:v>Payable Days</c:v>
                </c:pt>
                <c:pt idx="2">
                  <c:v>Receivable days</c:v>
                </c:pt>
              </c:strCache>
            </c:strRef>
          </c:cat>
          <c:val>
            <c:numRef>
              <c:f>Sheet2!$B$3:$D$3</c:f>
              <c:numCache>
                <c:formatCode>General</c:formatCode>
                <c:ptCount val="3"/>
                <c:pt idx="0">
                  <c:v>11</c:v>
                </c:pt>
                <c:pt idx="1">
                  <c:v>94</c:v>
                </c:pt>
                <c:pt idx="2">
                  <c:v>26</c:v>
                </c:pt>
              </c:numCache>
            </c:numRef>
          </c:val>
          <c:extLst>
            <c:ext xmlns:c16="http://schemas.microsoft.com/office/drawing/2014/chart" uri="{C3380CC4-5D6E-409C-BE32-E72D297353CC}">
              <c16:uniqueId val="{00000001-5DF0-41EE-BF77-ED131AD607FD}"/>
            </c:ext>
          </c:extLst>
        </c:ser>
        <c:ser>
          <c:idx val="2"/>
          <c:order val="2"/>
          <c:tx>
            <c:strRef>
              <c:f>Sheet2!$A$4</c:f>
              <c:strCache>
                <c:ptCount val="1"/>
                <c:pt idx="0">
                  <c:v>2022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Sheet2!$B$1:$D$1</c:f>
              <c:strCache>
                <c:ptCount val="3"/>
                <c:pt idx="0">
                  <c:v>Inventory Days</c:v>
                </c:pt>
                <c:pt idx="1">
                  <c:v>Payable Days</c:v>
                </c:pt>
                <c:pt idx="2">
                  <c:v>Receivable days</c:v>
                </c:pt>
              </c:strCache>
            </c:strRef>
          </c:cat>
          <c:val>
            <c:numRef>
              <c:f>Sheet2!$B$4:$D$4</c:f>
              <c:numCache>
                <c:formatCode>General</c:formatCode>
                <c:ptCount val="3"/>
                <c:pt idx="0">
                  <c:v>8</c:v>
                </c:pt>
                <c:pt idx="1">
                  <c:v>104</c:v>
                </c:pt>
                <c:pt idx="2">
                  <c:v>26</c:v>
                </c:pt>
              </c:numCache>
            </c:numRef>
          </c:val>
          <c:extLst>
            <c:ext xmlns:c16="http://schemas.microsoft.com/office/drawing/2014/chart" uri="{C3380CC4-5D6E-409C-BE32-E72D297353CC}">
              <c16:uniqueId val="{00000002-5DF0-41EE-BF77-ED131AD607FD}"/>
            </c:ext>
          </c:extLst>
        </c:ser>
        <c:dLbls>
          <c:showLegendKey val="0"/>
          <c:showVal val="0"/>
          <c:showCatName val="0"/>
          <c:showSerName val="0"/>
          <c:showPercent val="0"/>
          <c:showBubbleSize val="0"/>
        </c:dLbls>
        <c:gapWidth val="100"/>
        <c:overlap val="-24"/>
        <c:axId val="2764448"/>
        <c:axId val="2757728"/>
      </c:barChart>
      <c:catAx>
        <c:axId val="276444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757728"/>
        <c:crosses val="autoZero"/>
        <c:auto val="1"/>
        <c:lblAlgn val="ctr"/>
        <c:lblOffset val="100"/>
        <c:noMultiLvlLbl val="0"/>
      </c:catAx>
      <c:valAx>
        <c:axId val="27577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76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PROFITABILITY MARGIN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cked"/>
        <c:varyColors val="0"/>
        <c:ser>
          <c:idx val="0"/>
          <c:order val="0"/>
          <c:tx>
            <c:strRef>
              <c:f>'SHEET 3'!$A$2</c:f>
              <c:strCache>
                <c:ptCount val="1"/>
                <c:pt idx="0">
                  <c:v>2020</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 3'!$B$1:$E$1</c:f>
              <c:strCache>
                <c:ptCount val="4"/>
                <c:pt idx="0">
                  <c:v>Gross Margin</c:v>
                </c:pt>
                <c:pt idx="1">
                  <c:v>EBITDA margin</c:v>
                </c:pt>
                <c:pt idx="2">
                  <c:v>EBIT margin</c:v>
                </c:pt>
                <c:pt idx="3">
                  <c:v>Net margin</c:v>
                </c:pt>
              </c:strCache>
            </c:strRef>
          </c:cat>
          <c:val>
            <c:numRef>
              <c:f>'SHEET 3'!$B$2:$E$2</c:f>
              <c:numCache>
                <c:formatCode>0%</c:formatCode>
                <c:ptCount val="4"/>
                <c:pt idx="0">
                  <c:v>0.38</c:v>
                </c:pt>
                <c:pt idx="1">
                  <c:v>0.24</c:v>
                </c:pt>
                <c:pt idx="2">
                  <c:v>0.24</c:v>
                </c:pt>
                <c:pt idx="3">
                  <c:v>0.21</c:v>
                </c:pt>
              </c:numCache>
            </c:numRef>
          </c:val>
          <c:smooth val="0"/>
          <c:extLst>
            <c:ext xmlns:c16="http://schemas.microsoft.com/office/drawing/2014/chart" uri="{C3380CC4-5D6E-409C-BE32-E72D297353CC}">
              <c16:uniqueId val="{00000000-9BDB-47E0-AECB-5DFD559E375F}"/>
            </c:ext>
          </c:extLst>
        </c:ser>
        <c:ser>
          <c:idx val="1"/>
          <c:order val="1"/>
          <c:tx>
            <c:strRef>
              <c:f>'SHEET 3'!$A$3</c:f>
              <c:strCache>
                <c:ptCount val="1"/>
                <c:pt idx="0">
                  <c:v>2021</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 3'!$B$1:$E$1</c:f>
              <c:strCache>
                <c:ptCount val="4"/>
                <c:pt idx="0">
                  <c:v>Gross Margin</c:v>
                </c:pt>
                <c:pt idx="1">
                  <c:v>EBITDA margin</c:v>
                </c:pt>
                <c:pt idx="2">
                  <c:v>EBIT margin</c:v>
                </c:pt>
                <c:pt idx="3">
                  <c:v>Net margin</c:v>
                </c:pt>
              </c:strCache>
            </c:strRef>
          </c:cat>
          <c:val>
            <c:numRef>
              <c:f>'SHEET 3'!$B$3:$E$3</c:f>
              <c:numCache>
                <c:formatCode>0%</c:formatCode>
                <c:ptCount val="4"/>
                <c:pt idx="0">
                  <c:v>0.42</c:v>
                </c:pt>
                <c:pt idx="1">
                  <c:v>0.3</c:v>
                </c:pt>
                <c:pt idx="2">
                  <c:v>0.3</c:v>
                </c:pt>
                <c:pt idx="3">
                  <c:v>0.26</c:v>
                </c:pt>
              </c:numCache>
            </c:numRef>
          </c:val>
          <c:smooth val="0"/>
          <c:extLst>
            <c:ext xmlns:c16="http://schemas.microsoft.com/office/drawing/2014/chart" uri="{C3380CC4-5D6E-409C-BE32-E72D297353CC}">
              <c16:uniqueId val="{00000001-9BDB-47E0-AECB-5DFD559E375F}"/>
            </c:ext>
          </c:extLst>
        </c:ser>
        <c:ser>
          <c:idx val="2"/>
          <c:order val="2"/>
          <c:tx>
            <c:strRef>
              <c:f>'SHEET 3'!$A$4</c:f>
              <c:strCache>
                <c:ptCount val="1"/>
                <c:pt idx="0">
                  <c:v>2022</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'SHEET 3'!$B$1:$E$1</c:f>
              <c:strCache>
                <c:ptCount val="4"/>
                <c:pt idx="0">
                  <c:v>Gross Margin</c:v>
                </c:pt>
                <c:pt idx="1">
                  <c:v>EBITDA margin</c:v>
                </c:pt>
                <c:pt idx="2">
                  <c:v>EBIT margin</c:v>
                </c:pt>
                <c:pt idx="3">
                  <c:v>Net margin</c:v>
                </c:pt>
              </c:strCache>
            </c:strRef>
          </c:cat>
          <c:val>
            <c:numRef>
              <c:f>'SHEET 3'!$B$4:$E$4</c:f>
              <c:numCache>
                <c:formatCode>0%</c:formatCode>
                <c:ptCount val="4"/>
                <c:pt idx="0">
                  <c:v>0.43</c:v>
                </c:pt>
                <c:pt idx="1">
                  <c:v>0.3</c:v>
                </c:pt>
                <c:pt idx="2">
                  <c:v>0.3</c:v>
                </c:pt>
                <c:pt idx="3">
                  <c:v>0.25</c:v>
                </c:pt>
              </c:numCache>
            </c:numRef>
          </c:val>
          <c:smooth val="0"/>
          <c:extLst>
            <c:ext xmlns:c16="http://schemas.microsoft.com/office/drawing/2014/chart" uri="{C3380CC4-5D6E-409C-BE32-E72D297353CC}">
              <c16:uniqueId val="{00000002-9BDB-47E0-AECB-5DFD559E375F}"/>
            </c:ext>
          </c:extLst>
        </c:ser>
        <c:dLbls>
          <c:showLegendKey val="0"/>
          <c:showVal val="0"/>
          <c:showCatName val="0"/>
          <c:showSerName val="0"/>
          <c:showPercent val="0"/>
          <c:showBubbleSize val="0"/>
        </c:dLbls>
        <c:smooth val="0"/>
        <c:axId val="237610960"/>
        <c:axId val="237611920"/>
      </c:lineChart>
      <c:catAx>
        <c:axId val="23761096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7611920"/>
        <c:crosses val="autoZero"/>
        <c:auto val="1"/>
        <c:lblAlgn val="ctr"/>
        <c:lblOffset val="100"/>
        <c:noMultiLvlLbl val="0"/>
      </c:catAx>
      <c:valAx>
        <c:axId val="23761192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3761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MARGINS AS A PERCENTAGE OF NET SALES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cked"/>
        <c:varyColors val="0"/>
        <c:ser>
          <c:idx val="0"/>
          <c:order val="0"/>
          <c:tx>
            <c:strRef>
              <c:f>Sheet6!$A$2</c:f>
              <c:strCache>
                <c:ptCount val="1"/>
                <c:pt idx="0">
                  <c:v>2020</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Sheet6!$B$1:$G$1</c:f>
              <c:strCache>
                <c:ptCount val="6"/>
                <c:pt idx="0">
                  <c:v>Cost of goods sold</c:v>
                </c:pt>
                <c:pt idx="1">
                  <c:v>Gross profits</c:v>
                </c:pt>
                <c:pt idx="2">
                  <c:v>Research and development</c:v>
                </c:pt>
                <c:pt idx="3">
                  <c:v>Selling,general and administrative</c:v>
                </c:pt>
                <c:pt idx="4">
                  <c:v>Opearting income</c:v>
                </c:pt>
                <c:pt idx="5">
                  <c:v>Net profit</c:v>
                </c:pt>
              </c:strCache>
            </c:strRef>
          </c:cat>
          <c:val>
            <c:numRef>
              <c:f>Sheet6!$B$2:$G$2</c:f>
              <c:numCache>
                <c:formatCode>General</c:formatCode>
                <c:ptCount val="6"/>
                <c:pt idx="0">
                  <c:v>0.62</c:v>
                </c:pt>
                <c:pt idx="1">
                  <c:v>0.38</c:v>
                </c:pt>
                <c:pt idx="2">
                  <c:v>7.0000000000000007E-2</c:v>
                </c:pt>
                <c:pt idx="3">
                  <c:v>7.0000000000000007E-2</c:v>
                </c:pt>
                <c:pt idx="4">
                  <c:v>0.24</c:v>
                </c:pt>
                <c:pt idx="5">
                  <c:v>0.21</c:v>
                </c:pt>
              </c:numCache>
            </c:numRef>
          </c:val>
          <c:smooth val="0"/>
          <c:extLst>
            <c:ext xmlns:c16="http://schemas.microsoft.com/office/drawing/2014/chart" uri="{C3380CC4-5D6E-409C-BE32-E72D297353CC}">
              <c16:uniqueId val="{00000000-C317-47B1-BB22-5C5F8488F530}"/>
            </c:ext>
          </c:extLst>
        </c:ser>
        <c:ser>
          <c:idx val="1"/>
          <c:order val="1"/>
          <c:tx>
            <c:strRef>
              <c:f>Sheet6!$A$3</c:f>
              <c:strCache>
                <c:ptCount val="1"/>
                <c:pt idx="0">
                  <c:v>2021</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Sheet6!$B$1:$G$1</c:f>
              <c:strCache>
                <c:ptCount val="6"/>
                <c:pt idx="0">
                  <c:v>Cost of goods sold</c:v>
                </c:pt>
                <c:pt idx="1">
                  <c:v>Gross profits</c:v>
                </c:pt>
                <c:pt idx="2">
                  <c:v>Research and development</c:v>
                </c:pt>
                <c:pt idx="3">
                  <c:v>Selling,general and administrative</c:v>
                </c:pt>
                <c:pt idx="4">
                  <c:v>Opearting income</c:v>
                </c:pt>
                <c:pt idx="5">
                  <c:v>Net profit</c:v>
                </c:pt>
              </c:strCache>
            </c:strRef>
          </c:cat>
          <c:val>
            <c:numRef>
              <c:f>Sheet6!$B$3:$G$3</c:f>
              <c:numCache>
                <c:formatCode>General</c:formatCode>
                <c:ptCount val="6"/>
                <c:pt idx="0">
                  <c:v>0.57999999999999996</c:v>
                </c:pt>
                <c:pt idx="1">
                  <c:v>0.42</c:v>
                </c:pt>
                <c:pt idx="2">
                  <c:v>0.06</c:v>
                </c:pt>
                <c:pt idx="3">
                  <c:v>0.06</c:v>
                </c:pt>
                <c:pt idx="4">
                  <c:v>0.3</c:v>
                </c:pt>
                <c:pt idx="5">
                  <c:v>0.26</c:v>
                </c:pt>
              </c:numCache>
            </c:numRef>
          </c:val>
          <c:smooth val="0"/>
          <c:extLst>
            <c:ext xmlns:c16="http://schemas.microsoft.com/office/drawing/2014/chart" uri="{C3380CC4-5D6E-409C-BE32-E72D297353CC}">
              <c16:uniqueId val="{00000001-C317-47B1-BB22-5C5F8488F530}"/>
            </c:ext>
          </c:extLst>
        </c:ser>
        <c:ser>
          <c:idx val="2"/>
          <c:order val="2"/>
          <c:tx>
            <c:strRef>
              <c:f>Sheet6!$A$4</c:f>
              <c:strCache>
                <c:ptCount val="1"/>
                <c:pt idx="0">
                  <c:v>2022</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Sheet6!$B$1:$G$1</c:f>
              <c:strCache>
                <c:ptCount val="6"/>
                <c:pt idx="0">
                  <c:v>Cost of goods sold</c:v>
                </c:pt>
                <c:pt idx="1">
                  <c:v>Gross profits</c:v>
                </c:pt>
                <c:pt idx="2">
                  <c:v>Research and development</c:v>
                </c:pt>
                <c:pt idx="3">
                  <c:v>Selling,general and administrative</c:v>
                </c:pt>
                <c:pt idx="4">
                  <c:v>Opearting income</c:v>
                </c:pt>
                <c:pt idx="5">
                  <c:v>Net profit</c:v>
                </c:pt>
              </c:strCache>
            </c:strRef>
          </c:cat>
          <c:val>
            <c:numRef>
              <c:f>Sheet6!$B$4:$G$4</c:f>
              <c:numCache>
                <c:formatCode>General</c:formatCode>
                <c:ptCount val="6"/>
                <c:pt idx="0">
                  <c:v>0.56999999999999995</c:v>
                </c:pt>
                <c:pt idx="1">
                  <c:v>0.43</c:v>
                </c:pt>
                <c:pt idx="2">
                  <c:v>7.0000000000000007E-2</c:v>
                </c:pt>
                <c:pt idx="3">
                  <c:v>0.06</c:v>
                </c:pt>
                <c:pt idx="4">
                  <c:v>0.3</c:v>
                </c:pt>
                <c:pt idx="5">
                  <c:v>0.25</c:v>
                </c:pt>
              </c:numCache>
            </c:numRef>
          </c:val>
          <c:smooth val="0"/>
          <c:extLst>
            <c:ext xmlns:c16="http://schemas.microsoft.com/office/drawing/2014/chart" uri="{C3380CC4-5D6E-409C-BE32-E72D297353CC}">
              <c16:uniqueId val="{00000002-C317-47B1-BB22-5C5F8488F530}"/>
            </c:ext>
          </c:extLst>
        </c:ser>
        <c:dLbls>
          <c:showLegendKey val="0"/>
          <c:showVal val="0"/>
          <c:showCatName val="0"/>
          <c:showSerName val="0"/>
          <c:showPercent val="0"/>
          <c:showBubbleSize val="0"/>
        </c:dLbls>
        <c:smooth val="0"/>
        <c:axId val="415098432"/>
        <c:axId val="415101312"/>
      </c:lineChart>
      <c:catAx>
        <c:axId val="41509843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5101312"/>
        <c:crosses val="autoZero"/>
        <c:auto val="1"/>
        <c:lblAlgn val="ctr"/>
        <c:lblOffset val="100"/>
        <c:noMultiLvlLbl val="0"/>
      </c:catAx>
      <c:valAx>
        <c:axId val="41510131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1509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GODSWILL OSIE BOADI-ASARE</dc:creator>
  <cp:keywords/>
  <dc:description/>
  <cp:lastModifiedBy>GODSWILL OSIE BOADI-ASARE</cp:lastModifiedBy>
  <cp:revision>2</cp:revision>
  <dcterms:created xsi:type="dcterms:W3CDTF">2024-11-25T21:49:00Z</dcterms:created>
  <dcterms:modified xsi:type="dcterms:W3CDTF">2024-11-25T21:49:00Z</dcterms:modified>
</cp:coreProperties>
</file>