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ms-office.chartcolorstyle+xml" PartName="/word/charts/colors3.xml"/>
  <Override ContentType="application/vnd.ms-office.chartcolorstyle+xml" PartName="/word/charts/colors2.xml"/>
  <Override ContentType="application/vnd.ms-office.chartcolorstyle+xml" PartName="/word/charts/colors1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drawingml.chart+xml" PartName="/word/charts/chart3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ms-office.chartstyle+xml" PartName="/word/charts/style3.xml"/>
  <Override ContentType="application/vnd.ms-office.chartstyle+xml" PartName="/word/charts/style2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Strategic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Financial Performance Analysis Report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Executive Summary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This report provides a comprehensive analysis of the Apple’s financial performance from 2020    to 2022, examining key financial ratios across liquidity, profitability, growth, asset utilization, and solvency metrics. The analysis reveals a complex financial landscape with both challenges and opportunities. Comprehensive Financial Performance Analysis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Reporting Period: Fiscal Years 2020-2022.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Key Performance Highlights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 Transformation Trajectory: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Revenue Growth: Sustained momentum with 7.79% YoY growth in 2022.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Profitability Enhancement: Consistent margin expansion across key metrics.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Strategic Positioning: Robust operational efficiency with strategic challenges in liquidity management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Comprehensive Performance Scorecard</w:t>
      </w:r>
    </w:p>
    <w:p w:rsidR="00000000" w:rsidDel="00000000" w:rsidP="00000000" w:rsidRDefault="00000000" w:rsidRPr="00000000" w14:paraId="0000000E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8990.000000000002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24"/>
        <w:gridCol w:w="1781"/>
        <w:gridCol w:w="1772"/>
        <w:gridCol w:w="1772"/>
        <w:gridCol w:w="1841"/>
        <w:tblGridChange w:id="0">
          <w:tblGrid>
            <w:gridCol w:w="1824"/>
            <w:gridCol w:w="1781"/>
            <w:gridCol w:w="1772"/>
            <w:gridCol w:w="1772"/>
            <w:gridCol w:w="18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Performance Dimension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Trend Interpretation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Net Sales Growth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Baseline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| 33.26%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| 7.79%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Normalization Phase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Gross Margin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38.23%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41.78%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43.31% |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Consistent Improvement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Return on Assets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17.72%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26.97%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28.29%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Strong Upward Trajectory</w:t>
            </w:r>
          </w:p>
        </w:tc>
      </w:tr>
    </w:tbl>
    <w:p w:rsidR="00000000" w:rsidDel="00000000" w:rsidP="00000000" w:rsidRDefault="00000000" w:rsidRPr="00000000" w14:paraId="00000023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0"/>
        <w:gridCol w:w="1800"/>
        <w:gridCol w:w="1760"/>
        <w:gridCol w:w="1780"/>
        <w:gridCol w:w="1870"/>
        <w:tblGridChange w:id="0">
          <w:tblGrid>
            <w:gridCol w:w="1790"/>
            <w:gridCol w:w="1800"/>
            <w:gridCol w:w="1760"/>
            <w:gridCol w:w="1780"/>
            <w:gridCol w:w="187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Debt to Equity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3.96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| 4.56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5.96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Increased Financial Leverage</w:t>
            </w:r>
          </w:p>
        </w:tc>
      </w:tr>
    </w:tbl>
    <w:p w:rsidR="00000000" w:rsidDel="00000000" w:rsidP="00000000" w:rsidRDefault="00000000" w:rsidRPr="00000000" w14:paraId="00000029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Macroeconomic and Operational Context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Strategic Positioning Analysis The financial performance from 2020 to 2022 represents a critical evolutionary period characterized by: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Post-Pandemic Recovery Dynamics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Exceptional growth in 2021 following global economic disruptions.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Strategic recalibration and normalized growth in 2022 2.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Diversification Strategy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Services segment demonstrating remarkable resilience.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Product sales maintaining steady growth trajectory.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Efficiency Paradigm.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Continuous improvement in asset utilization.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Enhanced operational excellence through strategic investments.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Liquidity Analysis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499100" cy="3213100"/>
            <wp:docPr id="1867974646" name=""/>
            <a:graphic>
              <a:graphicData uri="http://schemas.openxmlformats.org/drawingml/2006/chart">
                <c:chart r:id="rId7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Key Observations: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Ratio: Declined from 1.36 in 2020 to 0.88 in 2022.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Indicates increasing difficulty in meeting short-term obligations.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Potential cash flow or working capital management challenges.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Working Capital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Dramatically decreased from $38,321M in 2020 to -$18,577M in 2022.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Negative working capital suggests potential short-term financial stress.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Detailed Liquidity Metrics </w:t>
      </w:r>
    </w:p>
    <w:tbl>
      <w:tblPr>
        <w:tblStyle w:val="Table3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Ratio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Trend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Current Ratio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1.36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0.88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Declining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Quick Ratio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1.32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1.02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0.85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Deteriorating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Cash Ratio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0.86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0.50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0.31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Significant Reduction</w:t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Comprehensive Liquidity Analysis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Liquidity Indicator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Critical Assessment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Current Ratio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1.36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1.07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0.88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| Strategic Liquidity Compression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Quick Ratio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1.32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1.02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0.85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Reduced Short-Term Flexibility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Cash Ratio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0.86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0.50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0.31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Concentrated Cash Management</w:t>
            </w:r>
          </w:p>
        </w:tc>
      </w:tr>
    </w:tbl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Profound Insights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Deliberate transformation of balance sheet structure.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Potential strategic reallocation of capital resources.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Increased efficiency in working capital management.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Working Capital Dynamics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Financial Engineering Observations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Transition from $38,321M to -$18,577M working capital.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Strategic compression of liquid assets.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Potential preparation for aggressive investment cycle.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Profitability Performance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5956300" cy="2908811"/>
            <wp:docPr id="1867974648" name=""/>
            <a:graphic>
              <a:graphicData uri="http://schemas.openxmlformats.org/drawingml/2006/chart">
                <c:chart r:id="rId8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Positive Developments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Consistent margin expansion across all levels.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Gross Margin increased from 38.23% in 2020 to 43.31% in 2022.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 Margin improved from 20.91% in 2020 to 25.31% in 2022.</w:t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Margin Expansion Methodology</w:t>
      </w:r>
    </w:p>
    <w:tbl>
      <w:tblPr>
        <w:tblStyle w:val="Table5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Margin Classification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Strategic Interpretation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Gross Margin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38.23%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41.78%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43.31%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Sustainable Value Creation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EBITDA Margin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28.17%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32.85%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33.10%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Operational Excellence |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Net Margin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20.91%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25.88%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25.31%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Consistent Profitability</w:t>
            </w:r>
          </w:p>
        </w:tc>
      </w:tr>
    </w:tbl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Advanced Margin Insights: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Systematic gross margin enhancement.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efficiency translating into profitability.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Sophisticated cost management strategies.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Growth Dynamics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Year-over-Year Growth Rates 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511800" cy="2197100"/>
            <wp:docPr id="1867974647" name=""/>
            <a:graphic>
              <a:graphicData uri="http://schemas.openxmlformats.org/drawingml/2006/chart">
                <c:chart r:id="rId9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Highlights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Net Sales Growth: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2020-2021: Exceptional 33.26%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2021-2022: Moderated to 7.79%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Services Sales Growth: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Strongest performer with 14.18% growth in 2022.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Indicates potential diversification strategy. 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Multidimensional Growth Metrics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Segmental Growth Trajectory </w:t>
      </w:r>
    </w:p>
    <w:tbl>
      <w:tblPr>
        <w:tblStyle w:val="Table6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7"/>
        <w:gridCol w:w="2337"/>
        <w:gridCol w:w="2338"/>
        <w:gridCol w:w="2338"/>
        <w:tblGridChange w:id="0">
          <w:tblGrid>
            <w:gridCol w:w="2337"/>
            <w:gridCol w:w="2337"/>
            <w:gridCol w:w="2338"/>
            <w:gridCol w:w="23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Growth Dimension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 Growth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 Growth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Strategic Significance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Net Sales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33.26%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33.26%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Normalized Expansion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Product Sales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34.72%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6.32%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Core Business Stabilization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Services Sales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27.26%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14.18%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High-Potential Segment</w:t>
            </w:r>
          </w:p>
        </w:tc>
      </w:tr>
    </w:tbl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Growth Strategy Deconstruction: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Deliberate transition from explosive to sustainable growth.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Services segment emerging as strategic differentiator - Balanced approach to market expansion.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Asset Utilization and Efficiency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Asset Utilization and Efficiency Paradigm 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Efficiency Transformation Metrics</w:t>
      </w:r>
    </w:p>
    <w:tbl>
      <w:tblPr>
        <w:tblStyle w:val="Table7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Efficiency Indicator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Strategic Implication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Total Asset Turnover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0.85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1.04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1.12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Enhanced Resource Optimization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Return on Assets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17.72%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26.97%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28.29%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Accelerated Capital Productivity</w:t>
            </w:r>
          </w:p>
        </w:tc>
      </w:tr>
    </w:tbl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Operational Excellence Framework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Consistent improvement in asset utilization.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Strategic capital allocation - Increasing efficiency of corporate resources.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Consistent increase in Return on Assets.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Investor Market Perspective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Market Performance Indicators 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Investor Metric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Value Creation Narrative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EPS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3.31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5.67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6.15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Consistent Value Generation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Price Earnings Ratio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73.378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42.82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39.49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Valuation Rationalization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Return on Equity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1.90%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15%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Accelerated Shareholder Returns |</w:t>
            </w:r>
          </w:p>
        </w:tc>
      </w:tr>
    </w:tbl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Capital Structure and Solvency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Debt Metrics Sophisticated Analysis</w:t>
      </w:r>
    </w:p>
    <w:tbl>
      <w:tblPr>
        <w:tblStyle w:val="Table9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Debt Dimension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Strategic Assessment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Debt to Equity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3.96 |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4.56 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4.56 |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Calculated Leverage Expansion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Times Interest Earned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22.02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40.58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41.69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Robust Debt Serviceability</w:t>
            </w:r>
          </w:p>
        </w:tc>
      </w:tr>
    </w:tbl>
    <w:p w:rsidR="00000000" w:rsidDel="00000000" w:rsidP="00000000" w:rsidRDefault="00000000" w:rsidRPr="00000000" w14:paraId="000001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Capital Structure Insights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Strategic leverage increase.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Maintained strong interest coverage.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Sophisticated financial engineering</w:t>
      </w:r>
    </w:p>
    <w:p w:rsidR="00000000" w:rsidDel="00000000" w:rsidP="00000000" w:rsidRDefault="00000000" w:rsidRPr="00000000" w14:paraId="000001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Strategic Recommendations </w:t>
      </w:r>
    </w:p>
    <w:p w:rsidR="00000000" w:rsidDel="00000000" w:rsidP="00000000" w:rsidRDefault="00000000" w:rsidRPr="00000000" w14:paraId="000001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1.Liquidity Management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strategies to improve short-term liquidity.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Optimize working capital management.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 restructuring current assets and liabilities. </w:t>
      </w:r>
    </w:p>
    <w:p w:rsidR="00000000" w:rsidDel="00000000" w:rsidP="00000000" w:rsidRDefault="00000000" w:rsidRPr="00000000" w14:paraId="000001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2.Continued Margin Expansion.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Leverage growing profitability margins.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Focus on services segment growth.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cost efficiency.</w:t>
      </w:r>
    </w:p>
    <w:p w:rsidR="00000000" w:rsidDel="00000000" w:rsidP="00000000" w:rsidRDefault="00000000" w:rsidRPr="00000000" w14:paraId="000001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 Balanced Debt Strategy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 debt levels while maintaining strong interest coverage.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Explore optimal capital structure.</w:t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Conclusion </w:t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Apple Inc demonstrates resilient financial performance with challenges in liquidity offset by strong profitability, efficient asset utilization, and promising growth trajectories.   </w:t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Prepared By :  Hassana Choice Musa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o"/>
      <w:lvlJc w:val="left"/>
      <w:pPr>
        <w:ind w:left="18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o"/>
      <w:lvlJc w:val="left"/>
      <w:pPr>
        <w:ind w:left="18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o"/>
      <w:lvlJc w:val="left"/>
      <w:pPr>
        <w:ind w:left="8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6D1755"/>
  </w:style>
  <w:style w:type="paragraph" w:styleId="Heading1">
    <w:name w:val="heading 1"/>
    <w:basedOn w:val="Normal"/>
    <w:next w:val="Normal"/>
    <w:link w:val="Heading1Char"/>
    <w:uiPriority w:val="9"/>
    <w:qFormat w:val="1"/>
    <w:rsid w:val="006D1755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D1755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D1755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D1755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D1755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D1755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D1755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D1755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D1755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D175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D175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D175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D175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D175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D175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D175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D175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D175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D1755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D175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D1755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D175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D1755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D175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D175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D175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D175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D175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D1755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6D175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3E178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E178D"/>
  </w:style>
  <w:style w:type="paragraph" w:styleId="Footer">
    <w:name w:val="footer"/>
    <w:basedOn w:val="Normal"/>
    <w:link w:val="FooterChar"/>
    <w:uiPriority w:val="99"/>
    <w:unhideWhenUsed w:val="1"/>
    <w:rsid w:val="003E178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E178D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2.xm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chart" Target="charts/chart1.xml"/><Relationship Id="rId8" Type="http://schemas.openxmlformats.org/officeDocument/2006/relationships/chart" Target="charts/chart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Sheet1.xlsx"/></Relationships>
</file>

<file path=word/charts/_rels/chart2.xml.rels><?xml version="1.0" encoding="UTF-8" standalone="yes"?><Relationships xmlns="http://schemas.openxmlformats.org/package/2006/relationships"><Relationship Id="rId1" Type="http://schemas.microsoft.com/office/2011/relationships/chartStyle" Target="style2.xml"/><Relationship Id="rId2" Type="http://schemas.microsoft.com/office/2011/relationships/chartColorStyle" Target="colors2.xml"/><Relationship Id="rId3" Type="http://schemas.openxmlformats.org/officeDocument/2006/relationships/package" Target="../embeddings/Microsoft_Excel_Sheet2.xlsx"/></Relationships>
</file>

<file path=word/charts/_rels/chart3.xml.rels><?xml version="1.0" encoding="UTF-8" standalone="yes"?><Relationships xmlns="http://schemas.openxmlformats.org/package/2006/relationships"><Relationship Id="rId1" Type="http://schemas.microsoft.com/office/2011/relationships/chartStyle" Target="style3.xml"/><Relationship Id="rId2" Type="http://schemas.microsoft.com/office/2011/relationships/chartColorStyle" Target="colors3.xml"/><Relationship Id="rId3" Type="http://schemas.openxmlformats.org/officeDocument/2006/relationships/package" Target="../embeddings/Microsoft_Excel_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Liquidity Ratios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3"/>
                <c:pt idx="0">
                  <c:v>Current Ratio</c:v>
                </c:pt>
                <c:pt idx="1">
                  <c:v>Quick Ratio</c:v>
                </c:pt>
                <c:pt idx="2">
                  <c:v>Cash Ratio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0.88</c:v>
                </c:pt>
                <c:pt idx="1">
                  <c:v>0.85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5D-4843-899F-43530DCCF04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3"/>
                <c:pt idx="0">
                  <c:v>Current Ratio</c:v>
                </c:pt>
                <c:pt idx="1">
                  <c:v>Quick Ratio</c:v>
                </c:pt>
                <c:pt idx="2">
                  <c:v>Cash Ratio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1.07</c:v>
                </c:pt>
                <c:pt idx="1">
                  <c:v>1.02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5D-4843-899F-43530DCCF04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Sheet1!$A$2:$A$5</c:f>
              <c:strCache>
                <c:ptCount val="3"/>
                <c:pt idx="0">
                  <c:v>Current Ratio</c:v>
                </c:pt>
                <c:pt idx="1">
                  <c:v>Quick Ratio</c:v>
                </c:pt>
                <c:pt idx="2">
                  <c:v>Cash Ratio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5D-4843-899F-43530DCCF0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6600911"/>
        <c:axId val="1136602623"/>
        <c:axId val="0"/>
      </c:bar3DChart>
      <c:catAx>
        <c:axId val="1136600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6602623"/>
        <c:crosses val="autoZero"/>
        <c:auto val="1"/>
        <c:lblAlgn val="ctr"/>
        <c:lblOffset val="100"/>
        <c:noMultiLvlLbl val="0"/>
      </c:catAx>
      <c:valAx>
        <c:axId val="11366026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6600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Metric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03-014C-B3DD-B929E43235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03-014C-B3DD-B929E43235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03-014C-B3DD-B929E43235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03-014C-B3DD-B929E43235D1}"/>
              </c:ext>
            </c:extLst>
          </c:dPt>
          <c:cat>
            <c:strRef>
              <c:f>Sheet1!$A$2:$A$5</c:f>
              <c:strCache>
                <c:ptCount val="2"/>
                <c:pt idx="0">
                  <c:v>Exceptional 2022-2021</c:v>
                </c:pt>
                <c:pt idx="1">
                  <c:v>Moderated 2021-2020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0.33260000000000001</c:v>
                </c:pt>
                <c:pt idx="1">
                  <c:v>7.7899999999999997E-2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703-014C-B3DD-B929E4323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800">
                <a:effectLst/>
              </a:rPr>
              <a:t>Margin Analysis 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3"/>
                <c:pt idx="0">
                  <c:v>Gross Margin</c:v>
                </c:pt>
                <c:pt idx="1">
                  <c:v>EBITDA</c:v>
                </c:pt>
                <c:pt idx="2">
                  <c:v>Net Margin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0.43309999999999998</c:v>
                </c:pt>
                <c:pt idx="1">
                  <c:v>0.33100000000000002</c:v>
                </c:pt>
                <c:pt idx="2">
                  <c:v>0.25309999999999999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C8-044F-97E1-87052F1DAE4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Sheet1!$A$2:$A$5</c:f>
              <c:strCache>
                <c:ptCount val="3"/>
                <c:pt idx="0">
                  <c:v>Gross Margin</c:v>
                </c:pt>
                <c:pt idx="1">
                  <c:v>EBITDA</c:v>
                </c:pt>
                <c:pt idx="2">
                  <c:v>Net Margin</c:v>
                </c:pt>
              </c:strCache>
            </c:strRef>
          </c:cat>
          <c:val>
            <c:numRef>
              <c:f>Sheet1!$C$2:$C$5</c:f>
              <c:numCache>
                <c:formatCode>0.00%</c:formatCode>
                <c:ptCount val="4"/>
                <c:pt idx="0">
                  <c:v>0.4178</c:v>
                </c:pt>
                <c:pt idx="1">
                  <c:v>0.32850000000000001</c:v>
                </c:pt>
                <c:pt idx="2">
                  <c:v>0.25879999999999997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C8-044F-97E1-87052F1DAE4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Sheet1!$A$2:$A$5</c:f>
              <c:strCache>
                <c:ptCount val="3"/>
                <c:pt idx="0">
                  <c:v>Gross Margin</c:v>
                </c:pt>
                <c:pt idx="1">
                  <c:v>EBITDA</c:v>
                </c:pt>
                <c:pt idx="2">
                  <c:v>Net Margin</c:v>
                </c:pt>
              </c:strCache>
            </c:strRef>
          </c:cat>
          <c:val>
            <c:numRef>
              <c:f>Sheet1!$D$2:$D$5</c:f>
              <c:numCache>
                <c:formatCode>0.00%</c:formatCode>
                <c:ptCount val="4"/>
                <c:pt idx="0">
                  <c:v>0.38229999999999997</c:v>
                </c:pt>
                <c:pt idx="1">
                  <c:v>0.28170000000000001</c:v>
                </c:pt>
                <c:pt idx="2">
                  <c:v>0.20910000000000001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6C8-044F-97E1-87052F1DAE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9217295"/>
        <c:axId val="1189219023"/>
      </c:lineChart>
      <c:catAx>
        <c:axId val="1189217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9219023"/>
        <c:crosses val="autoZero"/>
        <c:auto val="1"/>
        <c:lblAlgn val="ctr"/>
        <c:lblOffset val="100"/>
        <c:noMultiLvlLbl val="0"/>
      </c:catAx>
      <c:valAx>
        <c:axId val="1189219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89217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iIEyGz1/5g64Yr28TZ92C+gj4w==">CgMxLjA4AHIhMVl3TVBLU29DV3VmVEN2V04wcjFIX2tCM0lhdS1acXVV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2024-12-12T00:46:00Z</dcterms:created>
  <dc:creator>ttoyedeles@outlook.com</dc:creator>
</cp:coreProperties>
</file>