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Arial" w:cs="Arial" w:eastAsia="Arial" w:hAnsi="Arial"/>
          <w:color w:val="000000"/>
        </w:rPr>
      </w:pPr>
      <w:r w:rsidDel="00000000" w:rsidR="00000000" w:rsidRPr="00000000">
        <w:rPr>
          <w:rFonts w:ascii="Arial" w:cs="Arial" w:eastAsia="Arial" w:hAnsi="Arial"/>
          <w:color w:val="000000"/>
          <w:rtl w:val="0"/>
        </w:rPr>
        <w:t xml:space="preserve">Revenue and Cost Drivers Analysis for Marriott Inc. and Johnson &amp; Johnson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rFonts w:ascii="Arial" w:cs="Arial" w:eastAsia="Arial" w:hAnsi="Arial"/>
          <w:color w:val="000000"/>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color w:val="000000"/>
          <w:rtl w:val="0"/>
        </w:rPr>
        <w:t xml:space="preserve">. Marriott Inc.</w:t>
      </w:r>
    </w:p>
    <w:p w:rsidR="00000000" w:rsidDel="00000000" w:rsidP="00000000" w:rsidRDefault="00000000" w:rsidRPr="00000000" w14:paraId="00000005">
      <w:pPr>
        <w:pStyle w:val="Heading2"/>
        <w:rPr>
          <w:rFonts w:ascii="Arial" w:cs="Arial" w:eastAsia="Arial" w:hAnsi="Arial"/>
          <w:color w:val="000000"/>
        </w:rPr>
      </w:pPr>
      <w:r w:rsidDel="00000000" w:rsidR="00000000" w:rsidRPr="00000000">
        <w:rPr>
          <w:rFonts w:ascii="Arial" w:cs="Arial" w:eastAsia="Arial" w:hAnsi="Arial"/>
          <w:color w:val="000000"/>
          <w:rtl w:val="0"/>
        </w:rPr>
        <w:t xml:space="preserve">Revenue Drivers</w:t>
      </w:r>
    </w:p>
    <w:p w:rsidR="00000000" w:rsidDel="00000000" w:rsidP="00000000" w:rsidRDefault="00000000" w:rsidRPr="00000000" w14:paraId="00000006">
      <w:pPr>
        <w:numPr>
          <w:ilvl w:val="0"/>
          <w:numId w:val="4"/>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Average daily rate (ADR): Marriott's revenue is driven primarily by the average daily rate (ADR) charged per room. Higher ADR contributes to increased revenue. If ADR increases without a drop in occupancy, total revenue increases</w:t>
      </w:r>
    </w:p>
    <w:p w:rsidR="00000000" w:rsidDel="00000000" w:rsidP="00000000" w:rsidRDefault="00000000" w:rsidRPr="00000000" w14:paraId="00000007">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Revenue per available room (RevPAR) : The volume of room nights sold can vary depending on travel trends, economic conditions, and market competition. Increasing RevPAR indicates more rooms sold at higher rates.</w:t>
      </w:r>
    </w:p>
    <w:p w:rsidR="00000000" w:rsidDel="00000000" w:rsidP="00000000" w:rsidRDefault="00000000" w:rsidRPr="00000000" w14:paraId="00000008">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Occupancy rate: A higher occupancy rate directly increases the number of room nights sold, boosting revenue</w:t>
      </w:r>
    </w:p>
    <w:p w:rsidR="00000000" w:rsidDel="00000000" w:rsidP="00000000" w:rsidRDefault="00000000" w:rsidRPr="00000000" w14:paraId="00000009">
      <w:pPr>
        <w:numPr>
          <w:ilvl w:val="0"/>
          <w:numId w:val="4"/>
        </w:numPr>
        <w:spacing w:after="0" w:after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Revenue from food and beverage sales: Revenue from hotel restaurants and catering events is driven by both pricing strategies and the number of guests.</w:t>
      </w:r>
    </w:p>
    <w:p w:rsidR="00000000" w:rsidDel="00000000" w:rsidP="00000000" w:rsidRDefault="00000000" w:rsidRPr="00000000" w14:paraId="0000000A">
      <w:pPr>
        <w:numPr>
          <w:ilvl w:val="0"/>
          <w:numId w:val="4"/>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Franchise and Licensing Fees:</w:t>
      </w:r>
      <w:r w:rsidDel="00000000" w:rsidR="00000000" w:rsidRPr="00000000">
        <w:rPr>
          <w:rFonts w:ascii="Arial" w:cs="Arial" w:eastAsia="Arial" w:hAnsi="Arial"/>
          <w:rtl w:val="0"/>
        </w:rPr>
        <w:t xml:space="preserve"> Marriott earns fixed fees based on a percentage of sales from franchised properties. Growth in the number of franchise agreements increases revenue.</w:t>
      </w:r>
    </w:p>
    <w:p w:rsidR="00000000" w:rsidDel="00000000" w:rsidP="00000000" w:rsidRDefault="00000000" w:rsidRPr="00000000" w14:paraId="0000000B">
      <w:pPr>
        <w:spacing w:after="240" w:before="24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C">
      <w:pPr>
        <w:pStyle w:val="Heading2"/>
        <w:rPr>
          <w:rFonts w:ascii="Arial" w:cs="Arial" w:eastAsia="Arial" w:hAnsi="Arial"/>
          <w:color w:val="000000"/>
        </w:rPr>
      </w:pPr>
      <w:r w:rsidDel="00000000" w:rsidR="00000000" w:rsidRPr="00000000">
        <w:rPr>
          <w:rFonts w:ascii="Arial" w:cs="Arial" w:eastAsia="Arial" w:hAnsi="Arial"/>
          <w:color w:val="000000"/>
          <w:rtl w:val="0"/>
        </w:rPr>
        <w:t xml:space="preserve">Cost Drivers</w:t>
      </w:r>
    </w:p>
    <w:p w:rsidR="00000000" w:rsidDel="00000000" w:rsidP="00000000" w:rsidRDefault="00000000" w:rsidRPr="00000000" w14:paraId="0000000D">
      <w:pPr>
        <w:numPr>
          <w:ilvl w:val="0"/>
          <w:numId w:val="1"/>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 Fixed Costs: Depreciation, interest expenses, and property taxes</w:t>
      </w:r>
    </w:p>
    <w:p w:rsidR="00000000" w:rsidDel="00000000" w:rsidP="00000000" w:rsidRDefault="00000000" w:rsidRPr="00000000" w14:paraId="0000000E">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Variable Costs: Labor costs, food and beverage costs, Utility and marketing expenses</w:t>
      </w:r>
    </w:p>
    <w:p w:rsidR="00000000" w:rsidDel="00000000" w:rsidP="00000000" w:rsidRDefault="00000000" w:rsidRPr="00000000" w14:paraId="0000000F">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Labor costs (staff salaries, housekeeping, food and beverage services) vary with occupancy rate and number of rooms sold</w:t>
      </w:r>
    </w:p>
    <w:p w:rsidR="00000000" w:rsidDel="00000000" w:rsidP="00000000" w:rsidRDefault="00000000" w:rsidRPr="00000000" w14:paraId="00000010">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Food and beverage costs vary with revenue from food and beverage sales</w:t>
      </w:r>
    </w:p>
    <w:p w:rsidR="00000000" w:rsidDel="00000000" w:rsidP="00000000" w:rsidRDefault="00000000" w:rsidRPr="00000000" w14:paraId="00000011">
      <w:pPr>
        <w:numPr>
          <w:ilvl w:val="0"/>
          <w:numId w:val="1"/>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 Marketing expenses vary with revenue growth and market conditions </w:t>
      </w:r>
    </w:p>
    <w:p w:rsidR="00000000" w:rsidDel="00000000" w:rsidP="00000000" w:rsidRDefault="00000000" w:rsidRPr="00000000" w14:paraId="00000012">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 Loyalty Programs (long-term loyalty and profitability)</w:t>
      </w:r>
    </w:p>
    <w:p w:rsidR="00000000" w:rsidDel="00000000" w:rsidP="00000000" w:rsidRDefault="00000000" w:rsidRPr="00000000" w14:paraId="00000013">
      <w:pPr>
        <w:pStyle w:val="Heading3"/>
        <w:keepNext w:val="0"/>
        <w:keepLines w:val="0"/>
        <w:spacing w:after="80" w:before="280" w:line="276" w:lineRule="auto"/>
        <w:rPr>
          <w:rFonts w:ascii="Arial" w:cs="Arial" w:eastAsia="Arial" w:hAnsi="Arial"/>
          <w:color w:val="000000"/>
          <w:sz w:val="26"/>
          <w:szCs w:val="26"/>
        </w:rPr>
      </w:pPr>
      <w:bookmarkStart w:colFirst="0" w:colLast="0" w:name="_heading=h.q5bdmv97sgpr" w:id="0"/>
      <w:bookmarkEnd w:id="0"/>
      <w:r w:rsidDel="00000000" w:rsidR="00000000" w:rsidRPr="00000000">
        <w:rPr>
          <w:rtl w:val="0"/>
        </w:rPr>
      </w:r>
    </w:p>
    <w:p w:rsidR="00000000" w:rsidDel="00000000" w:rsidP="00000000" w:rsidRDefault="00000000" w:rsidRPr="00000000" w14:paraId="00000014">
      <w:pPr>
        <w:pStyle w:val="Heading4"/>
        <w:keepNext w:val="0"/>
        <w:keepLines w:val="0"/>
        <w:spacing w:after="40" w:before="240" w:line="276" w:lineRule="auto"/>
        <w:rPr>
          <w:rFonts w:ascii="Arial" w:cs="Arial" w:eastAsia="Arial" w:hAnsi="Arial"/>
          <w:i w:val="0"/>
          <w:color w:val="000000"/>
          <w:sz w:val="24"/>
          <w:szCs w:val="24"/>
        </w:rPr>
      </w:pPr>
      <w:bookmarkStart w:colFirst="0" w:colLast="0" w:name="_heading=h.o2c83mfgvnu0" w:id="1"/>
      <w:bookmarkEnd w:id="1"/>
      <w:r w:rsidDel="00000000" w:rsidR="00000000" w:rsidRPr="00000000">
        <w:rPr>
          <w:rFonts w:ascii="Arial" w:cs="Arial" w:eastAsia="Arial" w:hAnsi="Arial"/>
          <w:i w:val="0"/>
          <w:color w:val="000000"/>
          <w:sz w:val="24"/>
          <w:szCs w:val="24"/>
          <w:rtl w:val="0"/>
        </w:rPr>
        <w:t xml:space="preserve">Marriott International Financial Analysis (2023)</w:t>
      </w:r>
    </w:p>
    <w:p w:rsidR="00000000" w:rsidDel="00000000" w:rsidP="00000000" w:rsidRDefault="00000000" w:rsidRPr="00000000" w14:paraId="00000015">
      <w:pPr>
        <w:numPr>
          <w:ilvl w:val="0"/>
          <w:numId w:val="2"/>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b w:val="1"/>
          <w:rtl w:val="0"/>
        </w:rPr>
        <w:t xml:space="preserve">Revenue</w:t>
      </w:r>
      <w:r w:rsidDel="00000000" w:rsidR="00000000" w:rsidRPr="00000000">
        <w:rPr>
          <w:rFonts w:ascii="Arial" w:cs="Arial" w:eastAsia="Arial" w:hAnsi="Arial"/>
          <w:rtl w:val="0"/>
        </w:rPr>
        <w:t xml:space="preserve">: $24.66 billion</w:t>
      </w:r>
    </w:p>
    <w:p w:rsidR="00000000" w:rsidDel="00000000" w:rsidP="00000000" w:rsidRDefault="00000000" w:rsidRPr="00000000" w14:paraId="00000016">
      <w:pPr>
        <w:numPr>
          <w:ilvl w:val="0"/>
          <w:numId w:val="2"/>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Net Income</w:t>
      </w:r>
      <w:r w:rsidDel="00000000" w:rsidR="00000000" w:rsidRPr="00000000">
        <w:rPr>
          <w:rFonts w:ascii="Arial" w:cs="Arial" w:eastAsia="Arial" w:hAnsi="Arial"/>
          <w:rtl w:val="0"/>
        </w:rPr>
        <w:t xml:space="preserve">: $3.4 billion</w:t>
      </w:r>
    </w:p>
    <w:p w:rsidR="00000000" w:rsidDel="00000000" w:rsidP="00000000" w:rsidRDefault="00000000" w:rsidRPr="00000000" w14:paraId="00000017">
      <w:pPr>
        <w:numPr>
          <w:ilvl w:val="0"/>
          <w:numId w:val="2"/>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Operating Income</w:t>
      </w:r>
      <w:r w:rsidDel="00000000" w:rsidR="00000000" w:rsidRPr="00000000">
        <w:rPr>
          <w:rFonts w:ascii="Arial" w:cs="Arial" w:eastAsia="Arial" w:hAnsi="Arial"/>
          <w:rtl w:val="0"/>
        </w:rPr>
        <w:t xml:space="preserve">: $4.1 billion</w:t>
      </w:r>
    </w:p>
    <w:p w:rsidR="00000000" w:rsidDel="00000000" w:rsidP="00000000" w:rsidRDefault="00000000" w:rsidRPr="00000000" w14:paraId="00000018">
      <w:pPr>
        <w:numPr>
          <w:ilvl w:val="0"/>
          <w:numId w:val="2"/>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EBITDA</w:t>
      </w:r>
      <w:r w:rsidDel="00000000" w:rsidR="00000000" w:rsidRPr="00000000">
        <w:rPr>
          <w:rFonts w:ascii="Arial" w:cs="Arial" w:eastAsia="Arial" w:hAnsi="Arial"/>
          <w:rtl w:val="0"/>
        </w:rPr>
        <w:t xml:space="preserve">: $4.8 billion</w:t>
      </w:r>
    </w:p>
    <w:p w:rsidR="00000000" w:rsidDel="00000000" w:rsidP="00000000" w:rsidRDefault="00000000" w:rsidRPr="00000000" w14:paraId="00000019">
      <w:pPr>
        <w:numPr>
          <w:ilvl w:val="0"/>
          <w:numId w:val="2"/>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Operating Margin</w:t>
      </w:r>
      <w:r w:rsidDel="00000000" w:rsidR="00000000" w:rsidRPr="00000000">
        <w:rPr>
          <w:rFonts w:ascii="Arial" w:cs="Arial" w:eastAsia="Arial" w:hAnsi="Arial"/>
          <w:rtl w:val="0"/>
        </w:rPr>
        <w:t xml:space="preserve">: 16.7%</w:t>
      </w:r>
    </w:p>
    <w:p w:rsidR="00000000" w:rsidDel="00000000" w:rsidP="00000000" w:rsidRDefault="00000000" w:rsidRPr="00000000" w14:paraId="0000001A">
      <w:pPr>
        <w:numPr>
          <w:ilvl w:val="0"/>
          <w:numId w:val="2"/>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EPS (Earnings per Share)</w:t>
      </w:r>
      <w:r w:rsidDel="00000000" w:rsidR="00000000" w:rsidRPr="00000000">
        <w:rPr>
          <w:rFonts w:ascii="Arial" w:cs="Arial" w:eastAsia="Arial" w:hAnsi="Arial"/>
          <w:rtl w:val="0"/>
        </w:rPr>
        <w:t xml:space="preserve">: $9.12</w:t>
      </w:r>
    </w:p>
    <w:p w:rsidR="00000000" w:rsidDel="00000000" w:rsidP="00000000" w:rsidRDefault="00000000" w:rsidRPr="00000000" w14:paraId="0000001B">
      <w:pPr>
        <w:numPr>
          <w:ilvl w:val="0"/>
          <w:numId w:val="2"/>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Debt to Equity</w:t>
      </w:r>
      <w:r w:rsidDel="00000000" w:rsidR="00000000" w:rsidRPr="00000000">
        <w:rPr>
          <w:rFonts w:ascii="Arial" w:cs="Arial" w:eastAsia="Arial" w:hAnsi="Arial"/>
          <w:rtl w:val="0"/>
        </w:rPr>
        <w:t xml:space="preserve">: 7.8x</w:t>
      </w:r>
    </w:p>
    <w:p w:rsidR="00000000" w:rsidDel="00000000" w:rsidP="00000000" w:rsidRDefault="00000000" w:rsidRPr="00000000" w14:paraId="0000001C">
      <w:pPr>
        <w:pStyle w:val="Heading4"/>
        <w:keepNext w:val="0"/>
        <w:keepLines w:val="0"/>
        <w:spacing w:after="40" w:before="240" w:lineRule="auto"/>
        <w:rPr>
          <w:rFonts w:ascii="Arial" w:cs="Arial" w:eastAsia="Arial" w:hAnsi="Arial"/>
          <w:i w:val="0"/>
          <w:color w:val="000000"/>
        </w:rPr>
      </w:pPr>
      <w:bookmarkStart w:colFirst="0" w:colLast="0" w:name="_heading=h.u94cqted9ei3" w:id="2"/>
      <w:bookmarkEnd w:id="2"/>
      <w:r w:rsidDel="00000000" w:rsidR="00000000" w:rsidRPr="00000000">
        <w:rPr>
          <w:rFonts w:ascii="Arial" w:cs="Arial" w:eastAsia="Arial" w:hAnsi="Arial"/>
          <w:i w:val="0"/>
          <w:color w:val="000000"/>
          <w:rtl w:val="0"/>
        </w:rPr>
        <w:t xml:space="preserve">Financial Performance:</w:t>
      </w:r>
    </w:p>
    <w:p w:rsidR="00000000" w:rsidDel="00000000" w:rsidP="00000000" w:rsidRDefault="00000000" w:rsidRPr="00000000" w14:paraId="0000001D">
      <w:pPr>
        <w:numPr>
          <w:ilvl w:val="0"/>
          <w:numId w:val="7"/>
        </w:numPr>
        <w:spacing w:after="0" w:afterAutospacing="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Net Income</w:t>
      </w:r>
      <w:r w:rsidDel="00000000" w:rsidR="00000000" w:rsidRPr="00000000">
        <w:rPr>
          <w:rFonts w:ascii="Arial" w:cs="Arial" w:eastAsia="Arial" w:hAnsi="Arial"/>
          <w:rtl w:val="0"/>
        </w:rPr>
        <w:t xml:space="preserve">: Marriott generated a net income of </w:t>
      </w:r>
      <w:r w:rsidDel="00000000" w:rsidR="00000000" w:rsidRPr="00000000">
        <w:rPr>
          <w:rFonts w:ascii="Arial" w:cs="Arial" w:eastAsia="Arial" w:hAnsi="Arial"/>
          <w:b w:val="1"/>
          <w:rtl w:val="0"/>
        </w:rPr>
        <w:t xml:space="preserve">$3.4 billion</w:t>
      </w:r>
      <w:r w:rsidDel="00000000" w:rsidR="00000000" w:rsidRPr="00000000">
        <w:rPr>
          <w:rFonts w:ascii="Arial" w:cs="Arial" w:eastAsia="Arial" w:hAnsi="Arial"/>
          <w:rtl w:val="0"/>
        </w:rPr>
        <w:t xml:space="preserve">, reflecting the company’s ability to manage costs effectively while increasing revenue.</w:t>
      </w:r>
    </w:p>
    <w:p w:rsidR="00000000" w:rsidDel="00000000" w:rsidP="00000000" w:rsidRDefault="00000000" w:rsidRPr="00000000" w14:paraId="0000001E">
      <w:pPr>
        <w:numPr>
          <w:ilvl w:val="0"/>
          <w:numId w:val="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Operating Income</w:t>
      </w:r>
      <w:r w:rsidDel="00000000" w:rsidR="00000000" w:rsidRPr="00000000">
        <w:rPr>
          <w:rFonts w:ascii="Arial" w:cs="Arial" w:eastAsia="Arial" w:hAnsi="Arial"/>
          <w:rtl w:val="0"/>
        </w:rPr>
        <w:t xml:space="preserve">: The company’s operating income of </w:t>
      </w:r>
      <w:r w:rsidDel="00000000" w:rsidR="00000000" w:rsidRPr="00000000">
        <w:rPr>
          <w:rFonts w:ascii="Arial" w:cs="Arial" w:eastAsia="Arial" w:hAnsi="Arial"/>
          <w:b w:val="1"/>
          <w:rtl w:val="0"/>
        </w:rPr>
        <w:t xml:space="preserve">$4.1 billion</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EBITDA</w:t>
      </w:r>
      <w:r w:rsidDel="00000000" w:rsidR="00000000" w:rsidRPr="00000000">
        <w:rPr>
          <w:rFonts w:ascii="Arial" w:cs="Arial" w:eastAsia="Arial" w:hAnsi="Arial"/>
          <w:rtl w:val="0"/>
        </w:rPr>
        <w:t xml:space="preserve"> of </w:t>
      </w:r>
      <w:r w:rsidDel="00000000" w:rsidR="00000000" w:rsidRPr="00000000">
        <w:rPr>
          <w:rFonts w:ascii="Arial" w:cs="Arial" w:eastAsia="Arial" w:hAnsi="Arial"/>
          <w:b w:val="1"/>
          <w:rtl w:val="0"/>
        </w:rPr>
        <w:t xml:space="preserve">$4.8 billion</w:t>
      </w:r>
      <w:r w:rsidDel="00000000" w:rsidR="00000000" w:rsidRPr="00000000">
        <w:rPr>
          <w:rFonts w:ascii="Arial" w:cs="Arial" w:eastAsia="Arial" w:hAnsi="Arial"/>
          <w:rtl w:val="0"/>
        </w:rPr>
        <w:t xml:space="preserve"> indicate solid cash generation and operational efficiency, despite rising costs.</w:t>
      </w:r>
    </w:p>
    <w:p w:rsidR="00000000" w:rsidDel="00000000" w:rsidP="00000000" w:rsidRDefault="00000000" w:rsidRPr="00000000" w14:paraId="0000001F">
      <w:pPr>
        <w:numPr>
          <w:ilvl w:val="0"/>
          <w:numId w:val="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Operating Margin</w:t>
      </w:r>
      <w:r w:rsidDel="00000000" w:rsidR="00000000" w:rsidRPr="00000000">
        <w:rPr>
          <w:rFonts w:ascii="Arial" w:cs="Arial" w:eastAsia="Arial" w:hAnsi="Arial"/>
          <w:rtl w:val="0"/>
        </w:rPr>
        <w:t xml:space="preserve">: Marriott maintained an operating margin of </w:t>
      </w:r>
      <w:r w:rsidDel="00000000" w:rsidR="00000000" w:rsidRPr="00000000">
        <w:rPr>
          <w:rFonts w:ascii="Arial" w:cs="Arial" w:eastAsia="Arial" w:hAnsi="Arial"/>
          <w:b w:val="1"/>
          <w:rtl w:val="0"/>
        </w:rPr>
        <w:t xml:space="preserve">16.7%</w:t>
      </w:r>
      <w:r w:rsidDel="00000000" w:rsidR="00000000" w:rsidRPr="00000000">
        <w:rPr>
          <w:rFonts w:ascii="Arial" w:cs="Arial" w:eastAsia="Arial" w:hAnsi="Arial"/>
          <w:rtl w:val="0"/>
        </w:rPr>
        <w:t xml:space="preserve">, which, while healthy, faced pressure from rising labor and marketing expenses.</w:t>
      </w:r>
    </w:p>
    <w:p w:rsidR="00000000" w:rsidDel="00000000" w:rsidP="00000000" w:rsidRDefault="00000000" w:rsidRPr="00000000" w14:paraId="00000020">
      <w:pPr>
        <w:numPr>
          <w:ilvl w:val="0"/>
          <w:numId w:val="7"/>
        </w:numPr>
        <w:spacing w:after="0" w:afterAutospacing="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Earnings per Share (EPS)</w:t>
      </w:r>
      <w:r w:rsidDel="00000000" w:rsidR="00000000" w:rsidRPr="00000000">
        <w:rPr>
          <w:rFonts w:ascii="Arial" w:cs="Arial" w:eastAsia="Arial" w:hAnsi="Arial"/>
          <w:rtl w:val="0"/>
        </w:rPr>
        <w:t xml:space="preserve">: With an EPS of </w:t>
      </w:r>
      <w:r w:rsidDel="00000000" w:rsidR="00000000" w:rsidRPr="00000000">
        <w:rPr>
          <w:rFonts w:ascii="Arial" w:cs="Arial" w:eastAsia="Arial" w:hAnsi="Arial"/>
          <w:b w:val="1"/>
          <w:rtl w:val="0"/>
        </w:rPr>
        <w:t xml:space="preserve">$9.12</w:t>
      </w:r>
      <w:r w:rsidDel="00000000" w:rsidR="00000000" w:rsidRPr="00000000">
        <w:rPr>
          <w:rFonts w:ascii="Arial" w:cs="Arial" w:eastAsia="Arial" w:hAnsi="Arial"/>
          <w:rtl w:val="0"/>
        </w:rPr>
        <w:t xml:space="preserve">, Marriott delivered significant value to its shareholders.</w:t>
      </w:r>
    </w:p>
    <w:p w:rsidR="00000000" w:rsidDel="00000000" w:rsidP="00000000" w:rsidRDefault="00000000" w:rsidRPr="00000000" w14:paraId="00000021">
      <w:pPr>
        <w:numPr>
          <w:ilvl w:val="0"/>
          <w:numId w:val="7"/>
        </w:numPr>
        <w:spacing w:after="240" w:before="0" w:beforeAutospacing="0" w:lineRule="auto"/>
        <w:ind w:left="720" w:hanging="360"/>
        <w:rPr>
          <w:rFonts w:ascii="Arial" w:cs="Arial" w:eastAsia="Arial" w:hAnsi="Arial"/>
        </w:rPr>
      </w:pPr>
      <w:r w:rsidDel="00000000" w:rsidR="00000000" w:rsidRPr="00000000">
        <w:rPr>
          <w:rFonts w:ascii="Arial" w:cs="Arial" w:eastAsia="Arial" w:hAnsi="Arial"/>
          <w:b w:val="1"/>
          <w:rtl w:val="0"/>
        </w:rPr>
        <w:t xml:space="preserve">Debt to Equity</w:t>
      </w:r>
      <w:r w:rsidDel="00000000" w:rsidR="00000000" w:rsidRPr="00000000">
        <w:rPr>
          <w:rFonts w:ascii="Arial" w:cs="Arial" w:eastAsia="Arial" w:hAnsi="Arial"/>
          <w:rtl w:val="0"/>
        </w:rPr>
        <w:t xml:space="preserve">: Marriott’s </w:t>
      </w:r>
      <w:r w:rsidDel="00000000" w:rsidR="00000000" w:rsidRPr="00000000">
        <w:rPr>
          <w:rFonts w:ascii="Arial" w:cs="Arial" w:eastAsia="Arial" w:hAnsi="Arial"/>
          <w:b w:val="1"/>
          <w:rtl w:val="0"/>
        </w:rPr>
        <w:t xml:space="preserve">debt-to-equity ratio of 7.8x</w:t>
      </w:r>
      <w:r w:rsidDel="00000000" w:rsidR="00000000" w:rsidRPr="00000000">
        <w:rPr>
          <w:rFonts w:ascii="Arial" w:cs="Arial" w:eastAsia="Arial" w:hAnsi="Arial"/>
          <w:rtl w:val="0"/>
        </w:rPr>
        <w:t xml:space="preserve"> suggests a high level of leverage, which could present a financial risk if market conditions worsen.</w:t>
      </w:r>
    </w:p>
    <w:p w:rsidR="00000000" w:rsidDel="00000000" w:rsidP="00000000" w:rsidRDefault="00000000" w:rsidRPr="00000000" w14:paraId="0000002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3">
      <w:pPr>
        <w:pStyle w:val="Heading2"/>
        <w:rPr>
          <w:rFonts w:ascii="Arial" w:cs="Arial" w:eastAsia="Arial" w:hAnsi="Arial"/>
          <w:color w:val="000000"/>
        </w:rPr>
      </w:pPr>
      <w:r w:rsidDel="00000000" w:rsidR="00000000" w:rsidRPr="00000000">
        <w:rPr>
          <w:rFonts w:ascii="Arial" w:cs="Arial" w:eastAsia="Arial" w:hAnsi="Arial"/>
          <w:color w:val="000000"/>
          <w:rtl w:val="0"/>
        </w:rPr>
        <w:t xml:space="preserve">Company Performance </w:t>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As demand for travel increased globally, Marriott International's financial performance in 2023 showed the company's robust recovery from the pandemic. Its asset-light business model, which is based on management and franchise contracts, keeps fixed costs low while promoting international growth. Profitability is hampered, nevertheless, by growing labor and marketing expenditures as well as increased utility bills. The business's ability to leverage robust market demand while keeping costs under control through its strategic focus on franchise expansion is demonstrated by its effectiveness in sustaining high ADR and RevPAR. With an emphasis on growing its portfolio of luxury and premium brands, the company is still well-positioned for future expansion.</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pStyle w:val="Heading3"/>
        <w:rPr>
          <w:rFonts w:ascii="Arial" w:cs="Arial" w:eastAsia="Arial" w:hAnsi="Arial"/>
          <w:color w:val="000000"/>
        </w:rPr>
      </w:pPr>
      <w:r w:rsidDel="00000000" w:rsidR="00000000" w:rsidRPr="00000000">
        <w:rPr>
          <w:rFonts w:ascii="Arial" w:cs="Arial" w:eastAsia="Arial" w:hAnsi="Arial"/>
          <w:color w:val="000000"/>
          <w:rtl w:val="0"/>
        </w:rPr>
        <w:t xml:space="preserve">Peers for Comparison:</w:t>
      </w:r>
    </w:p>
    <w:p w:rsidR="00000000" w:rsidDel="00000000" w:rsidP="00000000" w:rsidRDefault="00000000" w:rsidRPr="00000000" w14:paraId="00000028">
      <w:pPr>
        <w:numPr>
          <w:ilvl w:val="0"/>
          <w:numId w:val="3"/>
        </w:numPr>
        <w:spacing w:after="0" w:after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Hilton Worldwide</w:t>
      </w:r>
    </w:p>
    <w:p w:rsidR="00000000" w:rsidDel="00000000" w:rsidP="00000000" w:rsidRDefault="00000000" w:rsidRPr="00000000" w14:paraId="00000029">
      <w:pPr>
        <w:numPr>
          <w:ilvl w:val="0"/>
          <w:numId w:val="3"/>
        </w:numPr>
        <w:spacing w:after="0" w:after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InterContinental Hotels Group (IHG)</w:t>
      </w:r>
    </w:p>
    <w:p w:rsidR="00000000" w:rsidDel="00000000" w:rsidP="00000000" w:rsidRDefault="00000000" w:rsidRPr="00000000" w14:paraId="0000002A">
      <w:pPr>
        <w:numPr>
          <w:ilvl w:val="0"/>
          <w:numId w:val="3"/>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Accord Group</w:t>
        <w:br w:type="textWrapping"/>
      </w:r>
    </w:p>
    <w:p w:rsidR="00000000" w:rsidDel="00000000" w:rsidP="00000000" w:rsidRDefault="00000000" w:rsidRPr="00000000" w14:paraId="0000002B">
      <w:pPr>
        <w:pStyle w:val="Heading1"/>
        <w:rPr>
          <w:rFonts w:ascii="Arial" w:cs="Arial" w:eastAsia="Arial" w:hAnsi="Arial"/>
          <w:color w:val="000000"/>
        </w:rPr>
      </w:pPr>
      <w:r w:rsidDel="00000000" w:rsidR="00000000" w:rsidRPr="00000000">
        <w:rPr>
          <w:rFonts w:ascii="Arial" w:cs="Arial" w:eastAsia="Arial" w:hAnsi="Arial"/>
          <w:color w:val="000000"/>
          <w:rtl w:val="0"/>
        </w:rPr>
        <w:t xml:space="preserve">2. Johnson &amp; Johnson</w:t>
      </w:r>
    </w:p>
    <w:p w:rsidR="00000000" w:rsidDel="00000000" w:rsidP="00000000" w:rsidRDefault="00000000" w:rsidRPr="00000000" w14:paraId="0000002C">
      <w:pPr>
        <w:pStyle w:val="Heading2"/>
        <w:rPr>
          <w:rFonts w:ascii="Arial" w:cs="Arial" w:eastAsia="Arial" w:hAnsi="Arial"/>
          <w:color w:val="000000"/>
        </w:rPr>
      </w:pPr>
      <w:r w:rsidDel="00000000" w:rsidR="00000000" w:rsidRPr="00000000">
        <w:rPr>
          <w:rFonts w:ascii="Arial" w:cs="Arial" w:eastAsia="Arial" w:hAnsi="Arial"/>
          <w:color w:val="000000"/>
          <w:rtl w:val="0"/>
        </w:rPr>
        <w:t xml:space="preserve">Revenue Drivers</w:t>
      </w:r>
    </w:p>
    <w:p w:rsidR="00000000" w:rsidDel="00000000" w:rsidP="00000000" w:rsidRDefault="00000000" w:rsidRPr="00000000" w14:paraId="0000002D">
      <w:pPr>
        <w:numPr>
          <w:ilvl w:val="0"/>
          <w:numId w:val="5"/>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Average sales price of pharmaceuticals, medical devices, and consumer products</w:t>
      </w:r>
    </w:p>
    <w:p w:rsidR="00000000" w:rsidDel="00000000" w:rsidP="00000000" w:rsidRDefault="00000000" w:rsidRPr="00000000" w14:paraId="0000002E">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Sales Volume of Consumer Health Products: Household names like Band-Aid and Tylenol contribute to stable revenue through premium pricing.</w:t>
      </w:r>
    </w:p>
    <w:p w:rsidR="00000000" w:rsidDel="00000000" w:rsidP="00000000" w:rsidRDefault="00000000" w:rsidRPr="00000000" w14:paraId="0000002F">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Market share</w:t>
      </w:r>
    </w:p>
    <w:p w:rsidR="00000000" w:rsidDel="00000000" w:rsidP="00000000" w:rsidRDefault="00000000" w:rsidRPr="00000000" w14:paraId="00000030">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Medical Devices: Driven by the growing healthcare needs and innovations in surgical, orthopedic, and cardiovascular products.</w:t>
      </w:r>
    </w:p>
    <w:p w:rsidR="00000000" w:rsidDel="00000000" w:rsidP="00000000" w:rsidRDefault="00000000" w:rsidRPr="00000000" w14:paraId="00000031">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Revenue from new product launches</w:t>
      </w:r>
    </w:p>
    <w:p w:rsidR="00000000" w:rsidDel="00000000" w:rsidP="00000000" w:rsidRDefault="00000000" w:rsidRPr="00000000" w14:paraId="0000003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3">
      <w:pPr>
        <w:pStyle w:val="Heading2"/>
        <w:rPr>
          <w:rFonts w:ascii="Arial" w:cs="Arial" w:eastAsia="Arial" w:hAnsi="Arial"/>
          <w:color w:val="000000"/>
        </w:rPr>
      </w:pPr>
      <w:r w:rsidDel="00000000" w:rsidR="00000000" w:rsidRPr="00000000">
        <w:rPr>
          <w:rFonts w:ascii="Arial" w:cs="Arial" w:eastAsia="Arial" w:hAnsi="Arial"/>
          <w:color w:val="000000"/>
          <w:rtl w:val="0"/>
        </w:rPr>
        <w:t xml:space="preserve">Cost Drivers</w:t>
      </w:r>
    </w:p>
    <w:p w:rsidR="00000000" w:rsidDel="00000000" w:rsidP="00000000" w:rsidRDefault="00000000" w:rsidRPr="00000000" w14:paraId="00000034">
      <w:pPr>
        <w:numPr>
          <w:ilvl w:val="0"/>
          <w:numId w:val="9"/>
        </w:numPr>
        <w:spacing w:after="0" w:afterAutospacing="0"/>
        <w:ind w:left="720" w:hanging="360"/>
        <w:rPr>
          <w:rFonts w:ascii="Arial" w:cs="Arial" w:eastAsia="Arial" w:hAnsi="Arial"/>
          <w:u w:val="none"/>
        </w:rPr>
      </w:pPr>
      <w:r w:rsidDel="00000000" w:rsidR="00000000" w:rsidRPr="00000000">
        <w:rPr>
          <w:rFonts w:ascii="Arial" w:cs="Arial" w:eastAsia="Arial" w:hAnsi="Arial"/>
          <w:rtl w:val="0"/>
        </w:rPr>
        <w:t xml:space="preserve">Fixed Costs: Research and development expenses, depreciation, and interest expenses</w:t>
      </w:r>
    </w:p>
    <w:p w:rsidR="00000000" w:rsidDel="00000000" w:rsidP="00000000" w:rsidRDefault="00000000" w:rsidRPr="00000000" w14:paraId="00000035">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Variable Costs: Cost of goods sold, marketing expenses, and distribution costs</w:t>
      </w:r>
    </w:p>
    <w:p w:rsidR="00000000" w:rsidDel="00000000" w:rsidP="00000000" w:rsidRDefault="00000000" w:rsidRPr="00000000" w14:paraId="00000036">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Cost of goods sold varies with number of units sold and production costs</w:t>
      </w:r>
    </w:p>
    <w:p w:rsidR="00000000" w:rsidDel="00000000" w:rsidP="00000000" w:rsidRDefault="00000000" w:rsidRPr="00000000" w14:paraId="00000037">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Marketing expenses vary with revenue growth and market conditions</w:t>
      </w:r>
    </w:p>
    <w:p w:rsidR="00000000" w:rsidDel="00000000" w:rsidP="00000000" w:rsidRDefault="00000000" w:rsidRPr="00000000" w14:paraId="00000038">
      <w:pPr>
        <w:numPr>
          <w:ilvl w:val="0"/>
          <w:numId w:val="9"/>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 Distribution costs vary with number of units sold and logistics costs</w:t>
      </w:r>
    </w:p>
    <w:p w:rsidR="00000000" w:rsidDel="00000000" w:rsidP="00000000" w:rsidRDefault="00000000" w:rsidRPr="00000000" w14:paraId="0000003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pStyle w:val="Heading3"/>
        <w:keepNext w:val="0"/>
        <w:keepLines w:val="0"/>
        <w:spacing w:after="80" w:before="280" w:line="276" w:lineRule="auto"/>
        <w:rPr>
          <w:rFonts w:ascii="Arial" w:cs="Arial" w:eastAsia="Arial" w:hAnsi="Arial"/>
          <w:i w:val="0"/>
          <w:color w:val="000000"/>
        </w:rPr>
      </w:pPr>
      <w:bookmarkStart w:colFirst="0" w:colLast="0" w:name="_heading=h.mohi1g4mh45l" w:id="3"/>
      <w:bookmarkEnd w:id="3"/>
      <w:r w:rsidDel="00000000" w:rsidR="00000000" w:rsidRPr="00000000">
        <w:rPr>
          <w:rFonts w:ascii="Arial" w:cs="Arial" w:eastAsia="Arial" w:hAnsi="Arial"/>
          <w:color w:val="000000"/>
          <w:sz w:val="24"/>
          <w:szCs w:val="24"/>
          <w:rtl w:val="0"/>
        </w:rPr>
        <w:t xml:space="preserve">Johnson &amp; Johnson Financial Analysis (2023)</w:t>
      </w:r>
      <w:r w:rsidDel="00000000" w:rsidR="00000000" w:rsidRPr="00000000">
        <w:rPr>
          <w:rtl w:val="0"/>
        </w:rPr>
      </w:r>
    </w:p>
    <w:p w:rsidR="00000000" w:rsidDel="00000000" w:rsidP="00000000" w:rsidRDefault="00000000" w:rsidRPr="00000000" w14:paraId="0000003B">
      <w:pPr>
        <w:numPr>
          <w:ilvl w:val="0"/>
          <w:numId w:val="6"/>
        </w:numPr>
        <w:spacing w:after="0" w:afterAutospacing="0" w:before="240" w:line="276" w:lineRule="auto"/>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Revenue</w:t>
      </w:r>
      <w:r w:rsidDel="00000000" w:rsidR="00000000" w:rsidRPr="00000000">
        <w:rPr>
          <w:rFonts w:ascii="Arial" w:cs="Arial" w:eastAsia="Arial" w:hAnsi="Arial"/>
          <w:rtl w:val="0"/>
        </w:rPr>
        <w:t xml:space="preserve">: $101.2 billion</w:t>
      </w:r>
    </w:p>
    <w:p w:rsidR="00000000" w:rsidDel="00000000" w:rsidP="00000000" w:rsidRDefault="00000000" w:rsidRPr="00000000" w14:paraId="0000003C">
      <w:pPr>
        <w:numPr>
          <w:ilvl w:val="0"/>
          <w:numId w:val="6"/>
        </w:numPr>
        <w:spacing w:after="0" w:afterAutospacing="0" w:before="0" w:beforeAutospacing="0" w:line="276" w:lineRule="auto"/>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Net Income</w:t>
      </w:r>
      <w:r w:rsidDel="00000000" w:rsidR="00000000" w:rsidRPr="00000000">
        <w:rPr>
          <w:rFonts w:ascii="Arial" w:cs="Arial" w:eastAsia="Arial" w:hAnsi="Arial"/>
          <w:rtl w:val="0"/>
        </w:rPr>
        <w:t xml:space="preserve">: $20.2 billion</w:t>
      </w:r>
    </w:p>
    <w:p w:rsidR="00000000" w:rsidDel="00000000" w:rsidP="00000000" w:rsidRDefault="00000000" w:rsidRPr="00000000" w14:paraId="0000003D">
      <w:pPr>
        <w:numPr>
          <w:ilvl w:val="0"/>
          <w:numId w:val="6"/>
        </w:numPr>
        <w:spacing w:after="0" w:afterAutospacing="0" w:before="0" w:beforeAutospacing="0" w:line="276" w:lineRule="auto"/>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Operating Income</w:t>
      </w:r>
      <w:r w:rsidDel="00000000" w:rsidR="00000000" w:rsidRPr="00000000">
        <w:rPr>
          <w:rFonts w:ascii="Arial" w:cs="Arial" w:eastAsia="Arial" w:hAnsi="Arial"/>
          <w:rtl w:val="0"/>
        </w:rPr>
        <w:t xml:space="preserve">: $23.6 billion</w:t>
      </w:r>
    </w:p>
    <w:p w:rsidR="00000000" w:rsidDel="00000000" w:rsidP="00000000" w:rsidRDefault="00000000" w:rsidRPr="00000000" w14:paraId="0000003E">
      <w:pPr>
        <w:numPr>
          <w:ilvl w:val="0"/>
          <w:numId w:val="6"/>
        </w:numPr>
        <w:spacing w:after="0" w:afterAutospacing="0" w:before="0" w:beforeAutospacing="0" w:line="276" w:lineRule="auto"/>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EBITDA</w:t>
      </w:r>
      <w:r w:rsidDel="00000000" w:rsidR="00000000" w:rsidRPr="00000000">
        <w:rPr>
          <w:rFonts w:ascii="Arial" w:cs="Arial" w:eastAsia="Arial" w:hAnsi="Arial"/>
          <w:rtl w:val="0"/>
        </w:rPr>
        <w:t xml:space="preserve">: $36 billion</w:t>
      </w:r>
    </w:p>
    <w:p w:rsidR="00000000" w:rsidDel="00000000" w:rsidP="00000000" w:rsidRDefault="00000000" w:rsidRPr="00000000" w14:paraId="0000003F">
      <w:pPr>
        <w:numPr>
          <w:ilvl w:val="0"/>
          <w:numId w:val="6"/>
        </w:numPr>
        <w:spacing w:after="0" w:afterAutospacing="0" w:before="0" w:beforeAutospacing="0" w:line="276" w:lineRule="auto"/>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Operating Margin</w:t>
      </w:r>
      <w:r w:rsidDel="00000000" w:rsidR="00000000" w:rsidRPr="00000000">
        <w:rPr>
          <w:rFonts w:ascii="Arial" w:cs="Arial" w:eastAsia="Arial" w:hAnsi="Arial"/>
          <w:rtl w:val="0"/>
        </w:rPr>
        <w:t xml:space="preserve">: 23.3%</w:t>
      </w:r>
    </w:p>
    <w:p w:rsidR="00000000" w:rsidDel="00000000" w:rsidP="00000000" w:rsidRDefault="00000000" w:rsidRPr="00000000" w14:paraId="00000040">
      <w:pPr>
        <w:numPr>
          <w:ilvl w:val="0"/>
          <w:numId w:val="6"/>
        </w:numPr>
        <w:spacing w:after="0" w:afterAutospacing="0" w:before="0" w:beforeAutospacing="0" w:line="276" w:lineRule="auto"/>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EPS (Earnings per Share)</w:t>
      </w:r>
      <w:r w:rsidDel="00000000" w:rsidR="00000000" w:rsidRPr="00000000">
        <w:rPr>
          <w:rFonts w:ascii="Arial" w:cs="Arial" w:eastAsia="Arial" w:hAnsi="Arial"/>
          <w:rtl w:val="0"/>
        </w:rPr>
        <w:t xml:space="preserve">: $7.56</w:t>
      </w:r>
    </w:p>
    <w:p w:rsidR="00000000" w:rsidDel="00000000" w:rsidP="00000000" w:rsidRDefault="00000000" w:rsidRPr="00000000" w14:paraId="00000041">
      <w:pPr>
        <w:numPr>
          <w:ilvl w:val="0"/>
          <w:numId w:val="6"/>
        </w:numPr>
        <w:spacing w:after="240" w:before="0" w:beforeAutospacing="0" w:line="276" w:lineRule="auto"/>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Debt to Equity</w:t>
      </w:r>
      <w:r w:rsidDel="00000000" w:rsidR="00000000" w:rsidRPr="00000000">
        <w:rPr>
          <w:rFonts w:ascii="Arial" w:cs="Arial" w:eastAsia="Arial" w:hAnsi="Arial"/>
          <w:rtl w:val="0"/>
        </w:rPr>
        <w:t xml:space="preserve">: 0.47x</w:t>
      </w:r>
    </w:p>
    <w:p w:rsidR="00000000" w:rsidDel="00000000" w:rsidP="00000000" w:rsidRDefault="00000000" w:rsidRPr="00000000" w14:paraId="00000042">
      <w:pPr>
        <w:spacing w:after="240" w:before="240"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Financial Performance:</w:t>
      </w:r>
    </w:p>
    <w:p w:rsidR="00000000" w:rsidDel="00000000" w:rsidP="00000000" w:rsidRDefault="00000000" w:rsidRPr="00000000" w14:paraId="00000043">
      <w:pPr>
        <w:numPr>
          <w:ilvl w:val="0"/>
          <w:numId w:val="8"/>
        </w:numPr>
        <w:spacing w:after="0" w:afterAutospacing="0" w:before="240" w:line="276" w:lineRule="auto"/>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Revenue:</w:t>
      </w:r>
      <w:r w:rsidDel="00000000" w:rsidR="00000000" w:rsidRPr="00000000">
        <w:rPr>
          <w:rFonts w:ascii="Arial" w:cs="Arial" w:eastAsia="Arial" w:hAnsi="Arial"/>
          <w:rtl w:val="0"/>
        </w:rPr>
        <w:t xml:space="preserve"> Johnson &amp; Johnson reported strong revenue growth in 2023, driven by the pharmaceutical and medical devices segments. </w:t>
      </w:r>
    </w:p>
    <w:p w:rsidR="00000000" w:rsidDel="00000000" w:rsidP="00000000" w:rsidRDefault="00000000" w:rsidRPr="00000000" w14:paraId="00000044">
      <w:pPr>
        <w:numPr>
          <w:ilvl w:val="0"/>
          <w:numId w:val="8"/>
        </w:numPr>
        <w:spacing w:after="0" w:afterAutospacing="0" w:before="0" w:beforeAutospacing="0" w:line="276" w:lineRule="auto"/>
        <w:ind w:left="720" w:hanging="360"/>
        <w:rPr>
          <w:rFonts w:ascii="Arial" w:cs="Arial" w:eastAsia="Arial" w:hAnsi="Arial"/>
          <w:b w:val="0"/>
          <w:color w:val="000000"/>
          <w:sz w:val="22"/>
          <w:szCs w:val="22"/>
        </w:rPr>
      </w:pPr>
      <w:r w:rsidDel="00000000" w:rsidR="00000000" w:rsidRPr="00000000">
        <w:rPr>
          <w:rFonts w:ascii="Arial" w:cs="Arial" w:eastAsia="Arial" w:hAnsi="Arial"/>
          <w:b w:val="1"/>
          <w:rtl w:val="0"/>
        </w:rPr>
        <w:t xml:space="preserve">Net Income</w:t>
      </w:r>
      <w:r w:rsidDel="00000000" w:rsidR="00000000" w:rsidRPr="00000000">
        <w:rPr>
          <w:rFonts w:ascii="Arial" w:cs="Arial" w:eastAsia="Arial" w:hAnsi="Arial"/>
          <w:rtl w:val="0"/>
        </w:rPr>
        <w:t xml:space="preserve">: Johnson &amp; Johnson reported a net income of </w:t>
      </w:r>
      <w:r w:rsidDel="00000000" w:rsidR="00000000" w:rsidRPr="00000000">
        <w:rPr>
          <w:rFonts w:ascii="Arial" w:cs="Arial" w:eastAsia="Arial" w:hAnsi="Arial"/>
          <w:b w:val="1"/>
          <w:rtl w:val="0"/>
        </w:rPr>
        <w:t xml:space="preserve">$20.2 billion</w:t>
      </w:r>
      <w:r w:rsidDel="00000000" w:rsidR="00000000" w:rsidRPr="00000000">
        <w:rPr>
          <w:rFonts w:ascii="Arial" w:cs="Arial" w:eastAsia="Arial" w:hAnsi="Arial"/>
          <w:rtl w:val="0"/>
        </w:rPr>
        <w:t xml:space="preserve">, reflecting strong profitability and operational efficiency. </w:t>
      </w:r>
    </w:p>
    <w:p w:rsidR="00000000" w:rsidDel="00000000" w:rsidP="00000000" w:rsidRDefault="00000000" w:rsidRPr="00000000" w14:paraId="00000045">
      <w:pPr>
        <w:numPr>
          <w:ilvl w:val="0"/>
          <w:numId w:val="8"/>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Operating Income</w:t>
      </w:r>
      <w:r w:rsidDel="00000000" w:rsidR="00000000" w:rsidRPr="00000000">
        <w:rPr>
          <w:rFonts w:ascii="Arial" w:cs="Arial" w:eastAsia="Arial" w:hAnsi="Arial"/>
          <w:rtl w:val="0"/>
        </w:rPr>
        <w:t xml:space="preserve">: The operating income of </w:t>
      </w:r>
      <w:r w:rsidDel="00000000" w:rsidR="00000000" w:rsidRPr="00000000">
        <w:rPr>
          <w:rFonts w:ascii="Arial" w:cs="Arial" w:eastAsia="Arial" w:hAnsi="Arial"/>
          <w:b w:val="1"/>
          <w:rtl w:val="0"/>
        </w:rPr>
        <w:t xml:space="preserve">$23.6 billion</w:t>
      </w:r>
      <w:r w:rsidDel="00000000" w:rsidR="00000000" w:rsidRPr="00000000">
        <w:rPr>
          <w:rFonts w:ascii="Arial" w:cs="Arial" w:eastAsia="Arial" w:hAnsi="Arial"/>
          <w:rtl w:val="0"/>
        </w:rPr>
        <w:t xml:space="preserve"> and an </w:t>
      </w:r>
      <w:r w:rsidDel="00000000" w:rsidR="00000000" w:rsidRPr="00000000">
        <w:rPr>
          <w:rFonts w:ascii="Arial" w:cs="Arial" w:eastAsia="Arial" w:hAnsi="Arial"/>
          <w:b w:val="1"/>
          <w:rtl w:val="0"/>
        </w:rPr>
        <w:t xml:space="preserve">EBITDA</w:t>
      </w:r>
      <w:r w:rsidDel="00000000" w:rsidR="00000000" w:rsidRPr="00000000">
        <w:rPr>
          <w:rFonts w:ascii="Arial" w:cs="Arial" w:eastAsia="Arial" w:hAnsi="Arial"/>
          <w:rtl w:val="0"/>
        </w:rPr>
        <w:t xml:space="preserve"> of </w:t>
      </w:r>
      <w:r w:rsidDel="00000000" w:rsidR="00000000" w:rsidRPr="00000000">
        <w:rPr>
          <w:rFonts w:ascii="Arial" w:cs="Arial" w:eastAsia="Arial" w:hAnsi="Arial"/>
          <w:b w:val="1"/>
          <w:rtl w:val="0"/>
        </w:rPr>
        <w:t xml:space="preserve">$36 billion</w:t>
      </w:r>
      <w:r w:rsidDel="00000000" w:rsidR="00000000" w:rsidRPr="00000000">
        <w:rPr>
          <w:rFonts w:ascii="Arial" w:cs="Arial" w:eastAsia="Arial" w:hAnsi="Arial"/>
          <w:rtl w:val="0"/>
        </w:rPr>
        <w:t xml:space="preserve"> indicate efficient management of costs, leading to a robust </w:t>
      </w:r>
      <w:r w:rsidDel="00000000" w:rsidR="00000000" w:rsidRPr="00000000">
        <w:rPr>
          <w:rFonts w:ascii="Arial" w:cs="Arial" w:eastAsia="Arial" w:hAnsi="Arial"/>
          <w:b w:val="1"/>
          <w:rtl w:val="0"/>
        </w:rPr>
        <w:t xml:space="preserve">operating margin</w:t>
      </w:r>
      <w:r w:rsidDel="00000000" w:rsidR="00000000" w:rsidRPr="00000000">
        <w:rPr>
          <w:rFonts w:ascii="Arial" w:cs="Arial" w:eastAsia="Arial" w:hAnsi="Arial"/>
          <w:rtl w:val="0"/>
        </w:rPr>
        <w:t xml:space="preserve"> of </w:t>
      </w:r>
      <w:r w:rsidDel="00000000" w:rsidR="00000000" w:rsidRPr="00000000">
        <w:rPr>
          <w:rFonts w:ascii="Arial" w:cs="Arial" w:eastAsia="Arial" w:hAnsi="Arial"/>
          <w:b w:val="1"/>
          <w:rtl w:val="0"/>
        </w:rPr>
        <w:t xml:space="preserve">23.3%</w:t>
      </w:r>
      <w:r w:rsidDel="00000000" w:rsidR="00000000" w:rsidRPr="00000000">
        <w:rPr>
          <w:rFonts w:ascii="Arial" w:cs="Arial" w:eastAsia="Arial" w:hAnsi="Arial"/>
          <w:rtl w:val="0"/>
        </w:rPr>
        <w:t xml:space="preserve">.</w:t>
      </w:r>
    </w:p>
    <w:p w:rsidR="00000000" w:rsidDel="00000000" w:rsidP="00000000" w:rsidRDefault="00000000" w:rsidRPr="00000000" w14:paraId="00000046">
      <w:pPr>
        <w:numPr>
          <w:ilvl w:val="0"/>
          <w:numId w:val="8"/>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Debt to Equity</w:t>
      </w:r>
      <w:r w:rsidDel="00000000" w:rsidR="00000000" w:rsidRPr="00000000">
        <w:rPr>
          <w:rFonts w:ascii="Arial" w:cs="Arial" w:eastAsia="Arial" w:hAnsi="Arial"/>
          <w:rtl w:val="0"/>
        </w:rPr>
        <w:t xml:space="preserve">: With a </w:t>
      </w:r>
      <w:r w:rsidDel="00000000" w:rsidR="00000000" w:rsidRPr="00000000">
        <w:rPr>
          <w:rFonts w:ascii="Arial" w:cs="Arial" w:eastAsia="Arial" w:hAnsi="Arial"/>
          <w:b w:val="1"/>
          <w:rtl w:val="0"/>
        </w:rPr>
        <w:t xml:space="preserve">debt-to-equity ratio of 0.47x</w:t>
      </w:r>
      <w:r w:rsidDel="00000000" w:rsidR="00000000" w:rsidRPr="00000000">
        <w:rPr>
          <w:rFonts w:ascii="Arial" w:cs="Arial" w:eastAsia="Arial" w:hAnsi="Arial"/>
          <w:rtl w:val="0"/>
        </w:rPr>
        <w:t xml:space="preserve">, the company maintains a healthy balance sheet, indicating prudent financial management and moderate leverage.</w:t>
      </w:r>
    </w:p>
    <w:p w:rsidR="00000000" w:rsidDel="00000000" w:rsidP="00000000" w:rsidRDefault="00000000" w:rsidRPr="00000000" w14:paraId="00000047">
      <w:pPr>
        <w:numPr>
          <w:ilvl w:val="0"/>
          <w:numId w:val="8"/>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b w:val="1"/>
          <w:rtl w:val="0"/>
        </w:rPr>
        <w:t xml:space="preserve">Earnings per Share (EPS)</w:t>
      </w:r>
      <w:r w:rsidDel="00000000" w:rsidR="00000000" w:rsidRPr="00000000">
        <w:rPr>
          <w:rFonts w:ascii="Arial" w:cs="Arial" w:eastAsia="Arial" w:hAnsi="Arial"/>
          <w:rtl w:val="0"/>
        </w:rPr>
        <w:t xml:space="preserve">: EPS stood at </w:t>
      </w:r>
      <w:r w:rsidDel="00000000" w:rsidR="00000000" w:rsidRPr="00000000">
        <w:rPr>
          <w:rFonts w:ascii="Arial" w:cs="Arial" w:eastAsia="Arial" w:hAnsi="Arial"/>
          <w:b w:val="1"/>
          <w:rtl w:val="0"/>
        </w:rPr>
        <w:t xml:space="preserve">$7.56</w:t>
      </w:r>
      <w:r w:rsidDel="00000000" w:rsidR="00000000" w:rsidRPr="00000000">
        <w:rPr>
          <w:rFonts w:ascii="Arial" w:cs="Arial" w:eastAsia="Arial" w:hAnsi="Arial"/>
          <w:rtl w:val="0"/>
        </w:rPr>
        <w:t xml:space="preserve">, showcasing strong shareholder value.</w:t>
      </w:r>
    </w:p>
    <w:p w:rsidR="00000000" w:rsidDel="00000000" w:rsidP="00000000" w:rsidRDefault="00000000" w:rsidRPr="00000000" w14:paraId="00000048">
      <w:pPr>
        <w:spacing w:after="240" w:before="24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9">
      <w:pPr>
        <w:pStyle w:val="Heading2"/>
        <w:rPr>
          <w:rFonts w:ascii="Arial" w:cs="Arial" w:eastAsia="Arial" w:hAnsi="Arial"/>
          <w:color w:val="000000"/>
        </w:rPr>
      </w:pPr>
      <w:bookmarkStart w:colFirst="0" w:colLast="0" w:name="_heading=h.g541dhtry5r0" w:id="4"/>
      <w:bookmarkEnd w:id="4"/>
      <w:r w:rsidDel="00000000" w:rsidR="00000000" w:rsidRPr="00000000">
        <w:rPr>
          <w:rFonts w:ascii="Arial" w:cs="Arial" w:eastAsia="Arial" w:hAnsi="Arial"/>
          <w:color w:val="000000"/>
          <w:rtl w:val="0"/>
        </w:rPr>
        <w:t xml:space="preserve">Company Performance</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br w:type="textWrapping"/>
        <w:t xml:space="preserve">The performance of Johnson &amp; Johnson in 2023 was characterized by balanced growth in its consumer health, medical devices, and pharmaceutical businesses. The business keeps making significant investments in R&amp;D, which is still essential for future expansion, especially in the cutthroat pharmaceutical sector. But in the upcoming years, controlling high R&amp;D expenses while preserving profitability will be essential. The business's robust operating margins, net income, and revenue all indicate a promising financial future.</w:t>
      </w:r>
    </w:p>
    <w:p w:rsidR="00000000" w:rsidDel="00000000" w:rsidP="00000000" w:rsidRDefault="00000000" w:rsidRPr="00000000" w14:paraId="0000004B">
      <w:pPr>
        <w:pStyle w:val="Heading3"/>
        <w:rPr>
          <w:rFonts w:ascii="Arial" w:cs="Arial" w:eastAsia="Arial" w:hAnsi="Arial"/>
          <w:color w:val="000000"/>
        </w:rPr>
      </w:pPr>
      <w:r w:rsidDel="00000000" w:rsidR="00000000" w:rsidRPr="00000000">
        <w:rPr>
          <w:rFonts w:ascii="Arial" w:cs="Arial" w:eastAsia="Arial" w:hAnsi="Arial"/>
          <w:color w:val="000000"/>
          <w:rtl w:val="0"/>
        </w:rPr>
        <w:t xml:space="preserve">Peers for Comparison:</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 Pfizer Inc.</w:t>
        <w:br w:type="textWrapping"/>
        <w:t xml:space="preserve">2. Merck &amp; Co.</w:t>
        <w:br w:type="textWrapping"/>
        <w:t xml:space="preserve">3. GlaxoSmithKline (GSK)</w:t>
        <w:br w:type="textWrapping"/>
      </w:r>
    </w:p>
    <w:p w:rsidR="00000000" w:rsidDel="00000000" w:rsidP="00000000" w:rsidRDefault="00000000" w:rsidRPr="00000000" w14:paraId="0000004D">
      <w:pPr>
        <w:rPr>
          <w:rFonts w:ascii="Arial" w:cs="Arial" w:eastAsia="Arial" w:hAnsi="Arial"/>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5dHpe7pHok69LRWcfMnPDxeNw==">CgMxLjAyDmgucTViZG12OTdzZ3ByMg5oLm8yYzgzbWZndm51MDIOaC51OTRjcXRlZDllaTMyDmgubW9oaTFnNG1oNDVsMg5oLmc1NDFkaHRyeTVyMDgAciExZThSUTRJd0pFb1RWcEZHZ0x5a1BWRzJrLTJmYUFBNTc=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