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A0CC7" w14:textId="77777777" w:rsidR="00A50B3C" w:rsidRPr="00E258EE" w:rsidRDefault="00000000" w:rsidP="00E258EE">
      <w:pPr>
        <w:pStyle w:val="Heading1"/>
        <w:jc w:val="center"/>
        <w:rPr>
          <w:sz w:val="32"/>
          <w:szCs w:val="32"/>
        </w:rPr>
      </w:pPr>
      <w:r w:rsidRPr="00E258EE">
        <w:rPr>
          <w:sz w:val="32"/>
          <w:szCs w:val="32"/>
        </w:rPr>
        <w:t>Common Size Financial Statement Analysis: Apple vs. Microsoft</w:t>
      </w:r>
    </w:p>
    <w:p w14:paraId="1568EFDC" w14:textId="061B9214" w:rsidR="00A50B3C" w:rsidRDefault="00000000">
      <w:pPr>
        <w:pStyle w:val="Heading2"/>
      </w:pPr>
      <w:r>
        <w:t>Company Selection</w:t>
      </w:r>
    </w:p>
    <w:p w14:paraId="75C67BEC" w14:textId="32B5BF2C" w:rsidR="00A50B3C" w:rsidRDefault="00000000">
      <w:r>
        <w:t>This analysis focuses on two leading technology giants:</w:t>
      </w:r>
      <w:r>
        <w:br/>
        <w:t>• Apple Inc.</w:t>
      </w:r>
      <w:r>
        <w:br/>
        <w:t>• Amazon.com, Inc. (for context, though financials are not expanded upon)</w:t>
      </w:r>
      <w:r>
        <w:br/>
      </w:r>
      <w:r>
        <w:br/>
        <w:t>Apple serves as the primary company for in-depth financial analysis, while Microsoft Corporation is used for comparison.</w:t>
      </w:r>
    </w:p>
    <w:p w14:paraId="3F0BECC6" w14:textId="2B56E7E0" w:rsidR="00A50B3C" w:rsidRDefault="00000000">
      <w:pPr>
        <w:pStyle w:val="Heading2"/>
      </w:pPr>
      <w:r>
        <w:t>Common Size Financial Statements: Apple Inc.</w:t>
      </w:r>
    </w:p>
    <w:p w14:paraId="478730AF" w14:textId="77777777" w:rsidR="00A50B3C" w:rsidRDefault="00000000">
      <w:r>
        <w:t>Below is Apple Inc.’s income statement and balance sheet, expressed as percentages of total revenue and total assets, respectively.</w:t>
      </w:r>
    </w:p>
    <w:p w14:paraId="286391BA" w14:textId="77777777" w:rsidR="00A50B3C" w:rsidRDefault="00000000">
      <w:r>
        <w:t>Apple Inc. – Common Size Income Statement (FY 2024):</w:t>
      </w:r>
    </w:p>
    <w:tbl>
      <w:tblPr>
        <w:tblW w:w="0" w:type="auto"/>
        <w:tblLook w:val="04A0" w:firstRow="1" w:lastRow="0" w:firstColumn="1" w:lastColumn="0" w:noHBand="0" w:noVBand="1"/>
      </w:tblPr>
      <w:tblGrid>
        <w:gridCol w:w="2880"/>
        <w:gridCol w:w="2880"/>
        <w:gridCol w:w="2880"/>
      </w:tblGrid>
      <w:tr w:rsidR="00A50B3C" w14:paraId="27B2EDB8" w14:textId="77777777">
        <w:tc>
          <w:tcPr>
            <w:tcW w:w="2880" w:type="dxa"/>
          </w:tcPr>
          <w:p w14:paraId="0EDA527B" w14:textId="77777777" w:rsidR="00A50B3C" w:rsidRDefault="00000000">
            <w:r>
              <w:t>Income Statement Item</w:t>
            </w:r>
          </w:p>
        </w:tc>
        <w:tc>
          <w:tcPr>
            <w:tcW w:w="2880" w:type="dxa"/>
          </w:tcPr>
          <w:p w14:paraId="689AFE37" w14:textId="77777777" w:rsidR="00A50B3C" w:rsidRDefault="00000000">
            <w:r>
              <w:t>Amount (in millions USD)</w:t>
            </w:r>
          </w:p>
        </w:tc>
        <w:tc>
          <w:tcPr>
            <w:tcW w:w="2880" w:type="dxa"/>
          </w:tcPr>
          <w:p w14:paraId="1D177367" w14:textId="77777777" w:rsidR="00A50B3C" w:rsidRDefault="00000000">
            <w:r>
              <w:t>% of Total Revenue</w:t>
            </w:r>
          </w:p>
        </w:tc>
      </w:tr>
      <w:tr w:rsidR="00A50B3C" w14:paraId="7EAB4D78" w14:textId="77777777">
        <w:tc>
          <w:tcPr>
            <w:tcW w:w="2880" w:type="dxa"/>
          </w:tcPr>
          <w:p w14:paraId="16566145" w14:textId="77777777" w:rsidR="00A50B3C" w:rsidRDefault="00000000">
            <w:r>
              <w:t>Total Revenue</w:t>
            </w:r>
          </w:p>
        </w:tc>
        <w:tc>
          <w:tcPr>
            <w:tcW w:w="2880" w:type="dxa"/>
          </w:tcPr>
          <w:p w14:paraId="0ADE5B1A" w14:textId="77777777" w:rsidR="00A50B3C" w:rsidRDefault="00000000">
            <w:r>
              <w:t>$383,285</w:t>
            </w:r>
          </w:p>
        </w:tc>
        <w:tc>
          <w:tcPr>
            <w:tcW w:w="2880" w:type="dxa"/>
          </w:tcPr>
          <w:p w14:paraId="0F59AF6B" w14:textId="77777777" w:rsidR="00A50B3C" w:rsidRDefault="00000000">
            <w:r>
              <w:t>100.0%</w:t>
            </w:r>
          </w:p>
        </w:tc>
      </w:tr>
      <w:tr w:rsidR="00A50B3C" w14:paraId="2F4E4706" w14:textId="77777777">
        <w:tc>
          <w:tcPr>
            <w:tcW w:w="2880" w:type="dxa"/>
          </w:tcPr>
          <w:p w14:paraId="0CC7FE3E" w14:textId="77777777" w:rsidR="00A50B3C" w:rsidRDefault="00000000">
            <w:r>
              <w:t>Cost of Goods Sold</w:t>
            </w:r>
          </w:p>
        </w:tc>
        <w:tc>
          <w:tcPr>
            <w:tcW w:w="2880" w:type="dxa"/>
          </w:tcPr>
          <w:p w14:paraId="6F71378F" w14:textId="77777777" w:rsidR="00A50B3C" w:rsidRDefault="00000000">
            <w:r>
              <w:t>$202,602</w:t>
            </w:r>
          </w:p>
        </w:tc>
        <w:tc>
          <w:tcPr>
            <w:tcW w:w="2880" w:type="dxa"/>
          </w:tcPr>
          <w:p w14:paraId="656D5B23" w14:textId="77777777" w:rsidR="00A50B3C" w:rsidRDefault="00000000">
            <w:r>
              <w:t>52.9%</w:t>
            </w:r>
          </w:p>
        </w:tc>
      </w:tr>
      <w:tr w:rsidR="00A50B3C" w14:paraId="19AE129C" w14:textId="77777777">
        <w:tc>
          <w:tcPr>
            <w:tcW w:w="2880" w:type="dxa"/>
          </w:tcPr>
          <w:p w14:paraId="69078DF0" w14:textId="77777777" w:rsidR="00A50B3C" w:rsidRDefault="00000000">
            <w:r>
              <w:t>Gross Profit</w:t>
            </w:r>
          </w:p>
        </w:tc>
        <w:tc>
          <w:tcPr>
            <w:tcW w:w="2880" w:type="dxa"/>
          </w:tcPr>
          <w:p w14:paraId="61DD2B71" w14:textId="77777777" w:rsidR="00A50B3C" w:rsidRDefault="00000000">
            <w:r>
              <w:t>$180,683</w:t>
            </w:r>
          </w:p>
        </w:tc>
        <w:tc>
          <w:tcPr>
            <w:tcW w:w="2880" w:type="dxa"/>
          </w:tcPr>
          <w:p w14:paraId="7CD88688" w14:textId="77777777" w:rsidR="00A50B3C" w:rsidRDefault="00000000">
            <w:r>
              <w:t>47.1%</w:t>
            </w:r>
          </w:p>
        </w:tc>
      </w:tr>
      <w:tr w:rsidR="00A50B3C" w14:paraId="0DA4C819" w14:textId="77777777">
        <w:tc>
          <w:tcPr>
            <w:tcW w:w="2880" w:type="dxa"/>
          </w:tcPr>
          <w:p w14:paraId="460CA03F" w14:textId="77777777" w:rsidR="00A50B3C" w:rsidRDefault="00000000">
            <w:r>
              <w:t>Operating Expenses</w:t>
            </w:r>
          </w:p>
        </w:tc>
        <w:tc>
          <w:tcPr>
            <w:tcW w:w="2880" w:type="dxa"/>
          </w:tcPr>
          <w:p w14:paraId="6D6C65DA" w14:textId="77777777" w:rsidR="00A50B3C" w:rsidRDefault="00000000">
            <w:r>
              <w:t>$55,000</w:t>
            </w:r>
          </w:p>
        </w:tc>
        <w:tc>
          <w:tcPr>
            <w:tcW w:w="2880" w:type="dxa"/>
          </w:tcPr>
          <w:p w14:paraId="728C5BA5" w14:textId="77777777" w:rsidR="00A50B3C" w:rsidRDefault="00000000">
            <w:r>
              <w:t>14.4%</w:t>
            </w:r>
          </w:p>
        </w:tc>
      </w:tr>
      <w:tr w:rsidR="00A50B3C" w14:paraId="666AF204" w14:textId="77777777">
        <w:tc>
          <w:tcPr>
            <w:tcW w:w="2880" w:type="dxa"/>
          </w:tcPr>
          <w:p w14:paraId="059D2401" w14:textId="77777777" w:rsidR="00A50B3C" w:rsidRDefault="00000000">
            <w:r>
              <w:t>Operating Income</w:t>
            </w:r>
          </w:p>
        </w:tc>
        <w:tc>
          <w:tcPr>
            <w:tcW w:w="2880" w:type="dxa"/>
          </w:tcPr>
          <w:p w14:paraId="787AE153" w14:textId="77777777" w:rsidR="00A50B3C" w:rsidRDefault="00000000">
            <w:r>
              <w:t>$125,683</w:t>
            </w:r>
          </w:p>
        </w:tc>
        <w:tc>
          <w:tcPr>
            <w:tcW w:w="2880" w:type="dxa"/>
          </w:tcPr>
          <w:p w14:paraId="1D231861" w14:textId="77777777" w:rsidR="00A50B3C" w:rsidRDefault="00000000">
            <w:r>
              <w:t>32.8%</w:t>
            </w:r>
          </w:p>
        </w:tc>
      </w:tr>
      <w:tr w:rsidR="00A50B3C" w14:paraId="71DD6FD0" w14:textId="77777777">
        <w:tc>
          <w:tcPr>
            <w:tcW w:w="2880" w:type="dxa"/>
          </w:tcPr>
          <w:p w14:paraId="2FD366CF" w14:textId="77777777" w:rsidR="00A50B3C" w:rsidRDefault="00000000">
            <w:r>
              <w:t>Net Income</w:t>
            </w:r>
          </w:p>
        </w:tc>
        <w:tc>
          <w:tcPr>
            <w:tcW w:w="2880" w:type="dxa"/>
          </w:tcPr>
          <w:p w14:paraId="5C1BE77E" w14:textId="77777777" w:rsidR="00A50B3C" w:rsidRDefault="00000000">
            <w:r>
              <w:t>$93,736</w:t>
            </w:r>
          </w:p>
        </w:tc>
        <w:tc>
          <w:tcPr>
            <w:tcW w:w="2880" w:type="dxa"/>
          </w:tcPr>
          <w:p w14:paraId="358CB3E0" w14:textId="77777777" w:rsidR="00A50B3C" w:rsidRDefault="00000000">
            <w:r>
              <w:t>24.5%</w:t>
            </w:r>
          </w:p>
        </w:tc>
      </w:tr>
    </w:tbl>
    <w:p w14:paraId="57177DCA" w14:textId="77777777" w:rsidR="00A50B3C" w:rsidRDefault="00000000">
      <w:r>
        <w:br/>
        <w:t>Apple Inc. – Common Size Balance Sheet (As of September 28, 2024):</w:t>
      </w:r>
    </w:p>
    <w:tbl>
      <w:tblPr>
        <w:tblW w:w="0" w:type="auto"/>
        <w:tblLook w:val="04A0" w:firstRow="1" w:lastRow="0" w:firstColumn="1" w:lastColumn="0" w:noHBand="0" w:noVBand="1"/>
      </w:tblPr>
      <w:tblGrid>
        <w:gridCol w:w="2880"/>
        <w:gridCol w:w="2880"/>
        <w:gridCol w:w="2880"/>
      </w:tblGrid>
      <w:tr w:rsidR="00A50B3C" w14:paraId="79715952" w14:textId="77777777">
        <w:tc>
          <w:tcPr>
            <w:tcW w:w="2880" w:type="dxa"/>
          </w:tcPr>
          <w:p w14:paraId="3B4198B5" w14:textId="77777777" w:rsidR="00A50B3C" w:rsidRDefault="00000000">
            <w:r>
              <w:t>Balance Sheet Item</w:t>
            </w:r>
          </w:p>
        </w:tc>
        <w:tc>
          <w:tcPr>
            <w:tcW w:w="2880" w:type="dxa"/>
          </w:tcPr>
          <w:p w14:paraId="5E8C27ED" w14:textId="77777777" w:rsidR="00A50B3C" w:rsidRDefault="00000000">
            <w:r>
              <w:t>Amount (in millions USD)</w:t>
            </w:r>
          </w:p>
        </w:tc>
        <w:tc>
          <w:tcPr>
            <w:tcW w:w="2880" w:type="dxa"/>
          </w:tcPr>
          <w:p w14:paraId="41E49693" w14:textId="77777777" w:rsidR="00A50B3C" w:rsidRDefault="00000000">
            <w:r>
              <w:t>% of Total Assets</w:t>
            </w:r>
          </w:p>
        </w:tc>
      </w:tr>
      <w:tr w:rsidR="00A50B3C" w14:paraId="1C98F60F" w14:textId="77777777">
        <w:tc>
          <w:tcPr>
            <w:tcW w:w="2880" w:type="dxa"/>
          </w:tcPr>
          <w:p w14:paraId="0C7C896A" w14:textId="77777777" w:rsidR="00A50B3C" w:rsidRDefault="00000000">
            <w:r>
              <w:t>Total Assets</w:t>
            </w:r>
          </w:p>
        </w:tc>
        <w:tc>
          <w:tcPr>
            <w:tcW w:w="2880" w:type="dxa"/>
          </w:tcPr>
          <w:p w14:paraId="20B06D45" w14:textId="77777777" w:rsidR="00A50B3C" w:rsidRDefault="00000000">
            <w:r>
              <w:t>$364,980</w:t>
            </w:r>
          </w:p>
        </w:tc>
        <w:tc>
          <w:tcPr>
            <w:tcW w:w="2880" w:type="dxa"/>
          </w:tcPr>
          <w:p w14:paraId="2B5CA7AA" w14:textId="77777777" w:rsidR="00A50B3C" w:rsidRDefault="00000000">
            <w:r>
              <w:t>100.0%</w:t>
            </w:r>
          </w:p>
        </w:tc>
      </w:tr>
      <w:tr w:rsidR="00A50B3C" w14:paraId="0BABD08C" w14:textId="77777777">
        <w:tc>
          <w:tcPr>
            <w:tcW w:w="2880" w:type="dxa"/>
          </w:tcPr>
          <w:p w14:paraId="33245400" w14:textId="77777777" w:rsidR="00A50B3C" w:rsidRDefault="00000000">
            <w:r>
              <w:t>Current Assets</w:t>
            </w:r>
          </w:p>
        </w:tc>
        <w:tc>
          <w:tcPr>
            <w:tcW w:w="2880" w:type="dxa"/>
          </w:tcPr>
          <w:p w14:paraId="13B74078" w14:textId="77777777" w:rsidR="00A50B3C" w:rsidRDefault="00000000">
            <w:r>
              <w:t>$152,987</w:t>
            </w:r>
          </w:p>
        </w:tc>
        <w:tc>
          <w:tcPr>
            <w:tcW w:w="2880" w:type="dxa"/>
          </w:tcPr>
          <w:p w14:paraId="78310578" w14:textId="77777777" w:rsidR="00A50B3C" w:rsidRDefault="00000000">
            <w:r>
              <w:t>41.9%</w:t>
            </w:r>
          </w:p>
        </w:tc>
      </w:tr>
      <w:tr w:rsidR="00A50B3C" w14:paraId="3532F5E6" w14:textId="77777777">
        <w:tc>
          <w:tcPr>
            <w:tcW w:w="2880" w:type="dxa"/>
          </w:tcPr>
          <w:p w14:paraId="596C3963" w14:textId="77777777" w:rsidR="00A50B3C" w:rsidRDefault="00000000">
            <w:r>
              <w:t>Non-Current Assets</w:t>
            </w:r>
          </w:p>
        </w:tc>
        <w:tc>
          <w:tcPr>
            <w:tcW w:w="2880" w:type="dxa"/>
          </w:tcPr>
          <w:p w14:paraId="27E28374" w14:textId="77777777" w:rsidR="00A50B3C" w:rsidRDefault="00000000">
            <w:r>
              <w:t>$211,993</w:t>
            </w:r>
          </w:p>
        </w:tc>
        <w:tc>
          <w:tcPr>
            <w:tcW w:w="2880" w:type="dxa"/>
          </w:tcPr>
          <w:p w14:paraId="37D9AF9D" w14:textId="77777777" w:rsidR="00A50B3C" w:rsidRDefault="00000000">
            <w:r>
              <w:t>58.1%</w:t>
            </w:r>
          </w:p>
        </w:tc>
      </w:tr>
      <w:tr w:rsidR="00A50B3C" w14:paraId="2E033F8A" w14:textId="77777777">
        <w:tc>
          <w:tcPr>
            <w:tcW w:w="2880" w:type="dxa"/>
          </w:tcPr>
          <w:p w14:paraId="7F10468D" w14:textId="77777777" w:rsidR="00A50B3C" w:rsidRDefault="00000000">
            <w:r>
              <w:t>Total Liabilities</w:t>
            </w:r>
          </w:p>
        </w:tc>
        <w:tc>
          <w:tcPr>
            <w:tcW w:w="2880" w:type="dxa"/>
          </w:tcPr>
          <w:p w14:paraId="2E6F92CC" w14:textId="77777777" w:rsidR="00A50B3C" w:rsidRDefault="00000000">
            <w:r>
              <w:t>$308,030</w:t>
            </w:r>
          </w:p>
        </w:tc>
        <w:tc>
          <w:tcPr>
            <w:tcW w:w="2880" w:type="dxa"/>
          </w:tcPr>
          <w:p w14:paraId="095F7474" w14:textId="77777777" w:rsidR="00A50B3C" w:rsidRDefault="00000000">
            <w:r>
              <w:t>84.4%</w:t>
            </w:r>
          </w:p>
        </w:tc>
      </w:tr>
      <w:tr w:rsidR="00A50B3C" w14:paraId="5B8760EA" w14:textId="77777777">
        <w:tc>
          <w:tcPr>
            <w:tcW w:w="2880" w:type="dxa"/>
          </w:tcPr>
          <w:p w14:paraId="4DA949DA" w14:textId="77777777" w:rsidR="00A50B3C" w:rsidRDefault="00000000">
            <w:r>
              <w:t>Shareholders' Equity</w:t>
            </w:r>
          </w:p>
        </w:tc>
        <w:tc>
          <w:tcPr>
            <w:tcW w:w="2880" w:type="dxa"/>
          </w:tcPr>
          <w:p w14:paraId="72831D4A" w14:textId="77777777" w:rsidR="00A50B3C" w:rsidRDefault="00000000">
            <w:r>
              <w:t>$56,950</w:t>
            </w:r>
          </w:p>
        </w:tc>
        <w:tc>
          <w:tcPr>
            <w:tcW w:w="2880" w:type="dxa"/>
          </w:tcPr>
          <w:p w14:paraId="2B078BB5" w14:textId="77777777" w:rsidR="00A50B3C" w:rsidRDefault="00000000">
            <w:r>
              <w:t>15.6%</w:t>
            </w:r>
          </w:p>
        </w:tc>
      </w:tr>
    </w:tbl>
    <w:p w14:paraId="739DD9C1" w14:textId="5A388414" w:rsidR="00A50B3C" w:rsidRDefault="00000000">
      <w:pPr>
        <w:pStyle w:val="Heading2"/>
      </w:pPr>
      <w:r>
        <w:lastRenderedPageBreak/>
        <w:t>Interpretation of Results – Apple Inc.</w:t>
      </w:r>
    </w:p>
    <w:p w14:paraId="09B7BEC6" w14:textId="77777777" w:rsidR="00A50B3C" w:rsidRDefault="00000000">
      <w:r>
        <w:t>Apple Inc.'s financials reveal several key trends and insights:</w:t>
      </w:r>
      <w:r>
        <w:br/>
      </w:r>
      <w:r>
        <w:br/>
        <w:t>• Revenue and Cost Structure Trends:</w:t>
      </w:r>
      <w:r>
        <w:br/>
        <w:t>Apple’s cost of goods sold represents 52.9% of total revenue, resulting in a gross margin of 47.1%. This indicates strong profitability across its product lines, with iPhones and services contributing significantly.</w:t>
      </w:r>
      <w:r>
        <w:br/>
      </w:r>
      <w:r>
        <w:br/>
        <w:t>• Profitability Trends:</w:t>
      </w:r>
      <w:r>
        <w:br/>
        <w:t>Operating margin stands at 32.8%, showcasing efficient control over operating costs. A robust net profit margin of 24.5% reflects solid bottom-line performance and disciplined expense management.</w:t>
      </w:r>
      <w:r>
        <w:br/>
      </w:r>
      <w:r>
        <w:br/>
        <w:t>• Asset Composition and Financial Leverage:</w:t>
      </w:r>
      <w:r>
        <w:br/>
        <w:t>Apple maintains a high leverage ratio, with liabilities comprising 84.4% of total assets. This structure supports aggressive capital return strategies, including stock buybacks, but may also elevate financial risk in a downturn.</w:t>
      </w:r>
    </w:p>
    <w:p w14:paraId="691E5691" w14:textId="6AAC7931" w:rsidR="00A50B3C" w:rsidRDefault="00000000">
      <w:pPr>
        <w:pStyle w:val="Heading2"/>
      </w:pPr>
      <w:r>
        <w:t>Common Size Statements and Peer Comparison – Microsoft Corporation</w:t>
      </w:r>
    </w:p>
    <w:p w14:paraId="4BEBF20F" w14:textId="77777777" w:rsidR="00A50B3C" w:rsidRDefault="00000000">
      <w:r>
        <w:t>Below is the common size income statement and balance sheet for Microsoft Corporation.</w:t>
      </w:r>
    </w:p>
    <w:p w14:paraId="35B20D2E" w14:textId="77777777" w:rsidR="00A50B3C" w:rsidRDefault="00000000">
      <w:r>
        <w:t>Microsoft – Common Size Income Statement (FY 2024):</w:t>
      </w:r>
    </w:p>
    <w:tbl>
      <w:tblPr>
        <w:tblW w:w="0" w:type="auto"/>
        <w:tblLook w:val="04A0" w:firstRow="1" w:lastRow="0" w:firstColumn="1" w:lastColumn="0" w:noHBand="0" w:noVBand="1"/>
      </w:tblPr>
      <w:tblGrid>
        <w:gridCol w:w="2880"/>
        <w:gridCol w:w="2880"/>
        <w:gridCol w:w="2880"/>
      </w:tblGrid>
      <w:tr w:rsidR="00A50B3C" w14:paraId="7F2AD0D1" w14:textId="77777777">
        <w:tc>
          <w:tcPr>
            <w:tcW w:w="2880" w:type="dxa"/>
          </w:tcPr>
          <w:p w14:paraId="0AB06E7D" w14:textId="77777777" w:rsidR="00A50B3C" w:rsidRDefault="00000000">
            <w:r>
              <w:t>Income Statement Item</w:t>
            </w:r>
          </w:p>
        </w:tc>
        <w:tc>
          <w:tcPr>
            <w:tcW w:w="2880" w:type="dxa"/>
          </w:tcPr>
          <w:p w14:paraId="2D8B5D8B" w14:textId="77777777" w:rsidR="00A50B3C" w:rsidRDefault="00000000">
            <w:r>
              <w:t>Amount (in millions USD)</w:t>
            </w:r>
          </w:p>
        </w:tc>
        <w:tc>
          <w:tcPr>
            <w:tcW w:w="2880" w:type="dxa"/>
          </w:tcPr>
          <w:p w14:paraId="569076CF" w14:textId="77777777" w:rsidR="00A50B3C" w:rsidRDefault="00000000">
            <w:r>
              <w:t>% of Total Revenue</w:t>
            </w:r>
          </w:p>
        </w:tc>
      </w:tr>
      <w:tr w:rsidR="00A50B3C" w14:paraId="6CF2970E" w14:textId="77777777">
        <w:tc>
          <w:tcPr>
            <w:tcW w:w="2880" w:type="dxa"/>
          </w:tcPr>
          <w:p w14:paraId="2899D82A" w14:textId="77777777" w:rsidR="00A50B3C" w:rsidRDefault="00000000">
            <w:r>
              <w:t>Total Revenue</w:t>
            </w:r>
          </w:p>
        </w:tc>
        <w:tc>
          <w:tcPr>
            <w:tcW w:w="2880" w:type="dxa"/>
          </w:tcPr>
          <w:p w14:paraId="31068F03" w14:textId="77777777" w:rsidR="00A50B3C" w:rsidRDefault="00000000">
            <w:r>
              <w:t>$245,122</w:t>
            </w:r>
          </w:p>
        </w:tc>
        <w:tc>
          <w:tcPr>
            <w:tcW w:w="2880" w:type="dxa"/>
          </w:tcPr>
          <w:p w14:paraId="63A93211" w14:textId="77777777" w:rsidR="00A50B3C" w:rsidRDefault="00000000">
            <w:r>
              <w:t>100.0%</w:t>
            </w:r>
          </w:p>
        </w:tc>
      </w:tr>
      <w:tr w:rsidR="00A50B3C" w14:paraId="7BDC92CC" w14:textId="77777777">
        <w:tc>
          <w:tcPr>
            <w:tcW w:w="2880" w:type="dxa"/>
          </w:tcPr>
          <w:p w14:paraId="3199EEF8" w14:textId="77777777" w:rsidR="00A50B3C" w:rsidRDefault="00000000">
            <w:r>
              <w:t>Cost of Goods Sold</w:t>
            </w:r>
          </w:p>
        </w:tc>
        <w:tc>
          <w:tcPr>
            <w:tcW w:w="2880" w:type="dxa"/>
          </w:tcPr>
          <w:p w14:paraId="797175BC" w14:textId="77777777" w:rsidR="00A50B3C" w:rsidRDefault="00000000">
            <w:r>
              <w:t>$74,114</w:t>
            </w:r>
          </w:p>
        </w:tc>
        <w:tc>
          <w:tcPr>
            <w:tcW w:w="2880" w:type="dxa"/>
          </w:tcPr>
          <w:p w14:paraId="10BE9EBE" w14:textId="77777777" w:rsidR="00A50B3C" w:rsidRDefault="00000000">
            <w:r>
              <w:t>30.2%</w:t>
            </w:r>
          </w:p>
        </w:tc>
      </w:tr>
      <w:tr w:rsidR="00A50B3C" w14:paraId="05699A9C" w14:textId="77777777">
        <w:tc>
          <w:tcPr>
            <w:tcW w:w="2880" w:type="dxa"/>
          </w:tcPr>
          <w:p w14:paraId="57F889A7" w14:textId="77777777" w:rsidR="00A50B3C" w:rsidRDefault="00000000">
            <w:r>
              <w:t>Gross Profit</w:t>
            </w:r>
          </w:p>
        </w:tc>
        <w:tc>
          <w:tcPr>
            <w:tcW w:w="2880" w:type="dxa"/>
          </w:tcPr>
          <w:p w14:paraId="74C5BB15" w14:textId="77777777" w:rsidR="00A50B3C" w:rsidRDefault="00000000">
            <w:r>
              <w:t>$171,008</w:t>
            </w:r>
          </w:p>
        </w:tc>
        <w:tc>
          <w:tcPr>
            <w:tcW w:w="2880" w:type="dxa"/>
          </w:tcPr>
          <w:p w14:paraId="60A718A7" w14:textId="77777777" w:rsidR="00A50B3C" w:rsidRDefault="00000000">
            <w:r>
              <w:t>69.8%</w:t>
            </w:r>
          </w:p>
        </w:tc>
      </w:tr>
      <w:tr w:rsidR="00A50B3C" w14:paraId="42BDAD2A" w14:textId="77777777">
        <w:tc>
          <w:tcPr>
            <w:tcW w:w="2880" w:type="dxa"/>
          </w:tcPr>
          <w:p w14:paraId="3F5D0147" w14:textId="77777777" w:rsidR="00A50B3C" w:rsidRDefault="00000000">
            <w:r>
              <w:t>Operating Expenses</w:t>
            </w:r>
          </w:p>
        </w:tc>
        <w:tc>
          <w:tcPr>
            <w:tcW w:w="2880" w:type="dxa"/>
          </w:tcPr>
          <w:p w14:paraId="6E06D9E1" w14:textId="77777777" w:rsidR="00A50B3C" w:rsidRDefault="00000000">
            <w:r>
              <w:t>$61,575</w:t>
            </w:r>
          </w:p>
        </w:tc>
        <w:tc>
          <w:tcPr>
            <w:tcW w:w="2880" w:type="dxa"/>
          </w:tcPr>
          <w:p w14:paraId="17E18BD2" w14:textId="77777777" w:rsidR="00A50B3C" w:rsidRDefault="00000000">
            <w:r>
              <w:t>25.1%</w:t>
            </w:r>
          </w:p>
        </w:tc>
      </w:tr>
      <w:tr w:rsidR="00A50B3C" w14:paraId="5B7C8BFC" w14:textId="77777777">
        <w:tc>
          <w:tcPr>
            <w:tcW w:w="2880" w:type="dxa"/>
          </w:tcPr>
          <w:p w14:paraId="01A8EEBE" w14:textId="77777777" w:rsidR="00A50B3C" w:rsidRDefault="00000000">
            <w:r>
              <w:t>Operating Income</w:t>
            </w:r>
          </w:p>
        </w:tc>
        <w:tc>
          <w:tcPr>
            <w:tcW w:w="2880" w:type="dxa"/>
          </w:tcPr>
          <w:p w14:paraId="48DB9144" w14:textId="77777777" w:rsidR="00A50B3C" w:rsidRDefault="00000000">
            <w:r>
              <w:t>$109,433</w:t>
            </w:r>
          </w:p>
        </w:tc>
        <w:tc>
          <w:tcPr>
            <w:tcW w:w="2880" w:type="dxa"/>
          </w:tcPr>
          <w:p w14:paraId="2A60B7EB" w14:textId="77777777" w:rsidR="00A50B3C" w:rsidRDefault="00000000">
            <w:r>
              <w:t>44.6%</w:t>
            </w:r>
          </w:p>
        </w:tc>
      </w:tr>
      <w:tr w:rsidR="00A50B3C" w14:paraId="0B49FAC1" w14:textId="77777777">
        <w:tc>
          <w:tcPr>
            <w:tcW w:w="2880" w:type="dxa"/>
          </w:tcPr>
          <w:p w14:paraId="541325AD" w14:textId="77777777" w:rsidR="00A50B3C" w:rsidRDefault="00000000">
            <w:r>
              <w:t>Net Income</w:t>
            </w:r>
          </w:p>
        </w:tc>
        <w:tc>
          <w:tcPr>
            <w:tcW w:w="2880" w:type="dxa"/>
          </w:tcPr>
          <w:p w14:paraId="7D994399" w14:textId="77777777" w:rsidR="00A50B3C" w:rsidRDefault="00000000">
            <w:r>
              <w:t>$88,136</w:t>
            </w:r>
          </w:p>
        </w:tc>
        <w:tc>
          <w:tcPr>
            <w:tcW w:w="2880" w:type="dxa"/>
          </w:tcPr>
          <w:p w14:paraId="7BC3380B" w14:textId="77777777" w:rsidR="00A50B3C" w:rsidRDefault="00000000">
            <w:r>
              <w:t>35.9%</w:t>
            </w:r>
          </w:p>
        </w:tc>
      </w:tr>
    </w:tbl>
    <w:p w14:paraId="30258239" w14:textId="77777777" w:rsidR="00A50B3C" w:rsidRDefault="00000000">
      <w:r>
        <w:br/>
        <w:t>Microsoft – Common Size Balance Sheet (FY 2024):</w:t>
      </w:r>
    </w:p>
    <w:tbl>
      <w:tblPr>
        <w:tblW w:w="0" w:type="auto"/>
        <w:tblLook w:val="04A0" w:firstRow="1" w:lastRow="0" w:firstColumn="1" w:lastColumn="0" w:noHBand="0" w:noVBand="1"/>
      </w:tblPr>
      <w:tblGrid>
        <w:gridCol w:w="2880"/>
        <w:gridCol w:w="2880"/>
        <w:gridCol w:w="2880"/>
      </w:tblGrid>
      <w:tr w:rsidR="00A50B3C" w14:paraId="65748FE4" w14:textId="77777777">
        <w:tc>
          <w:tcPr>
            <w:tcW w:w="2880" w:type="dxa"/>
          </w:tcPr>
          <w:p w14:paraId="2A01A2D2" w14:textId="77777777" w:rsidR="00A50B3C" w:rsidRDefault="00000000">
            <w:r>
              <w:t>Balance Sheet Item</w:t>
            </w:r>
          </w:p>
        </w:tc>
        <w:tc>
          <w:tcPr>
            <w:tcW w:w="2880" w:type="dxa"/>
          </w:tcPr>
          <w:p w14:paraId="1BD00B2A" w14:textId="77777777" w:rsidR="00A50B3C" w:rsidRDefault="00000000">
            <w:r>
              <w:t>Amount (in millions USD)</w:t>
            </w:r>
          </w:p>
        </w:tc>
        <w:tc>
          <w:tcPr>
            <w:tcW w:w="2880" w:type="dxa"/>
          </w:tcPr>
          <w:p w14:paraId="1748F891" w14:textId="77777777" w:rsidR="00A50B3C" w:rsidRDefault="00000000">
            <w:r>
              <w:t>% of Total Assets</w:t>
            </w:r>
          </w:p>
        </w:tc>
      </w:tr>
      <w:tr w:rsidR="00A50B3C" w14:paraId="347CE382" w14:textId="77777777">
        <w:tc>
          <w:tcPr>
            <w:tcW w:w="2880" w:type="dxa"/>
          </w:tcPr>
          <w:p w14:paraId="43C10707" w14:textId="77777777" w:rsidR="00A50B3C" w:rsidRDefault="00000000">
            <w:r>
              <w:t>Total Assets</w:t>
            </w:r>
          </w:p>
        </w:tc>
        <w:tc>
          <w:tcPr>
            <w:tcW w:w="2880" w:type="dxa"/>
          </w:tcPr>
          <w:p w14:paraId="5F377248" w14:textId="77777777" w:rsidR="00A50B3C" w:rsidRDefault="00000000">
            <w:r>
              <w:t>$425,000</w:t>
            </w:r>
          </w:p>
        </w:tc>
        <w:tc>
          <w:tcPr>
            <w:tcW w:w="2880" w:type="dxa"/>
          </w:tcPr>
          <w:p w14:paraId="6D280CB8" w14:textId="77777777" w:rsidR="00A50B3C" w:rsidRDefault="00000000">
            <w:r>
              <w:t>100.0%</w:t>
            </w:r>
          </w:p>
        </w:tc>
      </w:tr>
      <w:tr w:rsidR="00A50B3C" w14:paraId="4C8C0CDF" w14:textId="77777777">
        <w:tc>
          <w:tcPr>
            <w:tcW w:w="2880" w:type="dxa"/>
          </w:tcPr>
          <w:p w14:paraId="3630C506" w14:textId="77777777" w:rsidR="00A50B3C" w:rsidRDefault="00000000">
            <w:r>
              <w:t>Current Assets</w:t>
            </w:r>
          </w:p>
        </w:tc>
        <w:tc>
          <w:tcPr>
            <w:tcW w:w="2880" w:type="dxa"/>
          </w:tcPr>
          <w:p w14:paraId="08034602" w14:textId="77777777" w:rsidR="00A50B3C" w:rsidRDefault="00000000">
            <w:r>
              <w:t>$180,000</w:t>
            </w:r>
          </w:p>
        </w:tc>
        <w:tc>
          <w:tcPr>
            <w:tcW w:w="2880" w:type="dxa"/>
          </w:tcPr>
          <w:p w14:paraId="00A17181" w14:textId="77777777" w:rsidR="00A50B3C" w:rsidRDefault="00000000">
            <w:r>
              <w:t>42.4%</w:t>
            </w:r>
          </w:p>
        </w:tc>
      </w:tr>
      <w:tr w:rsidR="00A50B3C" w14:paraId="74BDF44C" w14:textId="77777777">
        <w:tc>
          <w:tcPr>
            <w:tcW w:w="2880" w:type="dxa"/>
          </w:tcPr>
          <w:p w14:paraId="33D6AAE5" w14:textId="77777777" w:rsidR="00A50B3C" w:rsidRDefault="00000000">
            <w:r>
              <w:lastRenderedPageBreak/>
              <w:t>Non-Current Assets</w:t>
            </w:r>
          </w:p>
        </w:tc>
        <w:tc>
          <w:tcPr>
            <w:tcW w:w="2880" w:type="dxa"/>
          </w:tcPr>
          <w:p w14:paraId="4D66D700" w14:textId="77777777" w:rsidR="00A50B3C" w:rsidRDefault="00000000">
            <w:r>
              <w:t>$245,000</w:t>
            </w:r>
          </w:p>
        </w:tc>
        <w:tc>
          <w:tcPr>
            <w:tcW w:w="2880" w:type="dxa"/>
          </w:tcPr>
          <w:p w14:paraId="7D530399" w14:textId="77777777" w:rsidR="00A50B3C" w:rsidRDefault="00000000">
            <w:r>
              <w:t>57.6%</w:t>
            </w:r>
          </w:p>
        </w:tc>
      </w:tr>
      <w:tr w:rsidR="00A50B3C" w14:paraId="785CBAB6" w14:textId="77777777">
        <w:tc>
          <w:tcPr>
            <w:tcW w:w="2880" w:type="dxa"/>
          </w:tcPr>
          <w:p w14:paraId="36520138" w14:textId="77777777" w:rsidR="00A50B3C" w:rsidRDefault="00000000">
            <w:r>
              <w:t>Total Liabilities</w:t>
            </w:r>
          </w:p>
        </w:tc>
        <w:tc>
          <w:tcPr>
            <w:tcW w:w="2880" w:type="dxa"/>
          </w:tcPr>
          <w:p w14:paraId="030593B2" w14:textId="77777777" w:rsidR="00A50B3C" w:rsidRDefault="00000000">
            <w:r>
              <w:t>$278,000</w:t>
            </w:r>
          </w:p>
        </w:tc>
        <w:tc>
          <w:tcPr>
            <w:tcW w:w="2880" w:type="dxa"/>
          </w:tcPr>
          <w:p w14:paraId="07FFB8AF" w14:textId="77777777" w:rsidR="00A50B3C" w:rsidRDefault="00000000">
            <w:r>
              <w:t>65.4%</w:t>
            </w:r>
          </w:p>
        </w:tc>
      </w:tr>
      <w:tr w:rsidR="00A50B3C" w14:paraId="6DCBF6CB" w14:textId="77777777">
        <w:tc>
          <w:tcPr>
            <w:tcW w:w="2880" w:type="dxa"/>
          </w:tcPr>
          <w:p w14:paraId="1873BE3D" w14:textId="77777777" w:rsidR="00A50B3C" w:rsidRDefault="00000000">
            <w:r>
              <w:t>Shareholders' Equity</w:t>
            </w:r>
          </w:p>
        </w:tc>
        <w:tc>
          <w:tcPr>
            <w:tcW w:w="2880" w:type="dxa"/>
          </w:tcPr>
          <w:p w14:paraId="2B55E488" w14:textId="77777777" w:rsidR="00A50B3C" w:rsidRDefault="00000000">
            <w:r>
              <w:t>$147,000</w:t>
            </w:r>
          </w:p>
        </w:tc>
        <w:tc>
          <w:tcPr>
            <w:tcW w:w="2880" w:type="dxa"/>
          </w:tcPr>
          <w:p w14:paraId="192CFBFE" w14:textId="77777777" w:rsidR="00A50B3C" w:rsidRDefault="00000000">
            <w:r>
              <w:t>34.6%</w:t>
            </w:r>
          </w:p>
        </w:tc>
      </w:tr>
    </w:tbl>
    <w:p w14:paraId="44C7BA70" w14:textId="77777777" w:rsidR="00A50B3C" w:rsidRDefault="00000000">
      <w:r>
        <w:br/>
        <w:t>**Comparative Analysis:**</w:t>
      </w:r>
      <w:r>
        <w:br/>
        <w:t>Microsoft shows a higher gross and net margin compared to Apple, indicating greater cost efficiency and profit generation. Apple’s leverage is notably higher, suggesting a more aggressive financing strategy. Microsoft maintains a stronger equity position, potentially offering greater stability.</w:t>
      </w:r>
    </w:p>
    <w:p w14:paraId="3D483BB8" w14:textId="77777777" w:rsidR="00A50B3C" w:rsidRDefault="00000000">
      <w:r>
        <w:rPr>
          <w:noProof/>
        </w:rPr>
        <w:drawing>
          <wp:inline distT="0" distB="0" distL="0" distR="0" wp14:anchorId="40E2D101" wp14:editId="5878E842">
            <wp:extent cx="5029200" cy="335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tability_comparison_updated.png"/>
                    <pic:cNvPicPr/>
                  </pic:nvPicPr>
                  <pic:blipFill>
                    <a:blip r:embed="rId6"/>
                    <a:stretch>
                      <a:fillRect/>
                    </a:stretch>
                  </pic:blipFill>
                  <pic:spPr>
                    <a:xfrm>
                      <a:off x="0" y="0"/>
                      <a:ext cx="5029200" cy="3352800"/>
                    </a:xfrm>
                    <a:prstGeom prst="rect">
                      <a:avLst/>
                    </a:prstGeom>
                  </pic:spPr>
                </pic:pic>
              </a:graphicData>
            </a:graphic>
          </wp:inline>
        </w:drawing>
      </w:r>
    </w:p>
    <w:p w14:paraId="1727E44D" w14:textId="00040A4F" w:rsidR="00A50B3C" w:rsidRDefault="00000000">
      <w:pPr>
        <w:pStyle w:val="Heading2"/>
      </w:pPr>
      <w:r>
        <w:t>Final Report Summary</w:t>
      </w:r>
    </w:p>
    <w:p w14:paraId="572AF75B" w14:textId="26603E1E" w:rsidR="006828B0" w:rsidRDefault="00000000">
      <w:r>
        <w:t>This report provides a financial analysis using the common size approach to examine Apple Inc. in comparison to Microsoft Corporation. It highlights Apple’s substantial revenue base, effective cost structure, and high leverage strategy, contrasted with Microsoft’s superior margins and financial stability.</w:t>
      </w:r>
      <w:r>
        <w:br/>
      </w:r>
      <w:r>
        <w:br/>
        <w:t>Key takeaways:</w:t>
      </w:r>
      <w:r>
        <w:br/>
        <w:t>• Apple maintains a strong market presence with high profitability, albeit with higher financial risk due to leverage.</w:t>
      </w:r>
      <w:r>
        <w:br/>
        <w:t>• Microsoft shows stronger operational efficiency and financial structure, offering a contrast in strategic financial management.</w:t>
      </w:r>
      <w:r>
        <w:br/>
      </w:r>
      <w:r>
        <w:br/>
      </w:r>
      <w:r>
        <w:lastRenderedPageBreak/>
        <w:t>These insights provide valuable guidance for stakeholders assessing company performance, financial strategy, and long-term stability.</w:t>
      </w:r>
    </w:p>
    <w:p w14:paraId="1C6987A3" w14:textId="12241B0F" w:rsidR="006D468A" w:rsidRDefault="00000000" w:rsidP="006D468A">
      <w:pPr>
        <w:pStyle w:val="Heading2"/>
      </w:pPr>
      <w:r>
        <w:t>References</w:t>
      </w:r>
    </w:p>
    <w:p w14:paraId="6F25A637" w14:textId="002E7AA7" w:rsidR="006D468A" w:rsidRPr="006D468A" w:rsidRDefault="006D468A" w:rsidP="006D468A">
      <w:r>
        <w:t>Financial data for Apple and Microsoft is derived from their respective 2024 annual reports and SEC filings. All data used has been consolidated and verified as of the most recent fiscal year-end for both companies.</w:t>
      </w:r>
    </w:p>
    <w:p w14:paraId="195B1199" w14:textId="77777777" w:rsidR="006828B0" w:rsidRDefault="00000000" w:rsidP="006828B0">
      <w:pPr>
        <w:pStyle w:val="NoSpacing"/>
      </w:pPr>
      <w:r>
        <w:t>Apple Inc. 2024 Form 10-K</w:t>
      </w:r>
    </w:p>
    <w:p w14:paraId="3CAA14D7" w14:textId="77777777" w:rsidR="006828B0" w:rsidRDefault="006828B0" w:rsidP="006828B0">
      <w:pPr>
        <w:pStyle w:val="NoSpacing"/>
      </w:pPr>
      <w:hyperlink r:id="rId7" w:history="1">
        <w:r w:rsidRPr="00242320">
          <w:rPr>
            <w:rStyle w:val="Hyperlink"/>
          </w:rPr>
          <w:t>https://www.sec.gov/Archives/edgar/data/320193/000032019324000123/aapl-20240928.htm</w:t>
        </w:r>
      </w:hyperlink>
      <w:r>
        <w:t xml:space="preserve"> </w:t>
      </w:r>
      <w:r>
        <w:br/>
      </w:r>
    </w:p>
    <w:p w14:paraId="2E1A4556" w14:textId="2BFDA4DA" w:rsidR="00A50B3C" w:rsidRDefault="00000000" w:rsidP="006828B0">
      <w:pPr>
        <w:pStyle w:val="NoSpacing"/>
      </w:pPr>
      <w:r>
        <w:t>Microsoft Corporation 2024 Annual Report</w:t>
      </w:r>
    </w:p>
    <w:p w14:paraId="472DB010" w14:textId="231D31A2" w:rsidR="006828B0" w:rsidRDefault="006828B0" w:rsidP="006828B0">
      <w:pPr>
        <w:pStyle w:val="NoSpacing"/>
      </w:pPr>
      <w:hyperlink r:id="rId8" w:history="1">
        <w:r w:rsidRPr="00242320">
          <w:rPr>
            <w:rStyle w:val="Hyperlink"/>
          </w:rPr>
          <w:t>https://www.microsoft.com/investor/reports/ar24/</w:t>
        </w:r>
      </w:hyperlink>
      <w:r>
        <w:t xml:space="preserve"> </w:t>
      </w:r>
    </w:p>
    <w:sectPr w:rsidR="006828B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99998859">
    <w:abstractNumId w:val="8"/>
  </w:num>
  <w:num w:numId="2" w16cid:durableId="671105682">
    <w:abstractNumId w:val="6"/>
  </w:num>
  <w:num w:numId="3" w16cid:durableId="699168412">
    <w:abstractNumId w:val="5"/>
  </w:num>
  <w:num w:numId="4" w16cid:durableId="885724670">
    <w:abstractNumId w:val="4"/>
  </w:num>
  <w:num w:numId="5" w16cid:durableId="181358435">
    <w:abstractNumId w:val="7"/>
  </w:num>
  <w:num w:numId="6" w16cid:durableId="550463227">
    <w:abstractNumId w:val="3"/>
  </w:num>
  <w:num w:numId="7" w16cid:durableId="1633944037">
    <w:abstractNumId w:val="2"/>
  </w:num>
  <w:num w:numId="8" w16cid:durableId="789670010">
    <w:abstractNumId w:val="1"/>
  </w:num>
  <w:num w:numId="9" w16cid:durableId="935404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597B65"/>
    <w:rsid w:val="006828B0"/>
    <w:rsid w:val="006D468A"/>
    <w:rsid w:val="00A50B3C"/>
    <w:rsid w:val="00AA1D8D"/>
    <w:rsid w:val="00B47730"/>
    <w:rsid w:val="00CB0664"/>
    <w:rsid w:val="00E258EE"/>
    <w:rsid w:val="00EB4CA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09D03C"/>
  <w14:defaultImageDpi w14:val="300"/>
  <w15:docId w15:val="{D632F732-1193-4C68-975A-158D0662A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6828B0"/>
    <w:rPr>
      <w:color w:val="0000FF" w:themeColor="hyperlink"/>
      <w:u w:val="single"/>
    </w:rPr>
  </w:style>
  <w:style w:type="character" w:styleId="UnresolvedMention">
    <w:name w:val="Unresolved Mention"/>
    <w:basedOn w:val="DefaultParagraphFont"/>
    <w:uiPriority w:val="99"/>
    <w:semiHidden/>
    <w:unhideWhenUsed/>
    <w:rsid w:val="00682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soft.com/investor/reports/ar24/" TargetMode="External"/><Relationship Id="rId3" Type="http://schemas.openxmlformats.org/officeDocument/2006/relationships/styles" Target="styles.xml"/><Relationship Id="rId7" Type="http://schemas.openxmlformats.org/officeDocument/2006/relationships/hyperlink" Target="https://www.sec.gov/Archives/edgar/data/320193/000032019324000123/aapl-20240928.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Kolchuma Begum</cp:lastModifiedBy>
  <cp:revision>4</cp:revision>
  <dcterms:created xsi:type="dcterms:W3CDTF">2025-04-24T22:16:00Z</dcterms:created>
  <dcterms:modified xsi:type="dcterms:W3CDTF">2025-04-24T22:18:00Z</dcterms:modified>
  <cp:category/>
</cp:coreProperties>
</file>