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83BD" w14:textId="259BC734" w:rsidR="005B16DD" w:rsidRDefault="009D781E" w:rsidP="009C7D96">
      <w:pPr>
        <w:jc w:val="center"/>
        <w:rPr>
          <w:b/>
          <w:bCs/>
          <w:noProof/>
        </w:rPr>
      </w:pPr>
      <w:r w:rsidRPr="009D781E">
        <w:rPr>
          <w:b/>
          <w:bCs/>
          <w:noProof/>
        </w:rPr>
        <w:t>Marriot Inc.</w:t>
      </w:r>
    </w:p>
    <w:p w14:paraId="1A0874A1" w14:textId="5C2C8984" w:rsidR="003F1981" w:rsidRDefault="00FD07B6" w:rsidP="00CB2A34">
      <w:pPr>
        <w:rPr>
          <w:b/>
          <w:bCs/>
          <w:noProof/>
        </w:rPr>
      </w:pPr>
      <w:r>
        <w:rPr>
          <w:b/>
          <w:bCs/>
          <w:noProof/>
        </w:rPr>
        <w:t>Revnue</w:t>
      </w:r>
      <w:r w:rsidR="00B05869">
        <w:rPr>
          <w:b/>
          <w:bCs/>
          <w:noProof/>
        </w:rPr>
        <w:t xml:space="preserve"> Drivers</w:t>
      </w:r>
    </w:p>
    <w:p w14:paraId="038592C2" w14:textId="41EA379B" w:rsidR="009D781E" w:rsidRDefault="009E4054" w:rsidP="00CB2A34">
      <w:r>
        <w:t>Q</w:t>
      </w:r>
      <w:r w:rsidR="00FE35C2">
        <w:t>3</w:t>
      </w:r>
      <w:r w:rsidR="00D10AED">
        <w:t xml:space="preserve"> </w:t>
      </w:r>
      <w:r w:rsidR="00205D9A">
        <w:t>2023</w:t>
      </w:r>
    </w:p>
    <w:p w14:paraId="341B64CB" w14:textId="328B9814" w:rsidR="00964498" w:rsidRPr="00964498" w:rsidRDefault="00B4219F" w:rsidP="00964498">
      <w:r>
        <w:rPr>
          <w:b/>
          <w:bCs/>
          <w:noProof/>
        </w:rPr>
        <w:drawing>
          <wp:inline distT="0" distB="0" distL="0" distR="0" wp14:anchorId="7D7E6F43" wp14:editId="4BAEAC7E">
            <wp:extent cx="5486400" cy="3200400"/>
            <wp:effectExtent l="0" t="0" r="0" b="0"/>
            <wp:docPr id="3782676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64498" w:rsidRPr="00964498">
        <w:rPr>
          <w:b/>
          <w:bCs/>
        </w:rPr>
        <w:br/>
        <w:t xml:space="preserve">Revenue Breakdown </w:t>
      </w:r>
      <w:r w:rsidR="00DC09A9">
        <w:rPr>
          <w:b/>
          <w:bCs/>
        </w:rPr>
        <w:t>into Price</w:t>
      </w:r>
      <w:r w:rsidR="009500DF">
        <w:rPr>
          <w:b/>
          <w:bCs/>
        </w:rPr>
        <w:t>/volume data for</w:t>
      </w:r>
      <w:r w:rsidR="00964498" w:rsidRPr="00964498">
        <w:rPr>
          <w:b/>
          <w:bCs/>
        </w:rPr>
        <w:t xml:space="preserve"> Marriott:</w:t>
      </w:r>
    </w:p>
    <w:p w14:paraId="7F9955E7" w14:textId="77777777" w:rsidR="009C7D96" w:rsidRDefault="00964498" w:rsidP="007D1B43">
      <w:pPr>
        <w:ind w:left="1080"/>
        <w:rPr>
          <w:b/>
          <w:bCs/>
        </w:rPr>
      </w:pPr>
      <w:r w:rsidRPr="006770EA">
        <w:rPr>
          <w:b/>
          <w:bCs/>
        </w:rPr>
        <w:t>Base Management Fees:</w:t>
      </w:r>
    </w:p>
    <w:p w14:paraId="21A950FE" w14:textId="2B5539DB" w:rsidR="007D1B43" w:rsidRPr="00964498" w:rsidRDefault="007D1B43" w:rsidP="007D1B43">
      <w:pPr>
        <w:ind w:left="1080"/>
      </w:pPr>
      <w:r w:rsidRPr="007D1B43">
        <w:t xml:space="preserve"> </w:t>
      </w:r>
      <w:r w:rsidRPr="00964498">
        <w:t>$306 million (Increase of 11% from $275 million)</w:t>
      </w:r>
    </w:p>
    <w:p w14:paraId="5D04A26A" w14:textId="77777777" w:rsidR="009C7D96" w:rsidRDefault="00964498" w:rsidP="007D1B43">
      <w:pPr>
        <w:ind w:left="360" w:firstLine="720"/>
        <w:rPr>
          <w:b/>
          <w:bCs/>
        </w:rPr>
      </w:pPr>
      <w:r w:rsidRPr="006770EA">
        <w:rPr>
          <w:b/>
          <w:bCs/>
        </w:rPr>
        <w:t>Franchise Fees:</w:t>
      </w:r>
    </w:p>
    <w:p w14:paraId="06563EDB" w14:textId="38818CD5" w:rsidR="007D1B43" w:rsidRPr="00964498" w:rsidRDefault="007D1B43" w:rsidP="007D1B43">
      <w:pPr>
        <w:ind w:left="360" w:firstLine="720"/>
      </w:pPr>
      <w:r w:rsidRPr="007D1B43">
        <w:t xml:space="preserve"> </w:t>
      </w:r>
      <w:r w:rsidRPr="00964498">
        <w:t>$748 million (Increase of 10% from $678 million)</w:t>
      </w:r>
    </w:p>
    <w:p w14:paraId="0EAC1819" w14:textId="77777777" w:rsidR="009C7D96" w:rsidRDefault="007D1B43" w:rsidP="007D1B43">
      <w:pPr>
        <w:ind w:left="1080"/>
      </w:pPr>
      <w:r w:rsidRPr="006770EA">
        <w:rPr>
          <w:b/>
          <w:bCs/>
        </w:rPr>
        <w:t>Incentive Management Fees:</w:t>
      </w:r>
      <w:r w:rsidRPr="007D1B43">
        <w:t xml:space="preserve"> </w:t>
      </w:r>
    </w:p>
    <w:p w14:paraId="1C7C3224" w14:textId="15D7B0F3" w:rsidR="007D1B43" w:rsidRPr="00964498" w:rsidRDefault="007D1B43" w:rsidP="007D1B43">
      <w:pPr>
        <w:ind w:left="1080"/>
      </w:pPr>
      <w:r w:rsidRPr="00964498">
        <w:t>$143 million (Increase of 35% from $106 million)</w:t>
      </w:r>
    </w:p>
    <w:p w14:paraId="5B06EB52" w14:textId="77777777" w:rsidR="009C7D96" w:rsidRDefault="007D1B43" w:rsidP="007D1B43">
      <w:pPr>
        <w:ind w:left="1080"/>
      </w:pPr>
      <w:r w:rsidRPr="006770EA">
        <w:rPr>
          <w:b/>
          <w:bCs/>
        </w:rPr>
        <w:t>Contract Investment Amortization:</w:t>
      </w:r>
      <w:r w:rsidRPr="007D1B43">
        <w:t xml:space="preserve"> </w:t>
      </w:r>
    </w:p>
    <w:p w14:paraId="12F6CA0B" w14:textId="7B2524EF" w:rsidR="007D1B43" w:rsidRPr="00964498" w:rsidRDefault="007D1B43" w:rsidP="007D1B43">
      <w:pPr>
        <w:ind w:left="1080"/>
      </w:pPr>
      <w:r w:rsidRPr="00964498">
        <w:t>$(23) million (5% decrease from $(22) million)</w:t>
      </w:r>
    </w:p>
    <w:p w14:paraId="17AB290F" w14:textId="77777777" w:rsidR="009C7D96" w:rsidRDefault="007D1B43" w:rsidP="007D1B43">
      <w:pPr>
        <w:ind w:left="1080"/>
      </w:pPr>
      <w:r w:rsidRPr="006770EA">
        <w:rPr>
          <w:b/>
          <w:bCs/>
        </w:rPr>
        <w:t>Owned, Leased, and Other Revenue:</w:t>
      </w:r>
      <w:r w:rsidRPr="007D1B43">
        <w:t xml:space="preserve"> </w:t>
      </w:r>
    </w:p>
    <w:p w14:paraId="497DA192" w14:textId="337E846D" w:rsidR="007D1B43" w:rsidRPr="00964498" w:rsidRDefault="007D1B43" w:rsidP="007D1B43">
      <w:pPr>
        <w:ind w:left="1080"/>
      </w:pPr>
      <w:r w:rsidRPr="00964498">
        <w:t>$363 million (Increase of 5% from $345 million)</w:t>
      </w:r>
    </w:p>
    <w:p w14:paraId="338E159D" w14:textId="77777777" w:rsidR="009C7D96" w:rsidRDefault="007D1B43" w:rsidP="007D1B43">
      <w:pPr>
        <w:ind w:left="1080"/>
      </w:pPr>
      <w:r w:rsidRPr="006770EA">
        <w:rPr>
          <w:b/>
          <w:bCs/>
        </w:rPr>
        <w:t>Cost Reimbursement Revenue:</w:t>
      </w:r>
      <w:r w:rsidRPr="007D1B43">
        <w:t xml:space="preserve"> </w:t>
      </w:r>
    </w:p>
    <w:p w14:paraId="20D0C484" w14:textId="1C52E7AA" w:rsidR="007D1B43" w:rsidRPr="00964498" w:rsidRDefault="007D1B43" w:rsidP="007D1B43">
      <w:pPr>
        <w:ind w:left="1080"/>
      </w:pPr>
      <w:r w:rsidRPr="00964498">
        <w:t>$4,391 million (Increase of 12% from $3,931 million)</w:t>
      </w:r>
    </w:p>
    <w:p w14:paraId="0B1556D7" w14:textId="77777777" w:rsidR="00014332" w:rsidRPr="001F7689" w:rsidRDefault="00014332" w:rsidP="00014332">
      <w:pPr>
        <w:rPr>
          <w:shd w:val="clear" w:color="auto" w:fill="00FF00"/>
        </w:rPr>
      </w:pPr>
      <w:r w:rsidRPr="001F7689">
        <w:rPr>
          <w:shd w:val="clear" w:color="auto" w:fill="00FF00"/>
        </w:rPr>
        <w:t xml:space="preserve">Revenue is driven as RevPAR * No. Rooms </w:t>
      </w:r>
      <w:proofErr w:type="gramStart"/>
      <w:r w:rsidRPr="001F7689">
        <w:rPr>
          <w:shd w:val="clear" w:color="auto" w:fill="00FF00"/>
        </w:rPr>
        <w:t>where</w:t>
      </w:r>
      <w:proofErr w:type="gramEnd"/>
      <w:r w:rsidRPr="001F7689">
        <w:rPr>
          <w:shd w:val="clear" w:color="auto" w:fill="00FF00"/>
        </w:rPr>
        <w:t xml:space="preserve">, </w:t>
      </w:r>
    </w:p>
    <w:p w14:paraId="4CB12F93" w14:textId="77777777" w:rsidR="00014332" w:rsidRPr="001F7689" w:rsidRDefault="00014332" w:rsidP="00014332">
      <w:pPr>
        <w:rPr>
          <w:shd w:val="clear" w:color="auto" w:fill="00FF00"/>
        </w:rPr>
      </w:pPr>
      <w:r w:rsidRPr="001F7689">
        <w:rPr>
          <w:shd w:val="clear" w:color="auto" w:fill="00FF00"/>
        </w:rPr>
        <w:lastRenderedPageBreak/>
        <w:t xml:space="preserve"> RevPAR is the function of ADR (price impact) * Occupancy (volume impact)</w:t>
      </w:r>
    </w:p>
    <w:p w14:paraId="447B0074" w14:textId="77777777" w:rsidR="00014332" w:rsidRPr="001F7689" w:rsidRDefault="00014332" w:rsidP="00014332">
      <w:pPr>
        <w:rPr>
          <w:shd w:val="clear" w:color="auto" w:fill="00FF00"/>
        </w:rPr>
      </w:pPr>
      <w:r w:rsidRPr="001F7689">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540A7811" w14:textId="77777777" w:rsidR="00211F32" w:rsidRDefault="00211F32" w:rsidP="007D1B43">
      <w:pPr>
        <w:rPr>
          <w:b/>
          <w:bCs/>
        </w:rPr>
      </w:pPr>
    </w:p>
    <w:p w14:paraId="12505557" w14:textId="6065967D" w:rsidR="00014332" w:rsidRDefault="00014332" w:rsidP="007D1B43">
      <w:pPr>
        <w:rPr>
          <w:b/>
          <w:bCs/>
        </w:rPr>
      </w:pPr>
      <w:r w:rsidRPr="00703462">
        <w:rPr>
          <w:noProof/>
          <w:shd w:val="clear" w:color="auto" w:fill="00FF00"/>
        </w:rPr>
        <w:drawing>
          <wp:inline distT="0" distB="0" distL="0" distR="0" wp14:anchorId="344B1B31" wp14:editId="405F0237">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4911" cy="2514818"/>
                    </a:xfrm>
                    <a:prstGeom prst="rect">
                      <a:avLst/>
                    </a:prstGeom>
                  </pic:spPr>
                </pic:pic>
              </a:graphicData>
            </a:graphic>
          </wp:inline>
        </w:drawing>
      </w:r>
    </w:p>
    <w:p w14:paraId="32D31788" w14:textId="3CBD5FB8" w:rsidR="00241DA4" w:rsidRPr="00E3567A" w:rsidRDefault="00832C84" w:rsidP="007D1B43">
      <w:pPr>
        <w:rPr>
          <w:b/>
          <w:bCs/>
        </w:rPr>
      </w:pPr>
      <w:r>
        <w:rPr>
          <w:b/>
          <w:bCs/>
          <w:noProof/>
        </w:rPr>
        <mc:AlternateContent>
          <mc:Choice Requires="cx1">
            <w:drawing>
              <wp:inline distT="0" distB="0" distL="0" distR="0" wp14:anchorId="480DF5FA" wp14:editId="53A40DA6">
                <wp:extent cx="5781675" cy="3152775"/>
                <wp:effectExtent l="0" t="0" r="9525" b="9525"/>
                <wp:docPr id="166668485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480DF5FA" wp14:editId="53A40DA6">
                <wp:extent cx="5781675" cy="3152775"/>
                <wp:effectExtent l="0" t="0" r="9525" b="9525"/>
                <wp:docPr id="166668485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66684857" name="Chart 7"/>
                        <pic:cNvPicPr>
                          <a:picLocks noGrp="1" noRot="1" noChangeAspect="1" noMove="1" noResize="1" noEditPoints="1" noAdjustHandles="1" noChangeArrowheads="1" noChangeShapeType="1"/>
                        </pic:cNvPicPr>
                      </pic:nvPicPr>
                      <pic:blipFill>
                        <a:blip r:embed="rId10"/>
                        <a:stretch>
                          <a:fillRect/>
                        </a:stretch>
                      </pic:blipFill>
                      <pic:spPr>
                        <a:xfrm>
                          <a:off x="0" y="0"/>
                          <a:ext cx="5781675" cy="3152775"/>
                        </a:xfrm>
                        <a:prstGeom prst="rect">
                          <a:avLst/>
                        </a:prstGeom>
                      </pic:spPr>
                    </pic:pic>
                  </a:graphicData>
                </a:graphic>
              </wp:inline>
            </w:drawing>
          </mc:Fallback>
        </mc:AlternateContent>
      </w:r>
    </w:p>
    <w:p w14:paraId="77EEBB3A" w14:textId="71245AF0" w:rsidR="00964498" w:rsidRPr="00964498" w:rsidRDefault="00964498" w:rsidP="006770EA">
      <w:pPr>
        <w:ind w:left="1080"/>
      </w:pPr>
    </w:p>
    <w:p w14:paraId="0BBB7887" w14:textId="1D2D084E" w:rsidR="00D10AED" w:rsidRDefault="00D10AED" w:rsidP="00CB2A34">
      <w:pPr>
        <w:rPr>
          <w:b/>
          <w:bCs/>
        </w:rPr>
      </w:pPr>
      <w:r>
        <w:rPr>
          <w:b/>
          <w:bCs/>
        </w:rPr>
        <w:t xml:space="preserve">Cost </w:t>
      </w:r>
      <w:r w:rsidR="00B05869">
        <w:rPr>
          <w:b/>
          <w:bCs/>
        </w:rPr>
        <w:t>Drivers</w:t>
      </w:r>
    </w:p>
    <w:p w14:paraId="4BBDD754" w14:textId="1DB590ED" w:rsidR="00AD0475" w:rsidRDefault="00A0525B" w:rsidP="00CB2A34">
      <w:pPr>
        <w:rPr>
          <w:b/>
          <w:bCs/>
        </w:rPr>
      </w:pPr>
      <w:r>
        <w:rPr>
          <w:b/>
          <w:bCs/>
          <w:noProof/>
        </w:rPr>
        <w:lastRenderedPageBreak/>
        <w:drawing>
          <wp:inline distT="0" distB="0" distL="0" distR="0" wp14:anchorId="59858912" wp14:editId="57AC7D8F">
            <wp:extent cx="5486400" cy="3200400"/>
            <wp:effectExtent l="0" t="0" r="0" b="0"/>
            <wp:docPr id="18607476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EA2494" w14:textId="77777777" w:rsidR="00014332" w:rsidRDefault="00014332" w:rsidP="00014332">
      <w:pPr>
        <w:ind w:left="360"/>
      </w:pPr>
    </w:p>
    <w:p w14:paraId="459EDC25" w14:textId="77777777" w:rsidR="00014332" w:rsidRPr="009D0768" w:rsidRDefault="00014332" w:rsidP="00014332">
      <w:proofErr w:type="gramStart"/>
      <w:r w:rsidRPr="001F7689">
        <w:rPr>
          <w:shd w:val="clear" w:color="auto" w:fill="00FF00"/>
        </w:rPr>
        <w:t>Large</w:t>
      </w:r>
      <w:proofErr w:type="gramEnd"/>
      <w:r w:rsidRPr="001F7689">
        <w:rPr>
          <w:shd w:val="clear" w:color="auto" w:fill="00FF00"/>
        </w:rPr>
        <w:t xml:space="preserve"> portion of Marriot’s cost is the reimbursed expenses which is directly related to reimbursed revenue. Management and franchise related operating expenses will have </w:t>
      </w:r>
      <w:proofErr w:type="gramStart"/>
      <w:r w:rsidRPr="001F7689">
        <w:rPr>
          <w:shd w:val="clear" w:color="auto" w:fill="00FF00"/>
        </w:rPr>
        <w:t>be</w:t>
      </w:r>
      <w:proofErr w:type="gramEnd"/>
      <w:r w:rsidRPr="001F7689">
        <w:rPr>
          <w:shd w:val="clear" w:color="auto" w:fill="00FF00"/>
        </w:rPr>
        <w:t xml:space="preserve"> derived as a % of revenue.</w:t>
      </w:r>
    </w:p>
    <w:p w14:paraId="430C301F" w14:textId="77777777" w:rsidR="00014332" w:rsidRDefault="00014332" w:rsidP="00014332">
      <w:pPr>
        <w:ind w:left="360"/>
      </w:pPr>
    </w:p>
    <w:p w14:paraId="692E2355" w14:textId="1A8A347C" w:rsidR="00BA34DB" w:rsidRPr="00BA34DB" w:rsidRDefault="00BA34DB" w:rsidP="00014332">
      <w:pPr>
        <w:ind w:left="360"/>
      </w:pPr>
      <w:r>
        <w:t xml:space="preserve">Quarterly </w:t>
      </w:r>
      <w:r w:rsidR="00F32CA4">
        <w:t>S</w:t>
      </w:r>
      <w:r>
        <w:t>ept 2023</w:t>
      </w:r>
    </w:p>
    <w:p w14:paraId="64036491" w14:textId="4B65542A" w:rsidR="00B05869" w:rsidRPr="00B05869" w:rsidRDefault="00B05869" w:rsidP="00F32CA4">
      <w:pPr>
        <w:pStyle w:val="ListParagraph"/>
        <w:numPr>
          <w:ilvl w:val="0"/>
          <w:numId w:val="9"/>
        </w:numPr>
      </w:pPr>
      <w:r w:rsidRPr="00F32CA4">
        <w:rPr>
          <w:b/>
          <w:bCs/>
        </w:rPr>
        <w:t>Cost of Services:</w:t>
      </w:r>
      <w:r w:rsidR="002369F3">
        <w:rPr>
          <w:b/>
          <w:bCs/>
        </w:rPr>
        <w:t xml:space="preserve"> </w:t>
      </w:r>
      <w:r w:rsidR="002369F3">
        <w:t>Variable</w:t>
      </w:r>
      <w:r w:rsidR="00353C4C">
        <w:t>, Depends</w:t>
      </w:r>
      <w:r w:rsidR="00CC6B2A">
        <w:t xml:space="preserve"> level of business activity for Marriot.</w:t>
      </w:r>
    </w:p>
    <w:p w14:paraId="7135FB8B" w14:textId="098C0B79" w:rsidR="00B05869" w:rsidRPr="00B05869" w:rsidRDefault="00B05869" w:rsidP="00F32CA4">
      <w:pPr>
        <w:pStyle w:val="ListParagraph"/>
        <w:numPr>
          <w:ilvl w:val="1"/>
          <w:numId w:val="9"/>
        </w:numPr>
      </w:pPr>
      <w:r w:rsidRPr="00B05869">
        <w:t>$301 million</w:t>
      </w:r>
    </w:p>
    <w:p w14:paraId="3F0000C7" w14:textId="32CB6657" w:rsidR="00B05869" w:rsidRPr="00B05869" w:rsidRDefault="00B05869" w:rsidP="00F32CA4">
      <w:pPr>
        <w:pStyle w:val="ListParagraph"/>
        <w:numPr>
          <w:ilvl w:val="0"/>
          <w:numId w:val="9"/>
        </w:numPr>
      </w:pPr>
      <w:r w:rsidRPr="00F32CA4">
        <w:rPr>
          <w:b/>
          <w:bCs/>
        </w:rPr>
        <w:t>Depreciation, Amortization, and Other:</w:t>
      </w:r>
      <w:r w:rsidR="002369F3">
        <w:rPr>
          <w:b/>
          <w:bCs/>
        </w:rPr>
        <w:t xml:space="preserve"> </w:t>
      </w:r>
      <w:r w:rsidR="002369F3">
        <w:t>Fixed Cost</w:t>
      </w:r>
    </w:p>
    <w:p w14:paraId="7E2AA0BD" w14:textId="2152F461" w:rsidR="00B05869" w:rsidRPr="00B05869" w:rsidRDefault="00B05869" w:rsidP="00F32CA4">
      <w:pPr>
        <w:pStyle w:val="ListParagraph"/>
        <w:numPr>
          <w:ilvl w:val="1"/>
          <w:numId w:val="9"/>
        </w:numPr>
      </w:pPr>
      <w:r w:rsidRPr="00B05869">
        <w:t>$46 million</w:t>
      </w:r>
    </w:p>
    <w:p w14:paraId="446579AE" w14:textId="409E8982" w:rsidR="00B05869" w:rsidRPr="00B05869" w:rsidRDefault="00B05869" w:rsidP="00F32CA4">
      <w:pPr>
        <w:pStyle w:val="ListParagraph"/>
        <w:numPr>
          <w:ilvl w:val="0"/>
          <w:numId w:val="9"/>
        </w:numPr>
      </w:pPr>
      <w:r w:rsidRPr="00F32CA4">
        <w:rPr>
          <w:b/>
          <w:bCs/>
        </w:rPr>
        <w:t>General, Administrative, and Other:</w:t>
      </w:r>
      <w:r w:rsidR="00383713">
        <w:rPr>
          <w:b/>
          <w:bCs/>
        </w:rPr>
        <w:t xml:space="preserve"> </w:t>
      </w:r>
      <w:r w:rsidR="00383713">
        <w:t xml:space="preserve">Variable Cost, </w:t>
      </w:r>
      <w:r w:rsidR="009C7D96">
        <w:t>these are</w:t>
      </w:r>
      <w:r w:rsidR="00383713">
        <w:t xml:space="preserve"> things like salary,</w:t>
      </w:r>
      <w:r w:rsidR="00836846">
        <w:t xml:space="preserve"> Office S</w:t>
      </w:r>
      <w:r w:rsidR="00321157">
        <w:t>u</w:t>
      </w:r>
      <w:r w:rsidR="00836846">
        <w:t>ppl</w:t>
      </w:r>
      <w:r w:rsidR="00321157">
        <w:t>ies</w:t>
      </w:r>
      <w:r w:rsidR="005B63A7">
        <w:t>, other business expenses that vary.</w:t>
      </w:r>
    </w:p>
    <w:p w14:paraId="03F9EE58" w14:textId="0D09155E" w:rsidR="00B05869" w:rsidRPr="00B05869" w:rsidRDefault="00B05869" w:rsidP="00F32CA4">
      <w:pPr>
        <w:pStyle w:val="ListParagraph"/>
        <w:numPr>
          <w:ilvl w:val="1"/>
          <w:numId w:val="9"/>
        </w:numPr>
      </w:pPr>
      <w:r w:rsidRPr="00B05869">
        <w:t xml:space="preserve">$239 million </w:t>
      </w:r>
    </w:p>
    <w:p w14:paraId="26394930" w14:textId="55845BF0" w:rsidR="00B05869" w:rsidRPr="00B05869" w:rsidRDefault="00B05869" w:rsidP="00F32CA4">
      <w:pPr>
        <w:pStyle w:val="ListParagraph"/>
        <w:numPr>
          <w:ilvl w:val="0"/>
          <w:numId w:val="9"/>
        </w:numPr>
      </w:pPr>
      <w:r w:rsidRPr="00F32CA4">
        <w:rPr>
          <w:b/>
          <w:bCs/>
        </w:rPr>
        <w:t>Merger-Related Charges and Other:</w:t>
      </w:r>
      <w:r w:rsidR="00FD295D">
        <w:rPr>
          <w:b/>
          <w:bCs/>
        </w:rPr>
        <w:t xml:space="preserve"> </w:t>
      </w:r>
      <w:r w:rsidR="00FD295D">
        <w:t xml:space="preserve">Does not completely correlate with Revenue is often a </w:t>
      </w:r>
      <w:r w:rsidR="00460F02">
        <w:t>one-time</w:t>
      </w:r>
      <w:r w:rsidR="00FD295D">
        <w:t xml:space="preserve"> thing.</w:t>
      </w:r>
    </w:p>
    <w:p w14:paraId="7EB97825" w14:textId="57B5796E" w:rsidR="00B05869" w:rsidRPr="00B05869" w:rsidRDefault="00B05869" w:rsidP="00F32CA4">
      <w:pPr>
        <w:pStyle w:val="ListParagraph"/>
        <w:numPr>
          <w:ilvl w:val="1"/>
          <w:numId w:val="9"/>
        </w:numPr>
      </w:pPr>
      <w:r w:rsidRPr="00B05869">
        <w:t xml:space="preserve">$13 million </w:t>
      </w:r>
    </w:p>
    <w:p w14:paraId="2C432F1C" w14:textId="4CE8DC0E" w:rsidR="00B05869" w:rsidRPr="00B05869" w:rsidRDefault="00B05869" w:rsidP="00F32CA4">
      <w:pPr>
        <w:pStyle w:val="ListParagraph"/>
        <w:numPr>
          <w:ilvl w:val="0"/>
          <w:numId w:val="9"/>
        </w:numPr>
      </w:pPr>
      <w:r w:rsidRPr="00F32CA4">
        <w:rPr>
          <w:b/>
          <w:bCs/>
        </w:rPr>
        <w:t>Reimbursed Expenses:</w:t>
      </w:r>
      <w:r w:rsidR="00460F02">
        <w:rPr>
          <w:b/>
          <w:bCs/>
        </w:rPr>
        <w:t xml:space="preserve"> </w:t>
      </w:r>
      <w:r w:rsidR="00460F02">
        <w:t>Variable on the number of employees and how much they are spending.</w:t>
      </w:r>
    </w:p>
    <w:p w14:paraId="28730ED4" w14:textId="68005DC1" w:rsidR="00B05869" w:rsidRDefault="00B05869" w:rsidP="00F32CA4">
      <w:pPr>
        <w:pStyle w:val="ListParagraph"/>
        <w:numPr>
          <w:ilvl w:val="1"/>
          <w:numId w:val="9"/>
        </w:numPr>
      </w:pPr>
      <w:r w:rsidRPr="00B05869">
        <w:t xml:space="preserve">$4,238 million </w:t>
      </w:r>
    </w:p>
    <w:p w14:paraId="18BC9C6B" w14:textId="121F334D" w:rsidR="00460F02" w:rsidRPr="002714DF" w:rsidRDefault="008B429E" w:rsidP="00460F02">
      <w:pPr>
        <w:rPr>
          <w:b/>
          <w:bCs/>
        </w:rPr>
      </w:pPr>
      <w:r w:rsidRPr="002714DF">
        <w:rPr>
          <w:b/>
          <w:bCs/>
        </w:rPr>
        <w:t>Performance</w:t>
      </w:r>
      <w:r w:rsidR="002714DF" w:rsidRPr="002714DF">
        <w:rPr>
          <w:b/>
          <w:bCs/>
        </w:rPr>
        <w:t xml:space="preserve"> Analysis:</w:t>
      </w:r>
    </w:p>
    <w:p w14:paraId="5EBE0351" w14:textId="4191D2A0" w:rsidR="002714DF" w:rsidRDefault="002714DF" w:rsidP="00460F02">
      <w:r>
        <w:t xml:space="preserve">The third quarter for </w:t>
      </w:r>
      <w:r w:rsidR="00667806">
        <w:t xml:space="preserve">Marriot in 2023 was a strong one. Revenue was up </w:t>
      </w:r>
      <w:r w:rsidR="00187528">
        <w:t>in all</w:t>
      </w:r>
      <w:r w:rsidR="00667806">
        <w:t xml:space="preserve"> categories in comparison to this time in 2022. It is noticed that more money was spent in the third quarter of 2023 in comparison to the 3rd quarter of 2022 for </w:t>
      </w:r>
      <w:r w:rsidR="009E7642">
        <w:t xml:space="preserve">contract investment </w:t>
      </w:r>
      <w:r w:rsidR="00187528">
        <w:t xml:space="preserve">amortization. </w:t>
      </w:r>
      <w:proofErr w:type="gramStart"/>
      <w:r w:rsidR="007E501D">
        <w:t>In regard to</w:t>
      </w:r>
      <w:proofErr w:type="gramEnd"/>
      <w:r w:rsidR="00187528">
        <w:t xml:space="preserve"> cost driver</w:t>
      </w:r>
      <w:r w:rsidR="007E501D">
        <w:t>s</w:t>
      </w:r>
      <w:r w:rsidR="00187528">
        <w:t xml:space="preserve"> in Quarter 3 of 2022</w:t>
      </w:r>
      <w:r w:rsidR="003B58D1">
        <w:t xml:space="preserve"> </w:t>
      </w:r>
      <w:r w:rsidR="002C47D4">
        <w:t xml:space="preserve">there were less costs for </w:t>
      </w:r>
      <w:r w:rsidR="004144F3">
        <w:t>“</w:t>
      </w:r>
      <w:r w:rsidR="004144F3" w:rsidRPr="004144F3">
        <w:t>Owned, leased, and other</w:t>
      </w:r>
      <w:r w:rsidR="004144F3">
        <w:t xml:space="preserve">” and </w:t>
      </w:r>
      <w:r w:rsidR="00C633EB">
        <w:t>“</w:t>
      </w:r>
      <w:r w:rsidR="00294EE6" w:rsidRPr="00294EE6">
        <w:t>Depreciation, amortization, and other</w:t>
      </w:r>
      <w:r w:rsidR="00C633EB">
        <w:t>”.</w:t>
      </w:r>
      <w:r w:rsidR="00EB7B90">
        <w:t xml:space="preserve"> </w:t>
      </w:r>
      <w:r w:rsidR="007E501D">
        <w:t>Overall,</w:t>
      </w:r>
      <w:r w:rsidR="00EB7B90">
        <w:t xml:space="preserve"> however there was more costs in the third quarter of 2023 compared to 2022. This is </w:t>
      </w:r>
      <w:r w:rsidR="00D05248">
        <w:t xml:space="preserve">not </w:t>
      </w:r>
      <w:r w:rsidR="00D05248">
        <w:lastRenderedPageBreak/>
        <w:t xml:space="preserve">worrisome </w:t>
      </w:r>
      <w:r w:rsidR="007E501D">
        <w:t>though</w:t>
      </w:r>
      <w:r w:rsidR="00D05248">
        <w:t xml:space="preserve"> the business did see a high increase in total net income over the year. This shows that more money </w:t>
      </w:r>
      <w:r w:rsidR="007E501D">
        <w:t>needs</w:t>
      </w:r>
      <w:r w:rsidR="00D05248">
        <w:t xml:space="preserve"> to be spent </w:t>
      </w:r>
      <w:r w:rsidR="007E501D">
        <w:t>to</w:t>
      </w:r>
      <w:r w:rsidR="00D05248">
        <w:t xml:space="preserve"> </w:t>
      </w:r>
      <w:r w:rsidR="007E501D">
        <w:t>make more money for the company.</w:t>
      </w:r>
    </w:p>
    <w:p w14:paraId="2DDAB08F" w14:textId="0DB0F381" w:rsidR="007E501D" w:rsidRDefault="001E0DB2" w:rsidP="00460F02">
      <w:pPr>
        <w:rPr>
          <w:b/>
          <w:bCs/>
        </w:rPr>
      </w:pPr>
      <w:r>
        <w:rPr>
          <w:b/>
          <w:bCs/>
        </w:rPr>
        <w:t>Comparison to Competition</w:t>
      </w:r>
      <w:r w:rsidR="00BF6C91">
        <w:rPr>
          <w:b/>
          <w:bCs/>
        </w:rPr>
        <w:t>:</w:t>
      </w:r>
      <w:r w:rsidR="000C1DE9">
        <w:rPr>
          <w:b/>
          <w:bCs/>
        </w:rPr>
        <w:t xml:space="preserve"> 3</w:t>
      </w:r>
      <w:r w:rsidR="000C1DE9" w:rsidRPr="000C1DE9">
        <w:rPr>
          <w:b/>
          <w:bCs/>
          <w:vertAlign w:val="superscript"/>
        </w:rPr>
        <w:t>rd</w:t>
      </w:r>
      <w:r w:rsidR="000C1DE9">
        <w:rPr>
          <w:b/>
          <w:bCs/>
        </w:rPr>
        <w:t xml:space="preserve"> Quarter 2023</w:t>
      </w:r>
      <w:r w:rsidR="00876E6C">
        <w:rPr>
          <w:b/>
          <w:bCs/>
        </w:rPr>
        <w:t xml:space="preserve"> in millions</w:t>
      </w:r>
    </w:p>
    <w:tbl>
      <w:tblPr>
        <w:tblStyle w:val="TableGrid"/>
        <w:tblW w:w="0" w:type="auto"/>
        <w:tblLook w:val="04A0" w:firstRow="1" w:lastRow="0" w:firstColumn="1" w:lastColumn="0" w:noHBand="0" w:noVBand="1"/>
      </w:tblPr>
      <w:tblGrid>
        <w:gridCol w:w="1870"/>
        <w:gridCol w:w="1870"/>
        <w:gridCol w:w="1870"/>
        <w:gridCol w:w="1870"/>
        <w:gridCol w:w="1870"/>
      </w:tblGrid>
      <w:tr w:rsidR="000C1DE9" w14:paraId="10A625ED" w14:textId="77777777" w:rsidTr="000C1DE9">
        <w:tc>
          <w:tcPr>
            <w:tcW w:w="1870" w:type="dxa"/>
          </w:tcPr>
          <w:p w14:paraId="024B2065" w14:textId="4FDC3568" w:rsidR="000C1DE9" w:rsidRDefault="000C1DE9" w:rsidP="00CB2A34">
            <w:r>
              <w:t>Co</w:t>
            </w:r>
            <w:r w:rsidR="008D4025">
              <w:t>mpany</w:t>
            </w:r>
          </w:p>
        </w:tc>
        <w:tc>
          <w:tcPr>
            <w:tcW w:w="1870" w:type="dxa"/>
          </w:tcPr>
          <w:p w14:paraId="17267D37" w14:textId="1F49095D" w:rsidR="000C1DE9" w:rsidRDefault="008D4025" w:rsidP="00CB2A34">
            <w:r>
              <w:t>Marriot</w:t>
            </w:r>
            <w:r w:rsidR="00DD6DEA">
              <w:t xml:space="preserve"> Inc</w:t>
            </w:r>
          </w:p>
        </w:tc>
        <w:tc>
          <w:tcPr>
            <w:tcW w:w="1870" w:type="dxa"/>
          </w:tcPr>
          <w:p w14:paraId="3A9E5524" w14:textId="0D9C49F7" w:rsidR="000C1DE9" w:rsidRDefault="00F42ED1" w:rsidP="00CB2A34">
            <w:r>
              <w:t>Hilton Hotels</w:t>
            </w:r>
          </w:p>
        </w:tc>
        <w:tc>
          <w:tcPr>
            <w:tcW w:w="1870" w:type="dxa"/>
          </w:tcPr>
          <w:p w14:paraId="67350C5C" w14:textId="157868FA" w:rsidR="000C1DE9" w:rsidRDefault="00F42ED1" w:rsidP="00CB2A34">
            <w:r>
              <w:t>Hyatt Hotels</w:t>
            </w:r>
          </w:p>
        </w:tc>
        <w:tc>
          <w:tcPr>
            <w:tcW w:w="1870" w:type="dxa"/>
          </w:tcPr>
          <w:p w14:paraId="79280DCB" w14:textId="1DC4A38E" w:rsidR="000C1DE9" w:rsidRDefault="00DD6DEA" w:rsidP="00CB2A34">
            <w:r>
              <w:t>Wyndham</w:t>
            </w:r>
            <w:r w:rsidR="00021CC4">
              <w:t xml:space="preserve"> Hotels</w:t>
            </w:r>
            <w:r>
              <w:t xml:space="preserve"> &amp; Resorts</w:t>
            </w:r>
          </w:p>
        </w:tc>
      </w:tr>
      <w:tr w:rsidR="000C1DE9" w14:paraId="4EA81FBF" w14:textId="77777777" w:rsidTr="000C1DE9">
        <w:tc>
          <w:tcPr>
            <w:tcW w:w="1870" w:type="dxa"/>
          </w:tcPr>
          <w:p w14:paraId="5109AE44" w14:textId="217F9B47" w:rsidR="000C1DE9" w:rsidRDefault="0040506B" w:rsidP="00CB2A34">
            <w:r>
              <w:t>Total Revenues</w:t>
            </w:r>
          </w:p>
        </w:tc>
        <w:tc>
          <w:tcPr>
            <w:tcW w:w="1870" w:type="dxa"/>
          </w:tcPr>
          <w:p w14:paraId="7B6F573E" w14:textId="34A849CA" w:rsidR="000C1DE9" w:rsidRDefault="00FE6584" w:rsidP="00CB2A34">
            <w:r>
              <w:t>$5,928</w:t>
            </w:r>
            <w:r w:rsidRPr="00FE6584">
              <w:t xml:space="preserve">                                                                                  </w:t>
            </w:r>
            <w:r w:rsidR="00C85C58" w:rsidRPr="00C85C58">
              <w:t xml:space="preserve">                                                 </w:t>
            </w:r>
          </w:p>
        </w:tc>
        <w:tc>
          <w:tcPr>
            <w:tcW w:w="1870" w:type="dxa"/>
          </w:tcPr>
          <w:p w14:paraId="7972DEFB" w14:textId="2AF766E5" w:rsidR="000C1DE9" w:rsidRDefault="00EA4DE8" w:rsidP="00CB2A34">
            <w:r>
              <w:t>$</w:t>
            </w:r>
            <w:r w:rsidRPr="00EA4DE8">
              <w:t>2,673</w:t>
            </w:r>
          </w:p>
        </w:tc>
        <w:tc>
          <w:tcPr>
            <w:tcW w:w="1870" w:type="dxa"/>
          </w:tcPr>
          <w:p w14:paraId="46E12DF5" w14:textId="4B8CE08B" w:rsidR="000C1DE9" w:rsidRDefault="00FC6001" w:rsidP="00CB2A34">
            <w:r>
              <w:t>$</w:t>
            </w:r>
            <w:r w:rsidRPr="00FC6001">
              <w:t>1,622</w:t>
            </w:r>
          </w:p>
        </w:tc>
        <w:tc>
          <w:tcPr>
            <w:tcW w:w="1870" w:type="dxa"/>
          </w:tcPr>
          <w:p w14:paraId="47ACE3B3" w14:textId="2BFE45F6" w:rsidR="000C1DE9" w:rsidRDefault="00173325" w:rsidP="00CB2A34">
            <w:r>
              <w:t>$</w:t>
            </w:r>
            <w:r w:rsidR="00456F61">
              <w:t>402</w:t>
            </w:r>
          </w:p>
        </w:tc>
      </w:tr>
      <w:tr w:rsidR="000C1DE9" w14:paraId="1043A06F" w14:textId="77777777" w:rsidTr="000C1DE9">
        <w:tc>
          <w:tcPr>
            <w:tcW w:w="1870" w:type="dxa"/>
          </w:tcPr>
          <w:p w14:paraId="22D6B46F" w14:textId="1937F280" w:rsidR="000C1DE9" w:rsidRDefault="0040506B" w:rsidP="00CB2A34">
            <w:r>
              <w:t>Total</w:t>
            </w:r>
            <w:r w:rsidR="00876E6C">
              <w:t xml:space="preserve"> expenses</w:t>
            </w:r>
          </w:p>
        </w:tc>
        <w:tc>
          <w:tcPr>
            <w:tcW w:w="1870" w:type="dxa"/>
          </w:tcPr>
          <w:p w14:paraId="21D4DC32" w14:textId="67D507A9" w:rsidR="000C1DE9" w:rsidRDefault="00083E6C" w:rsidP="00CB2A34">
            <w:r>
              <w:t>$4,829</w:t>
            </w:r>
          </w:p>
        </w:tc>
        <w:tc>
          <w:tcPr>
            <w:tcW w:w="1870" w:type="dxa"/>
          </w:tcPr>
          <w:p w14:paraId="7E1023C8" w14:textId="04988C6D" w:rsidR="000C1DE9" w:rsidRDefault="00CF0B8D" w:rsidP="00CB2A34">
            <w:r>
              <w:t>$</w:t>
            </w:r>
            <w:r w:rsidRPr="00CF0B8D">
              <w:t>2,020</w:t>
            </w:r>
          </w:p>
        </w:tc>
        <w:tc>
          <w:tcPr>
            <w:tcW w:w="1870" w:type="dxa"/>
          </w:tcPr>
          <w:p w14:paraId="4C39A3A5" w14:textId="2405CD8D" w:rsidR="000C1DE9" w:rsidRDefault="003534D5" w:rsidP="00CB2A34">
            <w:r>
              <w:t>$</w:t>
            </w:r>
            <w:r w:rsidRPr="003534D5">
              <w:t xml:space="preserve">1,514  </w:t>
            </w:r>
          </w:p>
        </w:tc>
        <w:tc>
          <w:tcPr>
            <w:tcW w:w="1870" w:type="dxa"/>
          </w:tcPr>
          <w:p w14:paraId="5A47D1AC" w14:textId="34A45E47" w:rsidR="000C1DE9" w:rsidRDefault="00456F61" w:rsidP="00CB2A34">
            <w:r>
              <w:t>$</w:t>
            </w:r>
            <w:r w:rsidR="00B63F6F">
              <w:t>239</w:t>
            </w:r>
          </w:p>
        </w:tc>
      </w:tr>
      <w:tr w:rsidR="000C1DE9" w14:paraId="4F09ACBD" w14:textId="77777777" w:rsidTr="000C1DE9">
        <w:tc>
          <w:tcPr>
            <w:tcW w:w="1870" w:type="dxa"/>
          </w:tcPr>
          <w:p w14:paraId="0D6E79D9" w14:textId="3C200686" w:rsidR="000C1DE9" w:rsidRDefault="00876E6C" w:rsidP="00CB2A34">
            <w:r>
              <w:t>Net Income</w:t>
            </w:r>
          </w:p>
        </w:tc>
        <w:tc>
          <w:tcPr>
            <w:tcW w:w="1870" w:type="dxa"/>
          </w:tcPr>
          <w:p w14:paraId="62454429" w14:textId="01DA7CBD" w:rsidR="000C1DE9" w:rsidRDefault="00083E6C" w:rsidP="00CB2A34">
            <w:r>
              <w:t>$752</w:t>
            </w:r>
          </w:p>
        </w:tc>
        <w:tc>
          <w:tcPr>
            <w:tcW w:w="1870" w:type="dxa"/>
          </w:tcPr>
          <w:p w14:paraId="1654B9EE" w14:textId="3A655FAE" w:rsidR="000C1DE9" w:rsidRDefault="00A747E7" w:rsidP="00CB2A34">
            <w:r>
              <w:t xml:space="preserve">$ </w:t>
            </w:r>
            <w:r w:rsidRPr="00A747E7">
              <w:t>379</w:t>
            </w:r>
          </w:p>
        </w:tc>
        <w:tc>
          <w:tcPr>
            <w:tcW w:w="1870" w:type="dxa"/>
          </w:tcPr>
          <w:p w14:paraId="4B6D9B8E" w14:textId="18AEE404" w:rsidR="000C1DE9" w:rsidRDefault="005E3EA8" w:rsidP="00CB2A34">
            <w:r>
              <w:t>$</w:t>
            </w:r>
            <w:r w:rsidR="004812DA">
              <w:t>68</w:t>
            </w:r>
          </w:p>
        </w:tc>
        <w:tc>
          <w:tcPr>
            <w:tcW w:w="1870" w:type="dxa"/>
          </w:tcPr>
          <w:p w14:paraId="46F563FD" w14:textId="30B8CF85" w:rsidR="000C1DE9" w:rsidRDefault="00B63F6F" w:rsidP="00CB2A34">
            <w:r>
              <w:t>$</w:t>
            </w:r>
            <w:r w:rsidR="00326107">
              <w:t>103</w:t>
            </w:r>
          </w:p>
        </w:tc>
      </w:tr>
    </w:tbl>
    <w:p w14:paraId="63D677A3" w14:textId="77777777" w:rsidR="00132DA0" w:rsidRPr="00BA34DB" w:rsidRDefault="00132DA0" w:rsidP="00CB2A34"/>
    <w:p w14:paraId="08749633" w14:textId="77777777" w:rsidR="00D10AED" w:rsidRDefault="00D10AED" w:rsidP="00CB2A34"/>
    <w:p w14:paraId="75E1077A" w14:textId="77777777" w:rsidR="00326107" w:rsidRDefault="00326107" w:rsidP="00CB2A34"/>
    <w:p w14:paraId="023E567C" w14:textId="77777777" w:rsidR="00326107" w:rsidRDefault="00326107" w:rsidP="00CB2A34"/>
    <w:p w14:paraId="0AD488EC" w14:textId="77777777" w:rsidR="00326107" w:rsidRDefault="00326107" w:rsidP="00CB2A34"/>
    <w:p w14:paraId="7D6F3445" w14:textId="77777777" w:rsidR="00326107" w:rsidRDefault="00326107" w:rsidP="00CB2A34"/>
    <w:p w14:paraId="4C9F8742" w14:textId="77777777" w:rsidR="00326107" w:rsidRDefault="00326107" w:rsidP="00CB2A34"/>
    <w:p w14:paraId="7DD2CFCA" w14:textId="77777777" w:rsidR="00326107" w:rsidRDefault="00326107" w:rsidP="00CB2A34"/>
    <w:p w14:paraId="43D2CB47" w14:textId="77777777" w:rsidR="00326107" w:rsidRDefault="00326107" w:rsidP="00CB2A34"/>
    <w:p w14:paraId="44038B61" w14:textId="77777777" w:rsidR="00326107" w:rsidRDefault="00326107" w:rsidP="00CB2A34"/>
    <w:p w14:paraId="3C476005" w14:textId="77777777" w:rsidR="00326107" w:rsidRDefault="00326107" w:rsidP="00CB2A34"/>
    <w:p w14:paraId="16D434F1" w14:textId="77777777" w:rsidR="00326107" w:rsidRDefault="00326107" w:rsidP="00CB2A34"/>
    <w:p w14:paraId="279F66F4" w14:textId="77777777" w:rsidR="00326107" w:rsidRDefault="00326107" w:rsidP="00CB2A34"/>
    <w:p w14:paraId="51CD7709" w14:textId="7A2EB60D" w:rsidR="00326107" w:rsidRDefault="00326107" w:rsidP="00326107">
      <w:pPr>
        <w:jc w:val="center"/>
        <w:rPr>
          <w:b/>
          <w:bCs/>
        </w:rPr>
      </w:pPr>
      <w:r>
        <w:rPr>
          <w:b/>
          <w:bCs/>
        </w:rPr>
        <w:t xml:space="preserve">Johnson </w:t>
      </w:r>
      <w:r w:rsidR="004A5F85">
        <w:rPr>
          <w:b/>
          <w:bCs/>
        </w:rPr>
        <w:t>&amp; Johnson</w:t>
      </w:r>
    </w:p>
    <w:p w14:paraId="59424C20" w14:textId="7D043BFE" w:rsidR="004A5F85" w:rsidRDefault="004A5F85" w:rsidP="004A5F85">
      <w:pPr>
        <w:rPr>
          <w:b/>
          <w:bCs/>
        </w:rPr>
      </w:pPr>
      <w:r>
        <w:rPr>
          <w:b/>
          <w:bCs/>
        </w:rPr>
        <w:t>Revenue Drivers</w:t>
      </w:r>
    </w:p>
    <w:p w14:paraId="084F6357" w14:textId="0E9A589D" w:rsidR="00FE35C2" w:rsidRDefault="00FE35C2" w:rsidP="004A5F85">
      <w:r>
        <w:t>Q3 2023</w:t>
      </w:r>
    </w:p>
    <w:p w14:paraId="6F2646B4" w14:textId="77777777" w:rsidR="00014332" w:rsidRDefault="00014332" w:rsidP="00014332">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w:t>
      </w:r>
      <w:proofErr w:type="spellStart"/>
      <w:r w:rsidRPr="0056541D">
        <w:rPr>
          <w:highlight w:val="green"/>
        </w:rPr>
        <w:t>Orthopaedics</w:t>
      </w:r>
      <w:proofErr w:type="spellEnd"/>
      <w:r w:rsidRPr="0056541D">
        <w:rPr>
          <w:highlight w:val="green"/>
        </w:rPr>
        <w:t xml:space="preserve">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4CAEF628" w14:textId="77777777" w:rsidR="00014332" w:rsidRDefault="00014332" w:rsidP="004A5F85"/>
    <w:p w14:paraId="3269649F" w14:textId="49ECE823" w:rsidR="008E7732" w:rsidRPr="00FE35C2" w:rsidRDefault="007B4C8E" w:rsidP="004A5F85">
      <w:r>
        <w:rPr>
          <w:noProof/>
        </w:rPr>
        <w:lastRenderedPageBreak/>
        <w:drawing>
          <wp:inline distT="0" distB="0" distL="0" distR="0" wp14:anchorId="20925AF0" wp14:editId="48FC97DD">
            <wp:extent cx="5486400" cy="3200400"/>
            <wp:effectExtent l="0" t="0" r="0" b="0"/>
            <wp:docPr id="46151154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10F7DF" w14:textId="37DF5596" w:rsidR="00FE35C2" w:rsidRDefault="00065647" w:rsidP="004A5F85">
      <w:pPr>
        <w:rPr>
          <w:b/>
          <w:bCs/>
        </w:rPr>
      </w:pPr>
      <w:r w:rsidRPr="00964498">
        <w:rPr>
          <w:b/>
          <w:bCs/>
        </w:rPr>
        <w:t xml:space="preserve">Revenue Breakdown </w:t>
      </w:r>
      <w:r>
        <w:rPr>
          <w:b/>
          <w:bCs/>
        </w:rPr>
        <w:t>into Price/volume data for</w:t>
      </w:r>
      <w:r w:rsidRPr="00964498">
        <w:rPr>
          <w:b/>
          <w:bCs/>
        </w:rPr>
        <w:t xml:space="preserve"> </w:t>
      </w:r>
      <w:r>
        <w:rPr>
          <w:b/>
          <w:bCs/>
        </w:rPr>
        <w:t>Johnson &amp; Johnson</w:t>
      </w:r>
      <w:r w:rsidRPr="00964498">
        <w:rPr>
          <w:b/>
          <w:bCs/>
        </w:rPr>
        <w:t>:</w:t>
      </w:r>
    </w:p>
    <w:p w14:paraId="0ABE64C1" w14:textId="0185D47F" w:rsidR="005A0BA7" w:rsidRDefault="005A0BA7" w:rsidP="004A5F85">
      <w:r>
        <w:rPr>
          <w:b/>
          <w:bCs/>
        </w:rPr>
        <w:t xml:space="preserve">International Innovative Medicine: </w:t>
      </w:r>
      <w:r w:rsidR="00A2474D" w:rsidRPr="00A2474D">
        <w:t>$5,644</w:t>
      </w:r>
      <w:r w:rsidR="00670545">
        <w:t xml:space="preserve"> Million</w:t>
      </w:r>
      <w:r w:rsidR="00A2474D">
        <w:t xml:space="preserve"> (</w:t>
      </w:r>
      <w:r w:rsidR="0031753C">
        <w:t>2.3% decrease from Q3 2022)</w:t>
      </w:r>
    </w:p>
    <w:p w14:paraId="48B3C2DC" w14:textId="144A0720" w:rsidR="0031753C" w:rsidRDefault="0031753C" w:rsidP="004A5F85">
      <w:r>
        <w:rPr>
          <w:b/>
          <w:bCs/>
        </w:rPr>
        <w:t>U.S</w:t>
      </w:r>
      <w:r w:rsidR="00107B6B">
        <w:rPr>
          <w:b/>
          <w:bCs/>
        </w:rPr>
        <w:t>.</w:t>
      </w:r>
      <w:r w:rsidR="00055A27">
        <w:rPr>
          <w:b/>
          <w:bCs/>
        </w:rPr>
        <w:t xml:space="preserve"> Innovative Medicine: </w:t>
      </w:r>
      <w:r w:rsidR="00055A27">
        <w:t>$8</w:t>
      </w:r>
      <w:r w:rsidR="00E005D5">
        <w:t>,249</w:t>
      </w:r>
      <w:r w:rsidR="00670545">
        <w:t xml:space="preserve"> Million</w:t>
      </w:r>
      <w:r w:rsidR="00E005D5">
        <w:t xml:space="preserve"> (</w:t>
      </w:r>
      <w:r w:rsidR="00C05AD9">
        <w:t>10</w:t>
      </w:r>
      <w:r w:rsidR="007275E8">
        <w:t>.9% increase from Q3</w:t>
      </w:r>
      <w:r w:rsidR="00D84671">
        <w:t xml:space="preserve"> 2022)</w:t>
      </w:r>
    </w:p>
    <w:p w14:paraId="006F41D7" w14:textId="0B042815" w:rsidR="00D84671" w:rsidRDefault="00E24A1A" w:rsidP="004A5F85">
      <w:r>
        <w:rPr>
          <w:b/>
          <w:bCs/>
        </w:rPr>
        <w:t xml:space="preserve">International Med Tech: </w:t>
      </w:r>
      <w:r w:rsidR="00A67A40">
        <w:t>$3,711 Million (</w:t>
      </w:r>
      <w:r w:rsidR="00243297">
        <w:t>8.3% increase from Q3 2022)</w:t>
      </w:r>
    </w:p>
    <w:p w14:paraId="34E689A4" w14:textId="112AB90D" w:rsidR="00107B6B" w:rsidRDefault="00107B6B" w:rsidP="004A5F85">
      <w:r>
        <w:rPr>
          <w:b/>
          <w:bCs/>
        </w:rPr>
        <w:t>U.S. Med Tech:</w:t>
      </w:r>
      <w:r w:rsidR="00192F7B">
        <w:t xml:space="preserve"> </w:t>
      </w:r>
      <w:r w:rsidR="00BF75A9">
        <w:t>$3,747 Million (</w:t>
      </w:r>
      <w:r w:rsidR="00CF2854">
        <w:t>11.6% increase from Q3 2022)</w:t>
      </w:r>
    </w:p>
    <w:p w14:paraId="2042F440" w14:textId="2790D097" w:rsidR="00667775" w:rsidRDefault="00727507" w:rsidP="004A5F85">
      <w:r>
        <w:rPr>
          <w:noProof/>
        </w:rPr>
        <w:drawing>
          <wp:inline distT="0" distB="0" distL="0" distR="0" wp14:anchorId="799EE5FA" wp14:editId="44ECBC32">
            <wp:extent cx="3912781" cy="2498651"/>
            <wp:effectExtent l="0" t="0" r="12065" b="16510"/>
            <wp:docPr id="208266516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F8BB7A" w14:textId="6CD3B526" w:rsidR="00667775" w:rsidRDefault="00C96634" w:rsidP="004A5F85">
      <w:pPr>
        <w:rPr>
          <w:b/>
          <w:bCs/>
        </w:rPr>
      </w:pPr>
      <w:r>
        <w:rPr>
          <w:b/>
          <w:bCs/>
        </w:rPr>
        <w:t>Cost Drivers</w:t>
      </w:r>
    </w:p>
    <w:p w14:paraId="7C18FF34" w14:textId="401F0EF1" w:rsidR="00C96634" w:rsidRDefault="00C96634" w:rsidP="004A5F85">
      <w:r>
        <w:t>Q3 2023</w:t>
      </w:r>
    </w:p>
    <w:p w14:paraId="0598F275" w14:textId="4E261193" w:rsidR="00B35EB5" w:rsidRDefault="00B35EB5" w:rsidP="004A5F85">
      <w:r>
        <w:rPr>
          <w:noProof/>
        </w:rPr>
        <w:lastRenderedPageBreak/>
        <w:drawing>
          <wp:inline distT="0" distB="0" distL="0" distR="0" wp14:anchorId="257D02EE" wp14:editId="5E95B0B6">
            <wp:extent cx="5486400" cy="3200400"/>
            <wp:effectExtent l="0" t="0" r="0" b="0"/>
            <wp:docPr id="60999922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4B51E6" w14:textId="77777777" w:rsidR="00014332" w:rsidRDefault="00014332" w:rsidP="00014332"/>
    <w:p w14:paraId="3D795F6F" w14:textId="77777777" w:rsidR="00014332" w:rsidRPr="00556097" w:rsidRDefault="00014332" w:rsidP="00014332">
      <w:pPr>
        <w:rPr>
          <w:highlight w:val="green"/>
          <w:u w:val="single"/>
        </w:rPr>
      </w:pPr>
      <w:r w:rsidRPr="00556097">
        <w:rPr>
          <w:highlight w:val="green"/>
          <w:u w:val="single"/>
        </w:rPr>
        <w:t>Cost Drivers</w:t>
      </w:r>
      <w:r>
        <w:rPr>
          <w:highlight w:val="green"/>
          <w:u w:val="single"/>
        </w:rPr>
        <w:t xml:space="preserve"> – as % of revenue (trend analysis)</w:t>
      </w:r>
    </w:p>
    <w:p w14:paraId="744EE755" w14:textId="77777777" w:rsidR="00014332" w:rsidRPr="00556097" w:rsidRDefault="00014332" w:rsidP="00014332">
      <w:pPr>
        <w:pStyle w:val="ListParagraph"/>
        <w:numPr>
          <w:ilvl w:val="0"/>
          <w:numId w:val="11"/>
        </w:numPr>
        <w:rPr>
          <w:highlight w:val="green"/>
          <w:u w:val="single"/>
        </w:rPr>
      </w:pPr>
      <w:r w:rsidRPr="00556097">
        <w:rPr>
          <w:highlight w:val="green"/>
        </w:rPr>
        <w:t>Selling, Marketing and Administrative Expenses</w:t>
      </w:r>
    </w:p>
    <w:p w14:paraId="120DA90F" w14:textId="77777777" w:rsidR="00014332" w:rsidRPr="00556097" w:rsidRDefault="00014332" w:rsidP="00014332">
      <w:pPr>
        <w:pStyle w:val="ListParagraph"/>
        <w:numPr>
          <w:ilvl w:val="0"/>
          <w:numId w:val="11"/>
        </w:numPr>
        <w:rPr>
          <w:highlight w:val="green"/>
          <w:u w:val="single"/>
        </w:rPr>
      </w:pPr>
      <w:r w:rsidRPr="00556097">
        <w:rPr>
          <w:highlight w:val="green"/>
        </w:rPr>
        <w:t>Research and Development Expenses</w:t>
      </w:r>
    </w:p>
    <w:p w14:paraId="311B5D9F" w14:textId="77777777" w:rsidR="00014332" w:rsidRPr="00E10FB1" w:rsidRDefault="00014332" w:rsidP="00014332">
      <w:pPr>
        <w:pStyle w:val="ListParagraph"/>
        <w:numPr>
          <w:ilvl w:val="0"/>
          <w:numId w:val="11"/>
        </w:numPr>
        <w:rPr>
          <w:highlight w:val="green"/>
          <w:u w:val="single"/>
        </w:rPr>
      </w:pPr>
      <w:r w:rsidRPr="00556097">
        <w:rPr>
          <w:highlight w:val="green"/>
        </w:rPr>
        <w:t>In-process research and development</w:t>
      </w:r>
    </w:p>
    <w:p w14:paraId="01E366F2" w14:textId="77777777" w:rsidR="00014332" w:rsidRPr="00E10FB1" w:rsidRDefault="00014332" w:rsidP="00014332">
      <w:pPr>
        <w:pStyle w:val="ListParagraph"/>
        <w:numPr>
          <w:ilvl w:val="0"/>
          <w:numId w:val="11"/>
        </w:numPr>
        <w:rPr>
          <w:highlight w:val="green"/>
          <w:u w:val="single"/>
        </w:rPr>
      </w:pPr>
      <w:r w:rsidRPr="00E10FB1">
        <w:rPr>
          <w:highlight w:val="green"/>
        </w:rPr>
        <w:t xml:space="preserve">Cost of products </w:t>
      </w:r>
      <w:proofErr w:type="gramStart"/>
      <w:r w:rsidRPr="00E10FB1">
        <w:rPr>
          <w:highlight w:val="green"/>
        </w:rPr>
        <w:t>sold</w:t>
      </w:r>
      <w:proofErr w:type="gramEnd"/>
    </w:p>
    <w:p w14:paraId="7B606E6E" w14:textId="77777777" w:rsidR="00014332" w:rsidRPr="00014332" w:rsidRDefault="00014332" w:rsidP="00014332"/>
    <w:p w14:paraId="3DBB2C22" w14:textId="423B918B" w:rsidR="00B35EB5" w:rsidRPr="00B35EB5" w:rsidRDefault="00B35EB5" w:rsidP="00B35EB5">
      <w:pPr>
        <w:numPr>
          <w:ilvl w:val="0"/>
          <w:numId w:val="10"/>
        </w:numPr>
      </w:pPr>
      <w:r w:rsidRPr="00B35EB5">
        <w:rPr>
          <w:b/>
          <w:bCs/>
        </w:rPr>
        <w:t>Cost of Products Sold:</w:t>
      </w:r>
      <w:r w:rsidRPr="00B35EB5">
        <w:t xml:space="preserve"> $6,606 million</w:t>
      </w:r>
      <w:r w:rsidR="00F27EE4">
        <w:t>,</w:t>
      </w:r>
      <w:r w:rsidRPr="00B35EB5">
        <w:t xml:space="preserve"> </w:t>
      </w:r>
      <w:r w:rsidR="00F27EE4">
        <w:t xml:space="preserve">Variable Cost because it varies with the amount of </w:t>
      </w:r>
      <w:proofErr w:type="gramStart"/>
      <w:r w:rsidR="00F27EE4">
        <w:t>production</w:t>
      </w:r>
      <w:proofErr w:type="gramEnd"/>
    </w:p>
    <w:p w14:paraId="1741309A" w14:textId="4EC05D85" w:rsidR="00B35EB5" w:rsidRPr="00B35EB5" w:rsidRDefault="00B35EB5" w:rsidP="00B35EB5">
      <w:pPr>
        <w:numPr>
          <w:ilvl w:val="0"/>
          <w:numId w:val="10"/>
        </w:numPr>
      </w:pPr>
      <w:r w:rsidRPr="00B35EB5">
        <w:rPr>
          <w:b/>
          <w:bCs/>
        </w:rPr>
        <w:t>Selling, Marketing, and Administrative Expenses:</w:t>
      </w:r>
      <w:r w:rsidRPr="00B35EB5">
        <w:t xml:space="preserve"> $5,400 million</w:t>
      </w:r>
      <w:r w:rsidR="000526FB">
        <w:t>, Variable cost depending o</w:t>
      </w:r>
      <w:r w:rsidR="00CD2FB9">
        <w:t>n marketing campaigns, staffing, and sales commissions.</w:t>
      </w:r>
    </w:p>
    <w:p w14:paraId="3AF24FC6" w14:textId="0D24B091" w:rsidR="00B35EB5" w:rsidRPr="00B35EB5" w:rsidRDefault="00B35EB5" w:rsidP="00B35EB5">
      <w:pPr>
        <w:numPr>
          <w:ilvl w:val="0"/>
          <w:numId w:val="10"/>
        </w:numPr>
      </w:pPr>
      <w:r w:rsidRPr="00B35EB5">
        <w:rPr>
          <w:b/>
          <w:bCs/>
        </w:rPr>
        <w:t>Research and Development Expense:</w:t>
      </w:r>
      <w:r w:rsidRPr="00B35EB5">
        <w:t xml:space="preserve"> $3,447</w:t>
      </w:r>
      <w:r w:rsidR="00667225">
        <w:t>, Fixed Cost</w:t>
      </w:r>
    </w:p>
    <w:p w14:paraId="7CEB31DF" w14:textId="77777777" w:rsidR="00B35EB5" w:rsidRPr="00B35EB5" w:rsidRDefault="00B35EB5" w:rsidP="00B35EB5">
      <w:pPr>
        <w:numPr>
          <w:ilvl w:val="0"/>
          <w:numId w:val="10"/>
        </w:numPr>
      </w:pPr>
      <w:r w:rsidRPr="00B35EB5">
        <w:rPr>
          <w:b/>
          <w:bCs/>
        </w:rPr>
        <w:t>In-Process Research and Development Impairments:</w:t>
      </w:r>
      <w:r w:rsidRPr="00B35EB5">
        <w:t xml:space="preserve"> $206 million (1.0% of revenue)</w:t>
      </w:r>
    </w:p>
    <w:p w14:paraId="65E53B22" w14:textId="34919EBD" w:rsidR="00B35EB5" w:rsidRPr="00B35EB5" w:rsidRDefault="00B35EB5" w:rsidP="00B35EB5">
      <w:pPr>
        <w:numPr>
          <w:ilvl w:val="0"/>
          <w:numId w:val="10"/>
        </w:numPr>
      </w:pPr>
      <w:r w:rsidRPr="00B35EB5">
        <w:rPr>
          <w:b/>
          <w:bCs/>
        </w:rPr>
        <w:t>Interest (Income) Expense, Net:</w:t>
      </w:r>
      <w:r w:rsidRPr="00B35EB5">
        <w:t xml:space="preserve"> ($182 million</w:t>
      </w:r>
      <w:r w:rsidR="001912C2">
        <w:t>)</w:t>
      </w:r>
      <w:r w:rsidR="00657C36">
        <w:t>, Impairment Charge</w:t>
      </w:r>
    </w:p>
    <w:p w14:paraId="261A82C3" w14:textId="526F37C7" w:rsidR="00B35EB5" w:rsidRPr="00B35EB5" w:rsidRDefault="00B35EB5" w:rsidP="00B35EB5">
      <w:pPr>
        <w:numPr>
          <w:ilvl w:val="0"/>
          <w:numId w:val="10"/>
        </w:numPr>
      </w:pPr>
      <w:r w:rsidRPr="00B35EB5">
        <w:rPr>
          <w:b/>
          <w:bCs/>
        </w:rPr>
        <w:t>Other (Income) Expense, Net:</w:t>
      </w:r>
      <w:r w:rsidRPr="00B35EB5">
        <w:t xml:space="preserve"> $499 million</w:t>
      </w:r>
      <w:r w:rsidR="00657C36">
        <w:t>, Fixed Cost</w:t>
      </w:r>
    </w:p>
    <w:p w14:paraId="76EBB6A5" w14:textId="2945F632" w:rsidR="00C96634" w:rsidRPr="00C96634" w:rsidRDefault="00B35EB5" w:rsidP="004A173A">
      <w:pPr>
        <w:numPr>
          <w:ilvl w:val="0"/>
          <w:numId w:val="10"/>
        </w:numPr>
      </w:pPr>
      <w:r w:rsidRPr="00B35EB5">
        <w:rPr>
          <w:b/>
          <w:bCs/>
        </w:rPr>
        <w:t>Restructuring:</w:t>
      </w:r>
      <w:r w:rsidRPr="00B35EB5">
        <w:t xml:space="preserve"> $158 million</w:t>
      </w:r>
      <w:r w:rsidR="00726F3B">
        <w:t>, Fixed Cost</w:t>
      </w:r>
    </w:p>
    <w:p w14:paraId="3D187FD8" w14:textId="394F07DE" w:rsidR="00B35EB5" w:rsidRDefault="00726F3B">
      <w:r>
        <w:rPr>
          <w:b/>
          <w:bCs/>
        </w:rPr>
        <w:t xml:space="preserve">Performance Analysis: </w:t>
      </w:r>
      <w:r w:rsidR="00255538">
        <w:t xml:space="preserve">In the Third Quarter of 2023 Johnson and Johnson saw a strong increase in revenue </w:t>
      </w:r>
      <w:r w:rsidR="008E25FD">
        <w:t>compared to</w:t>
      </w:r>
      <w:r w:rsidR="00255538">
        <w:t xml:space="preserve"> Q3 2022</w:t>
      </w:r>
      <w:r w:rsidR="00BF3A71">
        <w:t>. Overall Revenue was up</w:t>
      </w:r>
      <w:r w:rsidR="0021023A">
        <w:t xml:space="preserve"> 6.8%. It is worth </w:t>
      </w:r>
      <w:r w:rsidR="00BD35A9">
        <w:t>noting that</w:t>
      </w:r>
      <w:r w:rsidR="0021023A">
        <w:t xml:space="preserve"> the</w:t>
      </w:r>
      <w:r w:rsidR="00D33CAC">
        <w:t xml:space="preserve"> revenue from international innovative medicine saw a decrease of 2.3% compared to Q3 2022. All other categories of revenue did </w:t>
      </w:r>
      <w:r w:rsidR="00BD35A9">
        <w:t>increase,</w:t>
      </w:r>
      <w:r w:rsidR="00D33CAC">
        <w:t xml:space="preserve"> however.</w:t>
      </w:r>
      <w:r w:rsidR="00816338">
        <w:t xml:space="preserve"> </w:t>
      </w:r>
      <w:r w:rsidR="00BD35A9">
        <w:t>Costs</w:t>
      </w:r>
      <w:r w:rsidR="00276FED">
        <w:t xml:space="preserve"> did go up as well in Q3 of 2</w:t>
      </w:r>
      <w:r w:rsidR="00CC4AA2">
        <w:t xml:space="preserve">022 they were </w:t>
      </w:r>
      <w:r w:rsidR="00900E41">
        <w:t>$</w:t>
      </w:r>
      <w:r w:rsidR="00CC4AA2">
        <w:t xml:space="preserve">14.82 </w:t>
      </w:r>
      <w:r w:rsidR="00900E41">
        <w:t xml:space="preserve">Billion compared </w:t>
      </w:r>
      <w:r w:rsidR="00900E41">
        <w:lastRenderedPageBreak/>
        <w:t xml:space="preserve">to </w:t>
      </w:r>
      <w:r w:rsidR="001F53A9">
        <w:t xml:space="preserve">$16.13 Billion in Q3 of 2023. </w:t>
      </w:r>
      <w:r w:rsidR="00BD35A9">
        <w:t>Well,</w:t>
      </w:r>
      <w:r w:rsidR="001F53A9">
        <w:t xml:space="preserve"> this number is alarming </w:t>
      </w:r>
      <w:r w:rsidR="00F23F79">
        <w:t xml:space="preserve">Johnson and Johnson had a much higher </w:t>
      </w:r>
      <w:r w:rsidR="00214EAA">
        <w:t>net income</w:t>
      </w:r>
      <w:r w:rsidR="00F23F79">
        <w:t xml:space="preserve"> this </w:t>
      </w:r>
      <w:r w:rsidR="00BD35A9">
        <w:t>quarter,</w:t>
      </w:r>
      <w:r w:rsidR="00F23F79">
        <w:t xml:space="preserve"> finish</w:t>
      </w:r>
      <w:r w:rsidR="00BD35A9">
        <w:t>ing</w:t>
      </w:r>
      <w:r w:rsidR="00F23F79">
        <w:t xml:space="preserve"> with $26</w:t>
      </w:r>
      <w:r w:rsidR="00214EAA">
        <w:t xml:space="preserve">.03 Billion largely due to </w:t>
      </w:r>
      <w:proofErr w:type="gramStart"/>
      <w:r w:rsidR="00BD35A9">
        <w:t>it</w:t>
      </w:r>
      <w:proofErr w:type="gramEnd"/>
      <w:r w:rsidR="00BD35A9">
        <w:t xml:space="preserve"> net earnings of discontinued operations.</w:t>
      </w:r>
    </w:p>
    <w:p w14:paraId="5611AD61" w14:textId="77777777" w:rsidR="00FC5059" w:rsidRDefault="00FC5059" w:rsidP="00FC5059">
      <w:pPr>
        <w:rPr>
          <w:b/>
          <w:bCs/>
        </w:rPr>
      </w:pPr>
    </w:p>
    <w:p w14:paraId="37B923AA" w14:textId="77777777" w:rsidR="00FC5059" w:rsidRDefault="00FC5059" w:rsidP="00FC5059">
      <w:pPr>
        <w:rPr>
          <w:b/>
          <w:bCs/>
        </w:rPr>
      </w:pPr>
    </w:p>
    <w:p w14:paraId="449DFC6F" w14:textId="75CA9D7F" w:rsidR="00FC5059" w:rsidRPr="00FC5059" w:rsidRDefault="00FC5059">
      <w:pPr>
        <w:rPr>
          <w:b/>
          <w:bCs/>
        </w:rPr>
      </w:pPr>
      <w:r>
        <w:rPr>
          <w:b/>
          <w:bCs/>
        </w:rPr>
        <w:t>Comparison to Competition: 3</w:t>
      </w:r>
      <w:r w:rsidRPr="000C1DE9">
        <w:rPr>
          <w:b/>
          <w:bCs/>
          <w:vertAlign w:val="superscript"/>
        </w:rPr>
        <w:t>rd</w:t>
      </w:r>
      <w:r>
        <w:rPr>
          <w:b/>
          <w:bCs/>
        </w:rPr>
        <w:t xml:space="preserve"> Quarter 2023 in </w:t>
      </w:r>
      <w:r w:rsidR="00B22AED">
        <w:rPr>
          <w:b/>
          <w:bCs/>
        </w:rPr>
        <w:t>B</w:t>
      </w:r>
      <w:r>
        <w:rPr>
          <w:b/>
          <w:bCs/>
        </w:rPr>
        <w:t>illions</w:t>
      </w:r>
    </w:p>
    <w:tbl>
      <w:tblPr>
        <w:tblStyle w:val="TableGrid"/>
        <w:tblW w:w="0" w:type="auto"/>
        <w:tblLook w:val="04A0" w:firstRow="1" w:lastRow="0" w:firstColumn="1" w:lastColumn="0" w:noHBand="0" w:noVBand="1"/>
      </w:tblPr>
      <w:tblGrid>
        <w:gridCol w:w="2337"/>
        <w:gridCol w:w="2337"/>
        <w:gridCol w:w="2338"/>
        <w:gridCol w:w="2338"/>
      </w:tblGrid>
      <w:tr w:rsidR="00FC5059" w14:paraId="71FE9B83" w14:textId="77777777" w:rsidTr="00B47F32">
        <w:tc>
          <w:tcPr>
            <w:tcW w:w="2337" w:type="dxa"/>
          </w:tcPr>
          <w:p w14:paraId="0704BE5E" w14:textId="09217CAD" w:rsidR="00FC5059" w:rsidRDefault="00FC5059">
            <w:r>
              <w:t>Company</w:t>
            </w:r>
          </w:p>
        </w:tc>
        <w:tc>
          <w:tcPr>
            <w:tcW w:w="2337" w:type="dxa"/>
          </w:tcPr>
          <w:p w14:paraId="5C07C475" w14:textId="37E02BB8" w:rsidR="00FC5059" w:rsidRDefault="00B47F32">
            <w:r>
              <w:t>Johnson and Johnson</w:t>
            </w:r>
          </w:p>
        </w:tc>
        <w:tc>
          <w:tcPr>
            <w:tcW w:w="2338" w:type="dxa"/>
          </w:tcPr>
          <w:p w14:paraId="3108B211" w14:textId="2F6F1AEF" w:rsidR="00FC5059" w:rsidRDefault="00815EE8">
            <w:r>
              <w:t>Pfizer.</w:t>
            </w:r>
          </w:p>
        </w:tc>
        <w:tc>
          <w:tcPr>
            <w:tcW w:w="2338" w:type="dxa"/>
          </w:tcPr>
          <w:p w14:paraId="35A40FCA" w14:textId="684BE2EE" w:rsidR="00FC5059" w:rsidRDefault="00815EE8">
            <w:r>
              <w:t>Moderna</w:t>
            </w:r>
          </w:p>
        </w:tc>
      </w:tr>
      <w:tr w:rsidR="00FC5059" w14:paraId="4D4A3894" w14:textId="77777777" w:rsidTr="00B47F32">
        <w:tc>
          <w:tcPr>
            <w:tcW w:w="2337" w:type="dxa"/>
          </w:tcPr>
          <w:p w14:paraId="4FA0D658" w14:textId="46F7F285" w:rsidR="00FC5059" w:rsidRDefault="00FC5059">
            <w:r>
              <w:t>Total Revenue</w:t>
            </w:r>
          </w:p>
        </w:tc>
        <w:tc>
          <w:tcPr>
            <w:tcW w:w="2337" w:type="dxa"/>
          </w:tcPr>
          <w:p w14:paraId="684BBB38" w14:textId="674A9524" w:rsidR="00FC5059" w:rsidRDefault="005633ED">
            <w:r>
              <w:rPr>
                <w:rFonts w:ascii="Roboto" w:hAnsi="Roboto"/>
                <w:color w:val="202124"/>
                <w:sz w:val="20"/>
                <w:szCs w:val="20"/>
                <w:shd w:val="clear" w:color="auto" w:fill="FFFFFF"/>
              </w:rPr>
              <w:t>$21.35</w:t>
            </w:r>
          </w:p>
        </w:tc>
        <w:tc>
          <w:tcPr>
            <w:tcW w:w="2338" w:type="dxa"/>
          </w:tcPr>
          <w:p w14:paraId="3C5A3799" w14:textId="2D0BC266" w:rsidR="00FC5059" w:rsidRDefault="00AC1A1E">
            <w:r>
              <w:rPr>
                <w:rFonts w:ascii="Roboto" w:hAnsi="Roboto"/>
                <w:color w:val="202124"/>
                <w:sz w:val="20"/>
                <w:szCs w:val="20"/>
                <w:shd w:val="clear" w:color="auto" w:fill="FFFFFF"/>
              </w:rPr>
              <w:t>$13.23</w:t>
            </w:r>
          </w:p>
        </w:tc>
        <w:tc>
          <w:tcPr>
            <w:tcW w:w="2338" w:type="dxa"/>
          </w:tcPr>
          <w:p w14:paraId="6C13C3C4" w14:textId="5F5F3557" w:rsidR="00FC5059" w:rsidRDefault="005869CD">
            <w:r>
              <w:t>$</w:t>
            </w:r>
            <w:r>
              <w:rPr>
                <w:rFonts w:ascii="Roboto" w:hAnsi="Roboto"/>
                <w:color w:val="202124"/>
                <w:sz w:val="20"/>
                <w:szCs w:val="20"/>
                <w:shd w:val="clear" w:color="auto" w:fill="FFFFFF"/>
              </w:rPr>
              <w:t>1.83</w:t>
            </w:r>
          </w:p>
        </w:tc>
      </w:tr>
      <w:tr w:rsidR="00FC5059" w14:paraId="014D2773" w14:textId="77777777" w:rsidTr="00B47F32">
        <w:tc>
          <w:tcPr>
            <w:tcW w:w="2337" w:type="dxa"/>
          </w:tcPr>
          <w:p w14:paraId="336961B4" w14:textId="1035CB42" w:rsidR="00FC5059" w:rsidRDefault="00F820A6">
            <w:r>
              <w:t>Total Costs</w:t>
            </w:r>
          </w:p>
        </w:tc>
        <w:tc>
          <w:tcPr>
            <w:tcW w:w="2337" w:type="dxa"/>
          </w:tcPr>
          <w:p w14:paraId="6CD60B5B" w14:textId="0AC43E02" w:rsidR="00FC5059" w:rsidRDefault="00B22AED">
            <w:r>
              <w:t>$16.13</w:t>
            </w:r>
          </w:p>
        </w:tc>
        <w:tc>
          <w:tcPr>
            <w:tcW w:w="2338" w:type="dxa"/>
          </w:tcPr>
          <w:p w14:paraId="6A7EA182" w14:textId="69D815A1" w:rsidR="00FC5059" w:rsidRDefault="00AC1A1E">
            <w:r>
              <w:t>$</w:t>
            </w:r>
            <w:r w:rsidR="003B1067">
              <w:rPr>
                <w:rFonts w:ascii="Roboto" w:hAnsi="Roboto"/>
                <w:color w:val="202124"/>
                <w:sz w:val="20"/>
                <w:szCs w:val="20"/>
                <w:shd w:val="clear" w:color="auto" w:fill="FFFFFF"/>
              </w:rPr>
              <w:t>14.5</w:t>
            </w:r>
          </w:p>
        </w:tc>
        <w:tc>
          <w:tcPr>
            <w:tcW w:w="2338" w:type="dxa"/>
          </w:tcPr>
          <w:p w14:paraId="1706F762" w14:textId="18731820" w:rsidR="00FC5059" w:rsidRDefault="005869CD">
            <w:r>
              <w:rPr>
                <w:rFonts w:ascii="Roboto" w:hAnsi="Roboto"/>
                <w:color w:val="202124"/>
                <w:sz w:val="20"/>
                <w:szCs w:val="20"/>
                <w:shd w:val="clear" w:color="auto" w:fill="FFFFFF"/>
              </w:rPr>
              <w:t>$3.4</w:t>
            </w:r>
          </w:p>
        </w:tc>
      </w:tr>
      <w:tr w:rsidR="00FC5059" w14:paraId="329AF6ED" w14:textId="77777777" w:rsidTr="00B47F32">
        <w:tc>
          <w:tcPr>
            <w:tcW w:w="2337" w:type="dxa"/>
          </w:tcPr>
          <w:p w14:paraId="07EF06C7" w14:textId="17A8BD4C" w:rsidR="00FC5059" w:rsidRDefault="005C5BEF">
            <w:r>
              <w:t>Net Income</w:t>
            </w:r>
          </w:p>
        </w:tc>
        <w:tc>
          <w:tcPr>
            <w:tcW w:w="2337" w:type="dxa"/>
          </w:tcPr>
          <w:p w14:paraId="77E3A2E8" w14:textId="36C9AD5E" w:rsidR="00FC5059" w:rsidRDefault="00AC1A1E">
            <w:r>
              <w:t>$26.03</w:t>
            </w:r>
          </w:p>
        </w:tc>
        <w:tc>
          <w:tcPr>
            <w:tcW w:w="2338" w:type="dxa"/>
          </w:tcPr>
          <w:p w14:paraId="72EDA6D6" w14:textId="3527B1B8" w:rsidR="00FC5059" w:rsidRDefault="009F6FFD">
            <w:r>
              <w:rPr>
                <w:rFonts w:ascii="Roboto" w:hAnsi="Roboto"/>
                <w:color w:val="202124"/>
                <w:sz w:val="20"/>
                <w:szCs w:val="20"/>
                <w:shd w:val="clear" w:color="auto" w:fill="FFFFFF"/>
              </w:rPr>
              <w:t>-$2.38</w:t>
            </w:r>
          </w:p>
        </w:tc>
        <w:tc>
          <w:tcPr>
            <w:tcW w:w="2338" w:type="dxa"/>
          </w:tcPr>
          <w:p w14:paraId="22264E6A" w14:textId="1B6E6BE8" w:rsidR="00FC5059" w:rsidRDefault="00A14930">
            <w:r>
              <w:t>-</w:t>
            </w:r>
            <w:r w:rsidR="005869CD">
              <w:t>$</w:t>
            </w:r>
            <w:r>
              <w:rPr>
                <w:rFonts w:ascii="Roboto" w:hAnsi="Roboto"/>
                <w:color w:val="202124"/>
                <w:sz w:val="20"/>
                <w:szCs w:val="20"/>
                <w:shd w:val="clear" w:color="auto" w:fill="FFFFFF"/>
              </w:rPr>
              <w:t>3.63</w:t>
            </w:r>
          </w:p>
        </w:tc>
      </w:tr>
    </w:tbl>
    <w:p w14:paraId="6F51CAC5" w14:textId="77777777" w:rsidR="00BD35A9" w:rsidRPr="00726F3B" w:rsidRDefault="00BD35A9"/>
    <w:sectPr w:rsidR="00BD35A9" w:rsidRPr="00726F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D8F5" w14:textId="77777777" w:rsidR="00FE65E8" w:rsidRDefault="00FE65E8" w:rsidP="00727507">
      <w:pPr>
        <w:spacing w:after="0" w:line="240" w:lineRule="auto"/>
      </w:pPr>
      <w:r>
        <w:separator/>
      </w:r>
    </w:p>
  </w:endnote>
  <w:endnote w:type="continuationSeparator" w:id="0">
    <w:p w14:paraId="6A50DE16" w14:textId="77777777" w:rsidR="00FE65E8" w:rsidRDefault="00FE65E8" w:rsidP="0072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A440" w14:textId="77777777" w:rsidR="00FE65E8" w:rsidRDefault="00FE65E8" w:rsidP="00727507">
      <w:pPr>
        <w:spacing w:after="0" w:line="240" w:lineRule="auto"/>
      </w:pPr>
      <w:r>
        <w:separator/>
      </w:r>
    </w:p>
  </w:footnote>
  <w:footnote w:type="continuationSeparator" w:id="0">
    <w:p w14:paraId="4BAD8D44" w14:textId="77777777" w:rsidR="00FE65E8" w:rsidRDefault="00FE65E8" w:rsidP="00727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DA"/>
    <w:multiLevelType w:val="hybridMultilevel"/>
    <w:tmpl w:val="DF848E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3414C"/>
    <w:multiLevelType w:val="multilevel"/>
    <w:tmpl w:val="9EE42A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845B9"/>
    <w:multiLevelType w:val="hybridMultilevel"/>
    <w:tmpl w:val="18E2F6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3DAD"/>
    <w:multiLevelType w:val="hybridMultilevel"/>
    <w:tmpl w:val="B55AD7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4B8F"/>
    <w:multiLevelType w:val="hybridMultilevel"/>
    <w:tmpl w:val="C11E2C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CE6A30"/>
    <w:multiLevelType w:val="multilevel"/>
    <w:tmpl w:val="24CA9B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80349"/>
    <w:multiLevelType w:val="multilevel"/>
    <w:tmpl w:val="8F0E97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5E0645"/>
    <w:multiLevelType w:val="multilevel"/>
    <w:tmpl w:val="62F02F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B5E0A"/>
    <w:multiLevelType w:val="multilevel"/>
    <w:tmpl w:val="04184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31DEA"/>
    <w:multiLevelType w:val="hybridMultilevel"/>
    <w:tmpl w:val="8F763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703918">
    <w:abstractNumId w:val="8"/>
  </w:num>
  <w:num w:numId="2" w16cid:durableId="1963610022">
    <w:abstractNumId w:val="7"/>
  </w:num>
  <w:num w:numId="3" w16cid:durableId="1629508955">
    <w:abstractNumId w:val="1"/>
  </w:num>
  <w:num w:numId="4" w16cid:durableId="53744876">
    <w:abstractNumId w:val="6"/>
  </w:num>
  <w:num w:numId="5" w16cid:durableId="1776438269">
    <w:abstractNumId w:val="10"/>
  </w:num>
  <w:num w:numId="6" w16cid:durableId="961886239">
    <w:abstractNumId w:val="5"/>
  </w:num>
  <w:num w:numId="7" w16cid:durableId="586882534">
    <w:abstractNumId w:val="3"/>
  </w:num>
  <w:num w:numId="8" w16cid:durableId="1282765898">
    <w:abstractNumId w:val="0"/>
  </w:num>
  <w:num w:numId="9" w16cid:durableId="1345786931">
    <w:abstractNumId w:val="2"/>
  </w:num>
  <w:num w:numId="10" w16cid:durableId="578099870">
    <w:abstractNumId w:val="9"/>
  </w:num>
  <w:num w:numId="11" w16cid:durableId="1457984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D2"/>
    <w:rsid w:val="00000AB9"/>
    <w:rsid w:val="00014332"/>
    <w:rsid w:val="00021CC4"/>
    <w:rsid w:val="000526FB"/>
    <w:rsid w:val="00055A27"/>
    <w:rsid w:val="00065647"/>
    <w:rsid w:val="000807F6"/>
    <w:rsid w:val="00083E6C"/>
    <w:rsid w:val="000C1DE9"/>
    <w:rsid w:val="000E07E9"/>
    <w:rsid w:val="00107B6B"/>
    <w:rsid w:val="00132DA0"/>
    <w:rsid w:val="00173325"/>
    <w:rsid w:val="00187528"/>
    <w:rsid w:val="00187EEF"/>
    <w:rsid w:val="001912C2"/>
    <w:rsid w:val="00192F7B"/>
    <w:rsid w:val="001D35D4"/>
    <w:rsid w:val="001D760C"/>
    <w:rsid w:val="001E0DB2"/>
    <w:rsid w:val="001F183D"/>
    <w:rsid w:val="001F53A9"/>
    <w:rsid w:val="00205D9A"/>
    <w:rsid w:val="0021023A"/>
    <w:rsid w:val="00211F32"/>
    <w:rsid w:val="00214EAA"/>
    <w:rsid w:val="00223CB2"/>
    <w:rsid w:val="002369F3"/>
    <w:rsid w:val="00241DA4"/>
    <w:rsid w:val="00243297"/>
    <w:rsid w:val="002507E9"/>
    <w:rsid w:val="00255538"/>
    <w:rsid w:val="00271206"/>
    <w:rsid w:val="002714DF"/>
    <w:rsid w:val="00276FED"/>
    <w:rsid w:val="00294EE6"/>
    <w:rsid w:val="002B4324"/>
    <w:rsid w:val="002C29AF"/>
    <w:rsid w:val="002C47D4"/>
    <w:rsid w:val="002F3A21"/>
    <w:rsid w:val="002F4FAA"/>
    <w:rsid w:val="003002FB"/>
    <w:rsid w:val="00303769"/>
    <w:rsid w:val="0031753C"/>
    <w:rsid w:val="00321157"/>
    <w:rsid w:val="00326107"/>
    <w:rsid w:val="00343D91"/>
    <w:rsid w:val="003534D5"/>
    <w:rsid w:val="00353C4C"/>
    <w:rsid w:val="00383713"/>
    <w:rsid w:val="00385DBE"/>
    <w:rsid w:val="003A64F2"/>
    <w:rsid w:val="003B1067"/>
    <w:rsid w:val="003B58D1"/>
    <w:rsid w:val="003F1981"/>
    <w:rsid w:val="003F3255"/>
    <w:rsid w:val="0040504C"/>
    <w:rsid w:val="0040506B"/>
    <w:rsid w:val="004144F3"/>
    <w:rsid w:val="00445D3D"/>
    <w:rsid w:val="00454D92"/>
    <w:rsid w:val="00456F61"/>
    <w:rsid w:val="00460F02"/>
    <w:rsid w:val="00470051"/>
    <w:rsid w:val="004812DA"/>
    <w:rsid w:val="0048132B"/>
    <w:rsid w:val="004836FD"/>
    <w:rsid w:val="004859B6"/>
    <w:rsid w:val="00486887"/>
    <w:rsid w:val="004A5F85"/>
    <w:rsid w:val="004B108F"/>
    <w:rsid w:val="004E69B4"/>
    <w:rsid w:val="00513785"/>
    <w:rsid w:val="00535376"/>
    <w:rsid w:val="0054683D"/>
    <w:rsid w:val="005633ED"/>
    <w:rsid w:val="005869CD"/>
    <w:rsid w:val="00596553"/>
    <w:rsid w:val="005A0BA7"/>
    <w:rsid w:val="005B16DD"/>
    <w:rsid w:val="005B63A7"/>
    <w:rsid w:val="005C5BEF"/>
    <w:rsid w:val="005E2F34"/>
    <w:rsid w:val="005E3EA8"/>
    <w:rsid w:val="005F4EC2"/>
    <w:rsid w:val="005F75FC"/>
    <w:rsid w:val="0065653E"/>
    <w:rsid w:val="00657C36"/>
    <w:rsid w:val="00664D73"/>
    <w:rsid w:val="00667225"/>
    <w:rsid w:val="00667775"/>
    <w:rsid w:val="00667806"/>
    <w:rsid w:val="00670545"/>
    <w:rsid w:val="006770EA"/>
    <w:rsid w:val="00680768"/>
    <w:rsid w:val="006D0443"/>
    <w:rsid w:val="006D0BD0"/>
    <w:rsid w:val="006D6960"/>
    <w:rsid w:val="006F21EC"/>
    <w:rsid w:val="007201FF"/>
    <w:rsid w:val="00726F3B"/>
    <w:rsid w:val="00727507"/>
    <w:rsid w:val="007275E8"/>
    <w:rsid w:val="00752C3A"/>
    <w:rsid w:val="00767617"/>
    <w:rsid w:val="00776309"/>
    <w:rsid w:val="00792021"/>
    <w:rsid w:val="007A455C"/>
    <w:rsid w:val="007B4C8E"/>
    <w:rsid w:val="007C24F7"/>
    <w:rsid w:val="007C25BE"/>
    <w:rsid w:val="007D1B43"/>
    <w:rsid w:val="007D4E05"/>
    <w:rsid w:val="007E501D"/>
    <w:rsid w:val="007F52E4"/>
    <w:rsid w:val="00815EE8"/>
    <w:rsid w:val="00816338"/>
    <w:rsid w:val="00822E5B"/>
    <w:rsid w:val="008267B0"/>
    <w:rsid w:val="00832C84"/>
    <w:rsid w:val="00836846"/>
    <w:rsid w:val="00876E6C"/>
    <w:rsid w:val="00892B7A"/>
    <w:rsid w:val="00893369"/>
    <w:rsid w:val="008B429E"/>
    <w:rsid w:val="008D4025"/>
    <w:rsid w:val="008E25FD"/>
    <w:rsid w:val="008E7732"/>
    <w:rsid w:val="008E7926"/>
    <w:rsid w:val="00900E41"/>
    <w:rsid w:val="00916526"/>
    <w:rsid w:val="0093315E"/>
    <w:rsid w:val="0094088F"/>
    <w:rsid w:val="009500DF"/>
    <w:rsid w:val="00964498"/>
    <w:rsid w:val="00964C02"/>
    <w:rsid w:val="00991F77"/>
    <w:rsid w:val="009C76E3"/>
    <w:rsid w:val="009C7D96"/>
    <w:rsid w:val="009D781E"/>
    <w:rsid w:val="009E4054"/>
    <w:rsid w:val="009E7642"/>
    <w:rsid w:val="009F6FFD"/>
    <w:rsid w:val="00A035EF"/>
    <w:rsid w:val="00A0525B"/>
    <w:rsid w:val="00A14930"/>
    <w:rsid w:val="00A2474D"/>
    <w:rsid w:val="00A4703D"/>
    <w:rsid w:val="00A61AC0"/>
    <w:rsid w:val="00A67A40"/>
    <w:rsid w:val="00A747E7"/>
    <w:rsid w:val="00A954DA"/>
    <w:rsid w:val="00A96C82"/>
    <w:rsid w:val="00AC1A1E"/>
    <w:rsid w:val="00AD0475"/>
    <w:rsid w:val="00B05869"/>
    <w:rsid w:val="00B22AED"/>
    <w:rsid w:val="00B26424"/>
    <w:rsid w:val="00B35EB5"/>
    <w:rsid w:val="00B4219F"/>
    <w:rsid w:val="00B47F32"/>
    <w:rsid w:val="00B56D6B"/>
    <w:rsid w:val="00B63F6F"/>
    <w:rsid w:val="00B64653"/>
    <w:rsid w:val="00B765FC"/>
    <w:rsid w:val="00B90FA4"/>
    <w:rsid w:val="00BA34DB"/>
    <w:rsid w:val="00BD121F"/>
    <w:rsid w:val="00BD35A9"/>
    <w:rsid w:val="00BF3A71"/>
    <w:rsid w:val="00BF6C91"/>
    <w:rsid w:val="00BF75A9"/>
    <w:rsid w:val="00C05AD9"/>
    <w:rsid w:val="00C13B54"/>
    <w:rsid w:val="00C167C0"/>
    <w:rsid w:val="00C23E40"/>
    <w:rsid w:val="00C633EB"/>
    <w:rsid w:val="00C64A7A"/>
    <w:rsid w:val="00C85768"/>
    <w:rsid w:val="00C85C58"/>
    <w:rsid w:val="00C96634"/>
    <w:rsid w:val="00CB2A34"/>
    <w:rsid w:val="00CC3409"/>
    <w:rsid w:val="00CC4AA2"/>
    <w:rsid w:val="00CC5967"/>
    <w:rsid w:val="00CC6B2A"/>
    <w:rsid w:val="00CD2FB9"/>
    <w:rsid w:val="00CF0B8D"/>
    <w:rsid w:val="00CF2854"/>
    <w:rsid w:val="00D05248"/>
    <w:rsid w:val="00D069D5"/>
    <w:rsid w:val="00D10AED"/>
    <w:rsid w:val="00D21054"/>
    <w:rsid w:val="00D33CAC"/>
    <w:rsid w:val="00D72827"/>
    <w:rsid w:val="00D84671"/>
    <w:rsid w:val="00DB2D3F"/>
    <w:rsid w:val="00DC09A9"/>
    <w:rsid w:val="00DC153F"/>
    <w:rsid w:val="00DD6DEA"/>
    <w:rsid w:val="00DF0CFA"/>
    <w:rsid w:val="00DF44D4"/>
    <w:rsid w:val="00DF64F3"/>
    <w:rsid w:val="00E005D5"/>
    <w:rsid w:val="00E24A1A"/>
    <w:rsid w:val="00E3567A"/>
    <w:rsid w:val="00E36986"/>
    <w:rsid w:val="00E46401"/>
    <w:rsid w:val="00E72CF6"/>
    <w:rsid w:val="00E811A6"/>
    <w:rsid w:val="00E86EDC"/>
    <w:rsid w:val="00E87FD5"/>
    <w:rsid w:val="00EA2385"/>
    <w:rsid w:val="00EA4DE8"/>
    <w:rsid w:val="00EB7B90"/>
    <w:rsid w:val="00ED00DD"/>
    <w:rsid w:val="00EF1696"/>
    <w:rsid w:val="00F23F79"/>
    <w:rsid w:val="00F27EE4"/>
    <w:rsid w:val="00F32CA4"/>
    <w:rsid w:val="00F42ED1"/>
    <w:rsid w:val="00F57BBE"/>
    <w:rsid w:val="00F7574C"/>
    <w:rsid w:val="00F820A6"/>
    <w:rsid w:val="00F905D2"/>
    <w:rsid w:val="00F92A32"/>
    <w:rsid w:val="00FA0CF2"/>
    <w:rsid w:val="00FC5059"/>
    <w:rsid w:val="00FC5F6D"/>
    <w:rsid w:val="00FC6001"/>
    <w:rsid w:val="00FD07B6"/>
    <w:rsid w:val="00FD295D"/>
    <w:rsid w:val="00FE2FA6"/>
    <w:rsid w:val="00FE35C2"/>
    <w:rsid w:val="00FE6584"/>
    <w:rsid w:val="00FE65E8"/>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ADC6"/>
  <w15:chartTrackingRefBased/>
  <w15:docId w15:val="{2F0ABC57-A47A-4139-9DD1-A33F827A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EA"/>
    <w:pPr>
      <w:ind w:left="720"/>
      <w:contextualSpacing/>
    </w:pPr>
  </w:style>
  <w:style w:type="table" w:styleId="TableGrid">
    <w:name w:val="Table Grid"/>
    <w:basedOn w:val="TableNormal"/>
    <w:uiPriority w:val="39"/>
    <w:rsid w:val="000C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507"/>
  </w:style>
  <w:style w:type="paragraph" w:styleId="Footer">
    <w:name w:val="footer"/>
    <w:basedOn w:val="Normal"/>
    <w:link w:val="FooterChar"/>
    <w:uiPriority w:val="99"/>
    <w:unhideWhenUsed/>
    <w:rsid w:val="00727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335">
      <w:bodyDiv w:val="1"/>
      <w:marLeft w:val="0"/>
      <w:marRight w:val="0"/>
      <w:marTop w:val="0"/>
      <w:marBottom w:val="0"/>
      <w:divBdr>
        <w:top w:val="none" w:sz="0" w:space="0" w:color="auto"/>
        <w:left w:val="none" w:sz="0" w:space="0" w:color="auto"/>
        <w:bottom w:val="none" w:sz="0" w:space="0" w:color="auto"/>
        <w:right w:val="none" w:sz="0" w:space="0" w:color="auto"/>
      </w:divBdr>
    </w:div>
    <w:div w:id="449781194">
      <w:bodyDiv w:val="1"/>
      <w:marLeft w:val="0"/>
      <w:marRight w:val="0"/>
      <w:marTop w:val="0"/>
      <w:marBottom w:val="0"/>
      <w:divBdr>
        <w:top w:val="none" w:sz="0" w:space="0" w:color="auto"/>
        <w:left w:val="none" w:sz="0" w:space="0" w:color="auto"/>
        <w:bottom w:val="none" w:sz="0" w:space="0" w:color="auto"/>
        <w:right w:val="none" w:sz="0" w:space="0" w:color="auto"/>
      </w:divBdr>
    </w:div>
    <w:div w:id="569778362">
      <w:bodyDiv w:val="1"/>
      <w:marLeft w:val="0"/>
      <w:marRight w:val="0"/>
      <w:marTop w:val="0"/>
      <w:marBottom w:val="0"/>
      <w:divBdr>
        <w:top w:val="none" w:sz="0" w:space="0" w:color="auto"/>
        <w:left w:val="none" w:sz="0" w:space="0" w:color="auto"/>
        <w:bottom w:val="none" w:sz="0" w:space="0" w:color="auto"/>
        <w:right w:val="none" w:sz="0" w:space="0" w:color="auto"/>
      </w:divBdr>
    </w:div>
    <w:div w:id="1295914380">
      <w:bodyDiv w:val="1"/>
      <w:marLeft w:val="0"/>
      <w:marRight w:val="0"/>
      <w:marTop w:val="0"/>
      <w:marBottom w:val="0"/>
      <w:divBdr>
        <w:top w:val="none" w:sz="0" w:space="0" w:color="auto"/>
        <w:left w:val="none" w:sz="0" w:space="0" w:color="auto"/>
        <w:bottom w:val="none" w:sz="0" w:space="0" w:color="auto"/>
        <w:right w:val="none" w:sz="0" w:space="0" w:color="auto"/>
      </w:divBdr>
    </w:div>
    <w:div w:id="1348290995">
      <w:bodyDiv w:val="1"/>
      <w:marLeft w:val="0"/>
      <w:marRight w:val="0"/>
      <w:marTop w:val="0"/>
      <w:marBottom w:val="0"/>
      <w:divBdr>
        <w:top w:val="none" w:sz="0" w:space="0" w:color="auto"/>
        <w:left w:val="none" w:sz="0" w:space="0" w:color="auto"/>
        <w:bottom w:val="none" w:sz="0" w:space="0" w:color="auto"/>
        <w:right w:val="none" w:sz="0" w:space="0" w:color="auto"/>
      </w:divBdr>
    </w:div>
    <w:div w:id="1349286570">
      <w:bodyDiv w:val="1"/>
      <w:marLeft w:val="0"/>
      <w:marRight w:val="0"/>
      <w:marTop w:val="0"/>
      <w:marBottom w:val="0"/>
      <w:divBdr>
        <w:top w:val="none" w:sz="0" w:space="0" w:color="auto"/>
        <w:left w:val="none" w:sz="0" w:space="0" w:color="auto"/>
        <w:bottom w:val="none" w:sz="0" w:space="0" w:color="auto"/>
        <w:right w:val="none" w:sz="0" w:space="0" w:color="auto"/>
      </w:divBdr>
    </w:div>
    <w:div w:id="1386832401">
      <w:bodyDiv w:val="1"/>
      <w:marLeft w:val="0"/>
      <w:marRight w:val="0"/>
      <w:marTop w:val="0"/>
      <w:marBottom w:val="0"/>
      <w:divBdr>
        <w:top w:val="none" w:sz="0" w:space="0" w:color="auto"/>
        <w:left w:val="none" w:sz="0" w:space="0" w:color="auto"/>
        <w:bottom w:val="none" w:sz="0" w:space="0" w:color="auto"/>
        <w:right w:val="none" w:sz="0" w:space="0" w:color="auto"/>
      </w:divBdr>
    </w:div>
    <w:div w:id="200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webSettings" Target="webSettings.xml"/><Relationship Id="rId9" Type="http://schemas.microsoft.com/office/2014/relationships/chartEx" Target="charts/chartEx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r>
              <a:rPr lang="en-US" b="1"/>
              <a:t>Revenue Drivers Q3 2023</a:t>
            </a:r>
          </a:p>
          <a:p>
            <a:pPr>
              <a:defRPr b="1"/>
            </a:pPr>
            <a:r>
              <a:rPr lang="en-US" sz="1000" b="1"/>
              <a:t>In Millions</a:t>
            </a:r>
          </a:p>
        </c:rich>
      </c:tx>
      <c:layout>
        <c:manualLayout>
          <c:xMode val="edge"/>
          <c:yMode val="edge"/>
          <c:x val="0.33429972295129773"/>
          <c:y val="1.98412698412698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Based Management Fees</c:v>
                </c:pt>
              </c:strCache>
            </c:strRef>
          </c:tx>
          <c:spPr>
            <a:solidFill>
              <a:schemeClr val="accent1"/>
            </a:solidFill>
            <a:ln>
              <a:noFill/>
            </a:ln>
            <a:effectLst/>
          </c:spPr>
          <c:invertIfNegative val="0"/>
          <c:cat>
            <c:strRef>
              <c:f>Sheet1!$A$2</c:f>
              <c:strCache>
                <c:ptCount val="1"/>
                <c:pt idx="0">
                  <c:v>2023 Quarter 3 Revenue drivers</c:v>
                </c:pt>
              </c:strCache>
            </c:strRef>
          </c:cat>
          <c:val>
            <c:numRef>
              <c:f>Sheet1!$B$2</c:f>
              <c:numCache>
                <c:formatCode>"$"#,##0_);[Red]\("$"#,##0\)</c:formatCode>
                <c:ptCount val="1"/>
                <c:pt idx="0">
                  <c:v>306</c:v>
                </c:pt>
              </c:numCache>
            </c:numRef>
          </c:val>
          <c:extLst>
            <c:ext xmlns:c16="http://schemas.microsoft.com/office/drawing/2014/chart" uri="{C3380CC4-5D6E-409C-BE32-E72D297353CC}">
              <c16:uniqueId val="{00000000-E0E3-415D-96BC-D98497CEE065}"/>
            </c:ext>
          </c:extLst>
        </c:ser>
        <c:ser>
          <c:idx val="1"/>
          <c:order val="1"/>
          <c:tx>
            <c:strRef>
              <c:f>Sheet1!$C$1</c:f>
              <c:strCache>
                <c:ptCount val="1"/>
                <c:pt idx="0">
                  <c:v>Franchise Fees</c:v>
                </c:pt>
              </c:strCache>
            </c:strRef>
          </c:tx>
          <c:spPr>
            <a:solidFill>
              <a:schemeClr val="accent2"/>
            </a:solidFill>
            <a:ln>
              <a:noFill/>
            </a:ln>
            <a:effectLst/>
          </c:spPr>
          <c:invertIfNegative val="0"/>
          <c:cat>
            <c:strRef>
              <c:f>Sheet1!$A$2</c:f>
              <c:strCache>
                <c:ptCount val="1"/>
                <c:pt idx="0">
                  <c:v>2023 Quarter 3 Revenue drivers</c:v>
                </c:pt>
              </c:strCache>
            </c:strRef>
          </c:cat>
          <c:val>
            <c:numRef>
              <c:f>Sheet1!$C$2</c:f>
              <c:numCache>
                <c:formatCode>"$"#,##0_);[Red]\("$"#,##0\)</c:formatCode>
                <c:ptCount val="1"/>
                <c:pt idx="0">
                  <c:v>748</c:v>
                </c:pt>
              </c:numCache>
            </c:numRef>
          </c:val>
          <c:extLst>
            <c:ext xmlns:c16="http://schemas.microsoft.com/office/drawing/2014/chart" uri="{C3380CC4-5D6E-409C-BE32-E72D297353CC}">
              <c16:uniqueId val="{00000001-E0E3-415D-96BC-D98497CEE065}"/>
            </c:ext>
          </c:extLst>
        </c:ser>
        <c:ser>
          <c:idx val="2"/>
          <c:order val="2"/>
          <c:tx>
            <c:strRef>
              <c:f>Sheet1!$D$1</c:f>
              <c:strCache>
                <c:ptCount val="1"/>
                <c:pt idx="0">
                  <c:v>Incentive Management Fees</c:v>
                </c:pt>
              </c:strCache>
            </c:strRef>
          </c:tx>
          <c:spPr>
            <a:solidFill>
              <a:schemeClr val="accent3"/>
            </a:solidFill>
            <a:ln>
              <a:noFill/>
            </a:ln>
            <a:effectLst/>
          </c:spPr>
          <c:invertIfNegative val="0"/>
          <c:cat>
            <c:strRef>
              <c:f>Sheet1!$A$2</c:f>
              <c:strCache>
                <c:ptCount val="1"/>
                <c:pt idx="0">
                  <c:v>2023 Quarter 3 Revenue drivers</c:v>
                </c:pt>
              </c:strCache>
            </c:strRef>
          </c:cat>
          <c:val>
            <c:numRef>
              <c:f>Sheet1!$D$2</c:f>
              <c:numCache>
                <c:formatCode>"$"#,##0_);[Red]\("$"#,##0\)</c:formatCode>
                <c:ptCount val="1"/>
                <c:pt idx="0">
                  <c:v>143</c:v>
                </c:pt>
              </c:numCache>
            </c:numRef>
          </c:val>
          <c:extLst>
            <c:ext xmlns:c16="http://schemas.microsoft.com/office/drawing/2014/chart" uri="{C3380CC4-5D6E-409C-BE32-E72D297353CC}">
              <c16:uniqueId val="{00000002-E0E3-415D-96BC-D98497CEE065}"/>
            </c:ext>
          </c:extLst>
        </c:ser>
        <c:ser>
          <c:idx val="3"/>
          <c:order val="3"/>
          <c:tx>
            <c:strRef>
              <c:f>Sheet1!$E$1</c:f>
              <c:strCache>
                <c:ptCount val="1"/>
                <c:pt idx="0">
                  <c:v>Contract Investment Amortization</c:v>
                </c:pt>
              </c:strCache>
            </c:strRef>
          </c:tx>
          <c:spPr>
            <a:solidFill>
              <a:schemeClr val="accent4"/>
            </a:solidFill>
            <a:ln>
              <a:noFill/>
            </a:ln>
            <a:effectLst/>
          </c:spPr>
          <c:invertIfNegative val="0"/>
          <c:cat>
            <c:strRef>
              <c:f>Sheet1!$A$2</c:f>
              <c:strCache>
                <c:ptCount val="1"/>
                <c:pt idx="0">
                  <c:v>2023 Quarter 3 Revenue drivers</c:v>
                </c:pt>
              </c:strCache>
            </c:strRef>
          </c:cat>
          <c:val>
            <c:numRef>
              <c:f>Sheet1!$E$2</c:f>
              <c:numCache>
                <c:formatCode>"$"#,##0_);[Red]\("$"#,##0\)</c:formatCode>
                <c:ptCount val="1"/>
                <c:pt idx="0">
                  <c:v>-23</c:v>
                </c:pt>
              </c:numCache>
            </c:numRef>
          </c:val>
          <c:extLst>
            <c:ext xmlns:c16="http://schemas.microsoft.com/office/drawing/2014/chart" uri="{C3380CC4-5D6E-409C-BE32-E72D297353CC}">
              <c16:uniqueId val="{00000003-E0E3-415D-96BC-D98497CEE065}"/>
            </c:ext>
          </c:extLst>
        </c:ser>
        <c:ser>
          <c:idx val="4"/>
          <c:order val="4"/>
          <c:tx>
            <c:strRef>
              <c:f>Sheet1!$F$1</c:f>
              <c:strCache>
                <c:ptCount val="1"/>
                <c:pt idx="0">
                  <c:v>Owned, Leased, and Other Revenue</c:v>
                </c:pt>
              </c:strCache>
            </c:strRef>
          </c:tx>
          <c:spPr>
            <a:solidFill>
              <a:schemeClr val="accent5"/>
            </a:solidFill>
            <a:ln>
              <a:noFill/>
            </a:ln>
            <a:effectLst/>
          </c:spPr>
          <c:invertIfNegative val="0"/>
          <c:cat>
            <c:strRef>
              <c:f>Sheet1!$A$2</c:f>
              <c:strCache>
                <c:ptCount val="1"/>
                <c:pt idx="0">
                  <c:v>2023 Quarter 3 Revenue drivers</c:v>
                </c:pt>
              </c:strCache>
            </c:strRef>
          </c:cat>
          <c:val>
            <c:numRef>
              <c:f>Sheet1!$F$2</c:f>
              <c:numCache>
                <c:formatCode>"$"#,##0_);[Red]\("$"#,##0\)</c:formatCode>
                <c:ptCount val="1"/>
                <c:pt idx="0">
                  <c:v>363</c:v>
                </c:pt>
              </c:numCache>
            </c:numRef>
          </c:val>
          <c:extLst>
            <c:ext xmlns:c16="http://schemas.microsoft.com/office/drawing/2014/chart" uri="{C3380CC4-5D6E-409C-BE32-E72D297353CC}">
              <c16:uniqueId val="{00000004-E0E3-415D-96BC-D98497CEE065}"/>
            </c:ext>
          </c:extLst>
        </c:ser>
        <c:ser>
          <c:idx val="5"/>
          <c:order val="5"/>
          <c:tx>
            <c:strRef>
              <c:f>Sheet1!$G$1</c:f>
              <c:strCache>
                <c:ptCount val="1"/>
                <c:pt idx="0">
                  <c:v>Cost Reimbursment Revenue</c:v>
                </c:pt>
              </c:strCache>
            </c:strRef>
          </c:tx>
          <c:spPr>
            <a:solidFill>
              <a:schemeClr val="accent6"/>
            </a:solidFill>
            <a:ln>
              <a:noFill/>
            </a:ln>
            <a:effectLst/>
          </c:spPr>
          <c:invertIfNegative val="0"/>
          <c:cat>
            <c:strRef>
              <c:f>Sheet1!$A$2</c:f>
              <c:strCache>
                <c:ptCount val="1"/>
                <c:pt idx="0">
                  <c:v>2023 Quarter 3 Revenue drivers</c:v>
                </c:pt>
              </c:strCache>
            </c:strRef>
          </c:cat>
          <c:val>
            <c:numRef>
              <c:f>Sheet1!$G$2</c:f>
              <c:numCache>
                <c:formatCode>"$"#,##0_);[Red]\("$"#,##0\)</c:formatCode>
                <c:ptCount val="1"/>
                <c:pt idx="0">
                  <c:v>4391</c:v>
                </c:pt>
              </c:numCache>
            </c:numRef>
          </c:val>
          <c:extLst>
            <c:ext xmlns:c16="http://schemas.microsoft.com/office/drawing/2014/chart" uri="{C3380CC4-5D6E-409C-BE32-E72D297353CC}">
              <c16:uniqueId val="{00000005-E0E3-415D-96BC-D98497CEE065}"/>
            </c:ext>
          </c:extLst>
        </c:ser>
        <c:dLbls>
          <c:showLegendKey val="0"/>
          <c:showVal val="0"/>
          <c:showCatName val="0"/>
          <c:showSerName val="0"/>
          <c:showPercent val="0"/>
          <c:showBubbleSize val="0"/>
        </c:dLbls>
        <c:gapWidth val="219"/>
        <c:overlap val="-27"/>
        <c:axId val="1539707375"/>
        <c:axId val="1538662607"/>
      </c:barChart>
      <c:catAx>
        <c:axId val="1539707375"/>
        <c:scaling>
          <c:orientation val="minMax"/>
        </c:scaling>
        <c:delete val="1"/>
        <c:axPos val="b"/>
        <c:numFmt formatCode="General" sourceLinked="1"/>
        <c:majorTickMark val="none"/>
        <c:minorTickMark val="none"/>
        <c:tickLblPos val="nextTo"/>
        <c:crossAx val="1538662607"/>
        <c:crosses val="autoZero"/>
        <c:auto val="1"/>
        <c:lblAlgn val="ctr"/>
        <c:lblOffset val="100"/>
        <c:noMultiLvlLbl val="0"/>
      </c:catAx>
      <c:valAx>
        <c:axId val="1538662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39707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Cost Drivers Q3 2023</a:t>
            </a:r>
          </a:p>
          <a:p>
            <a:pPr>
              <a:defRPr/>
            </a:pPr>
            <a:r>
              <a:rPr lang="en-US"/>
              <a:t>In Millions</a:t>
            </a:r>
          </a:p>
        </c:rich>
      </c:tx>
      <c:layout>
        <c:manualLayout>
          <c:xMode val="edge"/>
          <c:yMode val="edge"/>
          <c:x val="0.364392315543890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Cost of Services</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"$"#,##0_);[Red]\("$"#,##0\)</c:formatCode>
                <c:ptCount val="1"/>
                <c:pt idx="0">
                  <c:v>301</c:v>
                </c:pt>
              </c:numCache>
            </c:numRef>
          </c:val>
          <c:extLst>
            <c:ext xmlns:c16="http://schemas.microsoft.com/office/drawing/2014/chart" uri="{C3380CC4-5D6E-409C-BE32-E72D297353CC}">
              <c16:uniqueId val="{00000000-3311-41F9-BEA8-BA2C235F2AF2}"/>
            </c:ext>
          </c:extLst>
        </c:ser>
        <c:ser>
          <c:idx val="1"/>
          <c:order val="1"/>
          <c:tx>
            <c:strRef>
              <c:f>Sheet1!$C$1</c:f>
              <c:strCache>
                <c:ptCount val="1"/>
                <c:pt idx="0">
                  <c:v>Depreciation, Amortization, and Other</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"$"#,##0_);[Red]\("$"#,##0\)</c:formatCode>
                <c:ptCount val="1"/>
                <c:pt idx="0">
                  <c:v>46</c:v>
                </c:pt>
              </c:numCache>
            </c:numRef>
          </c:val>
          <c:extLst>
            <c:ext xmlns:c16="http://schemas.microsoft.com/office/drawing/2014/chart" uri="{C3380CC4-5D6E-409C-BE32-E72D297353CC}">
              <c16:uniqueId val="{00000001-3311-41F9-BEA8-BA2C235F2AF2}"/>
            </c:ext>
          </c:extLst>
        </c:ser>
        <c:ser>
          <c:idx val="2"/>
          <c:order val="2"/>
          <c:tx>
            <c:strRef>
              <c:f>Sheet1!$D$1</c:f>
              <c:strCache>
                <c:ptCount val="1"/>
                <c:pt idx="0">
                  <c:v>General, Administrative, and Other</c:v>
                </c:pt>
              </c:strCache>
            </c:strRef>
          </c:tx>
          <c:spPr>
            <a:solidFill>
              <a:schemeClr val="accent3"/>
            </a:solidFill>
            <a:ln>
              <a:noFill/>
            </a:ln>
            <a:effectLst/>
          </c:spPr>
          <c:invertIfNegative val="0"/>
          <c:cat>
            <c:numRef>
              <c:f>Sheet1!$A$2</c:f>
              <c:numCache>
                <c:formatCode>General</c:formatCode>
                <c:ptCount val="1"/>
              </c:numCache>
            </c:numRef>
          </c:cat>
          <c:val>
            <c:numRef>
              <c:f>Sheet1!$D$2</c:f>
              <c:numCache>
                <c:formatCode>"$"#,##0_);[Red]\("$"#,##0\)</c:formatCode>
                <c:ptCount val="1"/>
                <c:pt idx="0">
                  <c:v>239</c:v>
                </c:pt>
              </c:numCache>
            </c:numRef>
          </c:val>
          <c:extLst>
            <c:ext xmlns:c16="http://schemas.microsoft.com/office/drawing/2014/chart" uri="{C3380CC4-5D6E-409C-BE32-E72D297353CC}">
              <c16:uniqueId val="{00000002-3311-41F9-BEA8-BA2C235F2AF2}"/>
            </c:ext>
          </c:extLst>
        </c:ser>
        <c:ser>
          <c:idx val="3"/>
          <c:order val="3"/>
          <c:tx>
            <c:strRef>
              <c:f>Sheet1!$E$1</c:f>
              <c:strCache>
                <c:ptCount val="1"/>
                <c:pt idx="0">
                  <c:v>Merger-Related Chargers an other</c:v>
                </c:pt>
              </c:strCache>
            </c:strRef>
          </c:tx>
          <c:spPr>
            <a:solidFill>
              <a:schemeClr val="accent4"/>
            </a:solidFill>
            <a:ln>
              <a:noFill/>
            </a:ln>
            <a:effectLst/>
          </c:spPr>
          <c:invertIfNegative val="0"/>
          <c:cat>
            <c:numRef>
              <c:f>Sheet1!$A$2</c:f>
              <c:numCache>
                <c:formatCode>General</c:formatCode>
                <c:ptCount val="1"/>
              </c:numCache>
            </c:numRef>
          </c:cat>
          <c:val>
            <c:numRef>
              <c:f>Sheet1!$E$2</c:f>
              <c:numCache>
                <c:formatCode>"$"#,##0_);[Red]\("$"#,##0\)</c:formatCode>
                <c:ptCount val="1"/>
                <c:pt idx="0">
                  <c:v>13</c:v>
                </c:pt>
              </c:numCache>
            </c:numRef>
          </c:val>
          <c:extLst>
            <c:ext xmlns:c16="http://schemas.microsoft.com/office/drawing/2014/chart" uri="{C3380CC4-5D6E-409C-BE32-E72D297353CC}">
              <c16:uniqueId val="{00000003-3311-41F9-BEA8-BA2C235F2AF2}"/>
            </c:ext>
          </c:extLst>
        </c:ser>
        <c:ser>
          <c:idx val="4"/>
          <c:order val="4"/>
          <c:tx>
            <c:strRef>
              <c:f>Sheet1!$F$1</c:f>
              <c:strCache>
                <c:ptCount val="1"/>
                <c:pt idx="0">
                  <c:v>Reimbursed Expenses</c:v>
                </c:pt>
              </c:strCache>
            </c:strRef>
          </c:tx>
          <c:spPr>
            <a:solidFill>
              <a:schemeClr val="accent5"/>
            </a:solidFill>
            <a:ln>
              <a:noFill/>
            </a:ln>
            <a:effectLst/>
          </c:spPr>
          <c:invertIfNegative val="0"/>
          <c:cat>
            <c:numRef>
              <c:f>Sheet1!$A$2</c:f>
              <c:numCache>
                <c:formatCode>General</c:formatCode>
                <c:ptCount val="1"/>
              </c:numCache>
            </c:numRef>
          </c:cat>
          <c:val>
            <c:numRef>
              <c:f>Sheet1!$F$2</c:f>
              <c:numCache>
                <c:formatCode>"$"#,##0_);[Red]\("$"#,##0\)</c:formatCode>
                <c:ptCount val="1"/>
                <c:pt idx="0">
                  <c:v>4238</c:v>
                </c:pt>
              </c:numCache>
            </c:numRef>
          </c:val>
          <c:extLst>
            <c:ext xmlns:c16="http://schemas.microsoft.com/office/drawing/2014/chart" uri="{C3380CC4-5D6E-409C-BE32-E72D297353CC}">
              <c16:uniqueId val="{00000004-3311-41F9-BEA8-BA2C235F2AF2}"/>
            </c:ext>
          </c:extLst>
        </c:ser>
        <c:dLbls>
          <c:showLegendKey val="0"/>
          <c:showVal val="0"/>
          <c:showCatName val="0"/>
          <c:showSerName val="0"/>
          <c:showPercent val="0"/>
          <c:showBubbleSize val="0"/>
        </c:dLbls>
        <c:gapWidth val="219"/>
        <c:overlap val="-27"/>
        <c:axId val="1655401791"/>
        <c:axId val="1665386895"/>
      </c:barChart>
      <c:catAx>
        <c:axId val="165540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65386895"/>
        <c:crosses val="autoZero"/>
        <c:auto val="1"/>
        <c:lblAlgn val="ctr"/>
        <c:lblOffset val="100"/>
        <c:noMultiLvlLbl val="0"/>
      </c:catAx>
      <c:valAx>
        <c:axId val="1665386895"/>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55401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Revenue Drivers Q3 2023</a:t>
            </a:r>
          </a:p>
          <a:p>
            <a:pPr>
              <a:defRPr b="1"/>
            </a:pPr>
            <a:r>
              <a:rPr lang="en-US" b="1"/>
              <a:t>In Millions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Inovative Medicine</c:v>
                </c:pt>
              </c:strCache>
            </c:strRef>
          </c:tx>
          <c:spPr>
            <a:solidFill>
              <a:schemeClr val="accent1"/>
            </a:solidFill>
            <a:ln>
              <a:noFill/>
            </a:ln>
            <a:effectLst/>
          </c:spPr>
          <c:invertIfNegative val="0"/>
          <c:cat>
            <c:strRef>
              <c:f>Sheet1!$A$2:$A$3</c:f>
              <c:strCache>
                <c:ptCount val="2"/>
                <c:pt idx="0">
                  <c:v>International</c:v>
                </c:pt>
                <c:pt idx="1">
                  <c:v>USA</c:v>
                </c:pt>
              </c:strCache>
            </c:strRef>
          </c:cat>
          <c:val>
            <c:numRef>
              <c:f>Sheet1!$B$2:$B$3</c:f>
              <c:numCache>
                <c:formatCode>"$"#,##0_);[Red]\("$"#,##0\)</c:formatCode>
                <c:ptCount val="2"/>
                <c:pt idx="0">
                  <c:v>5644</c:v>
                </c:pt>
                <c:pt idx="1">
                  <c:v>8249</c:v>
                </c:pt>
              </c:numCache>
            </c:numRef>
          </c:val>
          <c:extLst>
            <c:ext xmlns:c16="http://schemas.microsoft.com/office/drawing/2014/chart" uri="{C3380CC4-5D6E-409C-BE32-E72D297353CC}">
              <c16:uniqueId val="{00000000-B977-44A3-8F5D-0A1D154E9C4B}"/>
            </c:ext>
          </c:extLst>
        </c:ser>
        <c:ser>
          <c:idx val="1"/>
          <c:order val="1"/>
          <c:tx>
            <c:strRef>
              <c:f>Sheet1!$C$1</c:f>
              <c:strCache>
                <c:ptCount val="1"/>
                <c:pt idx="0">
                  <c:v>MedTech</c:v>
                </c:pt>
              </c:strCache>
            </c:strRef>
          </c:tx>
          <c:spPr>
            <a:solidFill>
              <a:schemeClr val="accent2"/>
            </a:solidFill>
            <a:ln>
              <a:noFill/>
            </a:ln>
            <a:effectLst/>
          </c:spPr>
          <c:invertIfNegative val="0"/>
          <c:cat>
            <c:strRef>
              <c:f>Sheet1!$A$2:$A$3</c:f>
              <c:strCache>
                <c:ptCount val="2"/>
                <c:pt idx="0">
                  <c:v>International</c:v>
                </c:pt>
                <c:pt idx="1">
                  <c:v>USA</c:v>
                </c:pt>
              </c:strCache>
            </c:strRef>
          </c:cat>
          <c:val>
            <c:numRef>
              <c:f>Sheet1!$C$2:$C$3</c:f>
              <c:numCache>
                <c:formatCode>"$"#,##0_);[Red]\("$"#,##0\)</c:formatCode>
                <c:ptCount val="2"/>
                <c:pt idx="0">
                  <c:v>3711</c:v>
                </c:pt>
                <c:pt idx="1">
                  <c:v>3747</c:v>
                </c:pt>
              </c:numCache>
            </c:numRef>
          </c:val>
          <c:extLst>
            <c:ext xmlns:c16="http://schemas.microsoft.com/office/drawing/2014/chart" uri="{C3380CC4-5D6E-409C-BE32-E72D297353CC}">
              <c16:uniqueId val="{00000001-B977-44A3-8F5D-0A1D154E9C4B}"/>
            </c:ext>
          </c:extLst>
        </c:ser>
        <c:dLbls>
          <c:showLegendKey val="0"/>
          <c:showVal val="0"/>
          <c:showCatName val="0"/>
          <c:showSerName val="0"/>
          <c:showPercent val="0"/>
          <c:showBubbleSize val="0"/>
        </c:dLbls>
        <c:gapWidth val="219"/>
        <c:overlap val="-27"/>
        <c:axId val="1909708592"/>
        <c:axId val="1976593872"/>
      </c:barChart>
      <c:catAx>
        <c:axId val="190970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76593872"/>
        <c:crosses val="autoZero"/>
        <c:auto val="1"/>
        <c:lblAlgn val="ctr"/>
        <c:lblOffset val="100"/>
        <c:noMultiLvlLbl val="0"/>
      </c:catAx>
      <c:valAx>
        <c:axId val="197659387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0970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Map of Effect on Revenue Growth</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U.S. Innovative Medicine</c:v>
                </c:pt>
                <c:pt idx="1">
                  <c:v>International Med Tech</c:v>
                </c:pt>
                <c:pt idx="2">
                  <c:v>U.S. Med Tech</c:v>
                </c:pt>
                <c:pt idx="3">
                  <c:v>International Med Tech</c:v>
                </c:pt>
              </c:strCache>
            </c:strRef>
          </c:cat>
          <c:val>
            <c:numRef>
              <c:f>Sheet1!$B$2:$B$5</c:f>
              <c:numCache>
                <c:formatCode>0.00%</c:formatCode>
                <c:ptCount val="4"/>
                <c:pt idx="0">
                  <c:v>0.109</c:v>
                </c:pt>
                <c:pt idx="1">
                  <c:v>-2.3E-2</c:v>
                </c:pt>
                <c:pt idx="2">
                  <c:v>0.11600000000000001</c:v>
                </c:pt>
                <c:pt idx="3">
                  <c:v>8.3000000000000004E-2</c:v>
                </c:pt>
              </c:numCache>
            </c:numRef>
          </c:val>
          <c:extLst>
            <c:ext xmlns:c16="http://schemas.microsoft.com/office/drawing/2014/chart" uri="{C3380CC4-5D6E-409C-BE32-E72D297353CC}">
              <c16:uniqueId val="{00000000-5A79-48F3-BE68-3DBE6CDE091A}"/>
            </c:ext>
          </c:extLst>
        </c:ser>
        <c:dLbls>
          <c:showLegendKey val="0"/>
          <c:showVal val="0"/>
          <c:showCatName val="0"/>
          <c:showSerName val="0"/>
          <c:showPercent val="0"/>
          <c:showBubbleSize val="0"/>
        </c:dLbls>
        <c:gapWidth val="219"/>
        <c:overlap val="-27"/>
        <c:axId val="1909650512"/>
        <c:axId val="1976648432"/>
      </c:barChart>
      <c:catAx>
        <c:axId val="190965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76648432"/>
        <c:crosses val="autoZero"/>
        <c:auto val="1"/>
        <c:lblAlgn val="ctr"/>
        <c:lblOffset val="100"/>
        <c:noMultiLvlLbl val="0"/>
      </c:catAx>
      <c:valAx>
        <c:axId val="1976648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0965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Cost Drivers Q3 2023</a:t>
            </a:r>
          </a:p>
          <a:p>
            <a:pPr>
              <a:defRPr b="1"/>
            </a:pPr>
            <a:r>
              <a:rPr lang="en-US" b="1"/>
              <a:t>In Millions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Cost of Products</c:v>
                </c:pt>
                <c:pt idx="1">
                  <c:v>Selling, Marketing, and Administrative Expenses</c:v>
                </c:pt>
                <c:pt idx="2">
                  <c:v>Research and Development Expense</c:v>
                </c:pt>
                <c:pt idx="3">
                  <c:v>In process Research and Development Impairments</c:v>
                </c:pt>
                <c:pt idx="4">
                  <c:v>Interest (income) expense, Net</c:v>
                </c:pt>
                <c:pt idx="5">
                  <c:v>Other (income) Expense, Net</c:v>
                </c:pt>
                <c:pt idx="6">
                  <c:v>Restructing</c:v>
                </c:pt>
              </c:strCache>
            </c:strRef>
          </c:cat>
          <c:val>
            <c:numRef>
              <c:f>Sheet1!$B$2:$B$8</c:f>
              <c:numCache>
                <c:formatCode>"$"#,##0_);[Red]\("$"#,##0\)</c:formatCode>
                <c:ptCount val="7"/>
                <c:pt idx="0">
                  <c:v>6606</c:v>
                </c:pt>
                <c:pt idx="1">
                  <c:v>5400</c:v>
                </c:pt>
                <c:pt idx="2">
                  <c:v>3447</c:v>
                </c:pt>
                <c:pt idx="3">
                  <c:v>206</c:v>
                </c:pt>
                <c:pt idx="4">
                  <c:v>-182</c:v>
                </c:pt>
                <c:pt idx="5">
                  <c:v>499</c:v>
                </c:pt>
                <c:pt idx="6">
                  <c:v>158</c:v>
                </c:pt>
              </c:numCache>
            </c:numRef>
          </c:val>
          <c:extLst>
            <c:ext xmlns:c16="http://schemas.microsoft.com/office/drawing/2014/chart" uri="{C3380CC4-5D6E-409C-BE32-E72D297353CC}">
              <c16:uniqueId val="{00000000-3256-49F5-8E51-BF4247F45080}"/>
            </c:ext>
          </c:extLst>
        </c:ser>
        <c:dLbls>
          <c:showLegendKey val="0"/>
          <c:showVal val="0"/>
          <c:showCatName val="0"/>
          <c:showSerName val="0"/>
          <c:showPercent val="0"/>
          <c:showBubbleSize val="0"/>
        </c:dLbls>
        <c:gapWidth val="219"/>
        <c:overlap val="-27"/>
        <c:axId val="1658832639"/>
        <c:axId val="2004244144"/>
      </c:barChart>
      <c:catAx>
        <c:axId val="165883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4244144"/>
        <c:crosses val="autoZero"/>
        <c:auto val="1"/>
        <c:lblAlgn val="ctr"/>
        <c:lblOffset val="100"/>
        <c:noMultiLvlLbl val="0"/>
      </c:catAx>
      <c:valAx>
        <c:axId val="200424414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5883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Sheet1!$A$2:$A$6</cx:f>
        <cx:lvl ptCount="5">
          <cx:pt idx="0">Base Management Fees</cx:pt>
          <cx:pt idx="1">Franchise Management Fees</cx:pt>
          <cx:pt idx="2">Incentive Management Fees</cx:pt>
          <cx:pt idx="3">Contract Investment Amortization</cx:pt>
          <cx:pt idx="4">Owned, Leased, and Other Revenue</cx:pt>
        </cx:lvl>
      </cx:strDim>
      <cx:numDim type="val">
        <cx:f>Sheet1!$B$2:$B$6</cx:f>
        <cx:lvl ptCount="5" formatCode="0%">
          <cx:pt idx="0">0.11</cx:pt>
          <cx:pt idx="1">0.10000000000000001</cx:pt>
          <cx:pt idx="2">0.34999999999999998</cx:pt>
          <cx:pt idx="3">-0.050000000000000003</cx:pt>
          <cx:pt idx="4">0.050000000000000003</cx:pt>
        </cx:lvl>
      </cx:numDim>
    </cx:data>
  </cx:chartData>
  <cx:chart>
    <cx:title pos="t" align="ctr" overlay="0">
      <cx:tx>
        <cx:rich>
          <a:bodyPr spcFirstLastPara="1" vertOverflow="ellipsis" horzOverflow="overflow" wrap="square" lIns="0" tIns="0" rIns="0" bIns="0" anchor="ctr" anchorCtr="1"/>
          <a:lstStyle/>
          <a:p>
            <a:pPr algn="ctr" rtl="0">
              <a:defRPr b="1">
                <a:solidFill>
                  <a:schemeClr val="tx1"/>
                </a:solidFill>
              </a:defRPr>
            </a:pPr>
            <a:r>
              <a:rPr lang="en-US" sz="1400" b="1" i="0" u="none" strike="noStrike" baseline="0">
                <a:solidFill>
                  <a:schemeClr val="tx1"/>
                </a:solidFill>
                <a:latin typeface="Calibri" panose="020F0502020204030204"/>
              </a:rPr>
              <a:t>Map of Effect On Revenue Growth</a:t>
            </a:r>
          </a:p>
          <a:p>
            <a:pPr algn="ctr" rtl="0">
              <a:defRPr b="1">
                <a:solidFill>
                  <a:schemeClr val="tx1"/>
                </a:solidFill>
              </a:defRPr>
            </a:pPr>
            <a:endParaRPr lang="en-US" sz="1400" b="1" i="0" u="none" strike="noStrike" baseline="0">
              <a:solidFill>
                <a:schemeClr val="tx1"/>
              </a:solidFill>
              <a:latin typeface="Calibri" panose="020F0502020204030204"/>
            </a:endParaRPr>
          </a:p>
        </cx:rich>
      </cx:tx>
    </cx:title>
    <cx:plotArea>
      <cx:plotAreaRegion>
        <cx:series layoutId="waterfall" uniqueId="{FC746AE3-8D96-4468-8455-262667FE42D8}">
          <cx:tx>
            <cx:txData>
              <cx:f>Sheet1!$B$1</cx:f>
              <cx:v>Series1</cx:v>
            </cx:txData>
          </cx:tx>
          <cx:spPr>
            <a:solidFill>
              <a:schemeClr val="accent1"/>
            </a:solidFill>
          </cx:spPr>
          <cx:dataLabels pos="outEnd">
            <cx:txPr>
              <a:bodyPr vertOverflow="overflow" horzOverflow="overflow" wrap="square" lIns="0" tIns="0" rIns="0" bIns="0"/>
              <a:lstStyle/>
              <a:p>
                <a:pPr algn="ctr" rtl="0">
                  <a:defRPr sz="900" b="0" i="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solidFill>
                </a:endParaRPr>
              </a:p>
            </cx:txPr>
            <cx:visibility seriesName="0" categoryName="0" value="1"/>
          </cx:dataLabels>
          <cx:dataId val="0"/>
          <cx:layoutPr>
            <cx:visibility connectorLines="0"/>
            <cx:subtotals>
              <cx:idx val="0"/>
              <cx:idx val="4"/>
            </cx:subtotals>
          </cx:layoutPr>
        </cx:series>
      </cx:plotAreaRegion>
      <cx:axis id="0">
        <cx:catScaling gapWidth="0.5"/>
        <cx:tickLabels/>
        <cx:spPr>
          <a:noFill/>
          <a:ln w="0" cap="flat" cmpd="sng" algn="ctr">
            <a:solidFill>
              <a:schemeClr val="dk1"/>
            </a:solidFill>
            <a:prstDash val="solid"/>
            <a:miter lim="800000"/>
          </a:ln>
          <a:effectLst/>
        </cx:spPr>
        <cx:txPr>
          <a:bodyPr vertOverflow="overflow" horzOverflow="overflow" wrap="square" lIns="0" tIns="0" rIns="0" bIns="0"/>
          <a:lstStyle/>
          <a:p>
            <a:pPr algn="ctr" rtl="0">
              <a:defRPr sz="900" b="0" i="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solidFill>
            </a:endParaRPr>
          </a:p>
        </cx:txPr>
      </cx:axis>
      <cx:axis id="1">
        <cx:valScaling/>
        <cx:majorGridlines/>
        <cx:tickLabels/>
        <cx:txPr>
          <a:bodyPr vertOverflow="overflow" horzOverflow="overflow" wrap="square" lIns="0" tIns="0" rIns="0" bIns="0"/>
          <a:lstStyle/>
          <a:p>
            <a:pPr algn="ctr" rtl="0">
              <a:defRPr sz="900" b="0" i="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solidFill>
            </a:endParaRPr>
          </a:p>
        </cx:txPr>
      </cx:axis>
    </cx:plotArea>
  </cx:chart>
  <cx:spPr>
    <a:ln>
      <a:solidFill>
        <a:srgbClr val="0070C0"/>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codynikolaicall@gmail.com</dc:creator>
  <cp:keywords/>
  <dc:description/>
  <cp:lastModifiedBy>Shamla Yoosoof</cp:lastModifiedBy>
  <cp:revision>2</cp:revision>
  <dcterms:created xsi:type="dcterms:W3CDTF">2023-12-11T18:07:00Z</dcterms:created>
  <dcterms:modified xsi:type="dcterms:W3CDTF">2023-12-11T18:07:00Z</dcterms:modified>
</cp:coreProperties>
</file>