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BC0B455" w:rsidR="00B2118C" w:rsidRDefault="00512A5A">
      <w:r>
        <w:rPr>
          <w:noProof/>
        </w:rPr>
        <w:lastRenderedPageBreak/>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14B296E" w14:textId="77777777" w:rsidR="00571ED2" w:rsidRDefault="00571ED2" w:rsidP="00571ED2">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F67844B" w14:textId="77777777" w:rsidR="00571ED2" w:rsidRDefault="00571ED2" w:rsidP="00512A5A">
                            <w:pPr>
                              <w:spacing w:line="240" w:lineRule="auto"/>
                            </w:pP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">
                <v:textbo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14B296E" w14:textId="77777777" w:rsidR="00571ED2" w:rsidRDefault="00571ED2" w:rsidP="00571ED2">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F67844B" w14:textId="77777777" w:rsidR="00571ED2" w:rsidRDefault="00571ED2" w:rsidP="00512A5A">
                      <w:pPr>
                        <w:spacing w:line="240" w:lineRule="auto"/>
                      </w:pP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110C10A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7F9F4196" w14:textId="32703B45" w:rsidR="00571ED2" w:rsidRPr="00F6528D" w:rsidRDefault="00571ED2" w:rsidP="00017B2B">
                            <w:pPr>
                              <w:rPr>
                                <w:b/>
                                <w:bCs/>
                              </w:rPr>
                            </w:pPr>
                            <w:r w:rsidRPr="004C4770">
                              <w:rPr>
                                <w:b/>
                                <w:bCs/>
                                <w:highlight w:val="green"/>
                              </w:rPr>
                              <w:t xml:space="preserve">EBITDA margin has expanded by xx% in FY23 to USD xx </w:t>
                            </w:r>
                            <w:proofErr w:type="spellStart"/>
                            <w:r w:rsidRPr="004C4770">
                              <w:rPr>
                                <w:b/>
                                <w:bCs/>
                                <w:highlight w:val="green"/>
                              </w:rPr>
                              <w:t>mn</w:t>
                            </w:r>
                            <w:proofErr w:type="spellEnd"/>
                            <w:r w:rsidRPr="004C4770">
                              <w:rPr>
                                <w:b/>
                                <w:bCs/>
                                <w:highlight w:val="green"/>
                              </w:rPr>
                              <w:t xml:space="preserve">. </w:t>
                            </w:r>
                            <w:r w:rsidRPr="004C4770">
                              <w:rPr>
                                <w:b/>
                                <w:bCs/>
                                <w:highlight w:val="green"/>
                              </w:rPr>
                              <w:t>XX segments are expected to contribute towards the margin as a result of volume growth and efficient cost control by the company.</w:t>
                            </w:r>
                          </w:p>
                          <w:p w14:paraId="2D206951" w14:textId="67AD54E8"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7"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">
                <v:textbox>
                  <w:txbxContent>
                    <w:p w14:paraId="7F9F4196" w14:textId="32703B45" w:rsidR="00571ED2" w:rsidRPr="00F6528D" w:rsidRDefault="00571ED2" w:rsidP="00017B2B">
                      <w:pPr>
                        <w:rPr>
                          <w:b/>
                          <w:bCs/>
                        </w:rPr>
                      </w:pPr>
                      <w:r w:rsidRPr="004C4770">
                        <w:rPr>
                          <w:b/>
                          <w:bCs/>
                          <w:highlight w:val="green"/>
                        </w:rPr>
                        <w:t xml:space="preserve">EBITDA margin has expanded by xx% in FY23 to USD xx </w:t>
                      </w:r>
                      <w:proofErr w:type="spellStart"/>
                      <w:r w:rsidRPr="004C4770">
                        <w:rPr>
                          <w:b/>
                          <w:bCs/>
                          <w:highlight w:val="green"/>
                        </w:rPr>
                        <w:t>mn</w:t>
                      </w:r>
                      <w:proofErr w:type="spellEnd"/>
                      <w:r w:rsidRPr="004C4770">
                        <w:rPr>
                          <w:b/>
                          <w:bCs/>
                          <w:highlight w:val="green"/>
                        </w:rPr>
                        <w:t xml:space="preserve">. </w:t>
                      </w:r>
                      <w:r w:rsidRPr="004C4770">
                        <w:rPr>
                          <w:b/>
                          <w:bCs/>
                          <w:highlight w:val="green"/>
                        </w:rPr>
                        <w:t>XX segments are expected to contribute towards the margin as a result of volume growth and efficient cost control by the company.</w:t>
                      </w:r>
                    </w:p>
                    <w:p w14:paraId="2D206951" w14:textId="67AD54E8"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A03A19">
        <w:rPr>
          <w:noProof/>
        </w:rPr>
        <mc:AlternateContent>
          <mc:Choice Requires="wps">
            <w:drawing>
              <wp:anchor distT="45720" distB="45720" distL="114300" distR="114300" simplePos="0" relativeHeight="251666432" behindDoc="0" locked="0" layoutInCell="1" allowOverlap="1" wp14:anchorId="773CC498" wp14:editId="454C24A7">
                <wp:simplePos x="0" y="0"/>
                <wp:positionH relativeFrom="margin">
                  <wp:align>right</wp:align>
                </wp:positionH>
                <wp:positionV relativeFrom="paragraph">
                  <wp:posOffset>7839075</wp:posOffset>
                </wp:positionV>
                <wp:extent cx="3954780" cy="12801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280160"/>
                        </a:xfrm>
                        <a:prstGeom prst="rect">
                          <a:avLst/>
                        </a:prstGeom>
                        <a:solidFill>
                          <a:srgbClr val="FFFFFF"/>
                        </a:solidFill>
                        <a:ln w="9525">
                          <a:solidFill>
                            <a:srgbClr val="000000"/>
                          </a:solidFill>
                          <a:miter lim="800000"/>
                          <a:headEnd/>
                          <a:tailEnd/>
                        </a:ln>
                      </wps:spPr>
                      <wps:txbx>
                        <w:txbxContent>
                          <w:p w14:paraId="52F82067" w14:textId="21E87AE4" w:rsidR="00571ED2" w:rsidRPr="00F6528D" w:rsidRDefault="00571ED2" w:rsidP="00017B2B">
                            <w:pPr>
                              <w:rPr>
                                <w:highlight w:val="green"/>
                              </w:rPr>
                            </w:pPr>
                            <w:r w:rsidRPr="00F6528D">
                              <w:rPr>
                                <w:highlight w:val="green"/>
                              </w:rPr>
                              <w:t>Driven by strong revenue growth and EBIT margin expansion of xx bps (from xx% in FY22 to xx% in FY23 &amp; xx% in FY 24), the EPS is expected to grow by xx% in FY23 to USD xx.</w:t>
                            </w:r>
                          </w:p>
                          <w:p w14:paraId="3B72C68E" w14:textId="2F32B347" w:rsidR="00571ED2" w:rsidRDefault="00571ED2" w:rsidP="00017B2B">
                            <w:r w:rsidRPr="00F6528D">
                              <w:rPr>
                                <w:highlight w:val="green"/>
                              </w:rPr>
                              <w:t>Supported by a strong product line and market expansion through e-commerce sales, Nike’s stocks are expected grow</w:t>
                            </w:r>
                            <w:r w:rsidR="00F6528D" w:rsidRPr="00F6528D">
                              <w:rPr>
                                <w:highlight w:val="green"/>
                              </w:rPr>
                              <w:t xml:space="preserve"> by xx%.</w:t>
                            </w:r>
                          </w:p>
                          <w:p w14:paraId="1B23DB5F" w14:textId="738F13D1"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Capex on the other hand does </w:t>
                            </w:r>
                            <w:r w:rsidR="0055543A">
                              <w:t>not have a continuous increment and it is in their forecast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617.25pt;width:311.4pt;height:100.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">
                <v:textbox>
                  <w:txbxContent>
                    <w:p w14:paraId="52F82067" w14:textId="21E87AE4" w:rsidR="00571ED2" w:rsidRPr="00F6528D" w:rsidRDefault="00571ED2" w:rsidP="00017B2B">
                      <w:pPr>
                        <w:rPr>
                          <w:highlight w:val="green"/>
                        </w:rPr>
                      </w:pPr>
                      <w:r w:rsidRPr="00F6528D">
                        <w:rPr>
                          <w:highlight w:val="green"/>
                        </w:rPr>
                        <w:t>Driven by strong revenue growth and EBIT margin expansion of xx bps (from xx% in FY22 to xx% in FY23 &amp; xx% in FY 24), the EPS is expected to grow by xx% in FY23 to USD xx.</w:t>
                      </w:r>
                    </w:p>
                    <w:p w14:paraId="3B72C68E" w14:textId="2F32B347" w:rsidR="00571ED2" w:rsidRDefault="00571ED2" w:rsidP="00017B2B">
                      <w:r w:rsidRPr="00F6528D">
                        <w:rPr>
                          <w:highlight w:val="green"/>
                        </w:rPr>
                        <w:t>Supported by a strong product line and market expansion through e-commerce sales, Nike’s stocks are expected grow</w:t>
                      </w:r>
                      <w:r w:rsidR="00F6528D" w:rsidRPr="00F6528D">
                        <w:rPr>
                          <w:highlight w:val="green"/>
                        </w:rPr>
                        <w:t xml:space="preserve"> by xx%.</w:t>
                      </w:r>
                    </w:p>
                    <w:p w14:paraId="1B23DB5F" w14:textId="738F13D1"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Capex on the other hand does </w:t>
                      </w:r>
                      <w:r w:rsidR="0055543A">
                        <w:t>not have a continuous increment and it is in their forecast</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AD30FB2">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Default="0030032F" w:rsidP="00B92FD6">
                            <w:r>
                              <w:t>Also, they are expecting their Men’s and Women’s apparel sales to lead sales in apparel i</w:t>
                            </w:r>
                            <w:r w:rsidR="0028657C">
                              <w:t>n the coming as it has been happening</w:t>
                            </w:r>
                            <w:r>
                              <w:t xml:space="preserve"> in previous years.</w:t>
                            </w:r>
                          </w:p>
                          <w:p w14:paraId="3AD4ACFA" w14:textId="1848A85A" w:rsidR="00571ED2" w:rsidRDefault="00571ED2" w:rsidP="00571ED2">
                            <w:r w:rsidRPr="00101904">
                              <w:rPr>
                                <w:highlight w:val="green"/>
                              </w:rPr>
                              <w:t xml:space="preserve">Nike’s revenue is expected to grow </w:t>
                            </w:r>
                            <w:r>
                              <w:rPr>
                                <w:highlight w:val="green"/>
                              </w:rPr>
                              <w:t>at xx</w:t>
                            </w:r>
                            <w:r w:rsidRPr="00101904">
                              <w:rPr>
                                <w:highlight w:val="green"/>
                              </w:rPr>
                              <w:t xml:space="preserve"> rate </w:t>
                            </w:r>
                            <w:proofErr w:type="spellStart"/>
                            <w:r w:rsidRPr="00101904">
                              <w:rPr>
                                <w:highlight w:val="green"/>
                              </w:rPr>
                              <w:t>yoy</w:t>
                            </w:r>
                            <w:proofErr w:type="spellEnd"/>
                            <w:r w:rsidRPr="00101904">
                              <w:rPr>
                                <w:highlight w:val="green"/>
                              </w:rPr>
                              <w:t xml:space="preserve"> in FY23 to USD xx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Default="0030032F" w:rsidP="00B92FD6">
                      <w:r>
                        <w:t>Also, they are expecting their Men’s and Women’s apparel sales to lead sales in apparel i</w:t>
                      </w:r>
                      <w:r w:rsidR="0028657C">
                        <w:t>n the coming as it has been happening</w:t>
                      </w:r>
                      <w:r>
                        <w:t xml:space="preserve"> in previous years.</w:t>
                      </w:r>
                    </w:p>
                    <w:p w14:paraId="3AD4ACFA" w14:textId="1848A85A" w:rsidR="00571ED2" w:rsidRDefault="00571ED2" w:rsidP="00571ED2">
                      <w:r w:rsidRPr="00101904">
                        <w:rPr>
                          <w:highlight w:val="green"/>
                        </w:rPr>
                        <w:t xml:space="preserve">Nike’s revenue is expected to grow </w:t>
                      </w:r>
                      <w:r>
                        <w:rPr>
                          <w:highlight w:val="green"/>
                        </w:rPr>
                        <w:t>at xx</w:t>
                      </w:r>
                      <w:r w:rsidRPr="00101904">
                        <w:rPr>
                          <w:highlight w:val="green"/>
                        </w:rPr>
                        <w:t xml:space="preserve"> rate </w:t>
                      </w:r>
                      <w:proofErr w:type="spellStart"/>
                      <w:r w:rsidRPr="00101904">
                        <w:rPr>
                          <w:highlight w:val="green"/>
                        </w:rPr>
                        <w:t>yoy</w:t>
                      </w:r>
                      <w:proofErr w:type="spellEnd"/>
                      <w:r w:rsidRPr="00101904">
                        <w:rPr>
                          <w:highlight w:val="green"/>
                        </w:rPr>
                        <w:t xml:space="preserve"> in FY23 to USD xx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4D34" w14:textId="77777777" w:rsidR="001E6BCD" w:rsidRDefault="001E6BCD" w:rsidP="00862017">
      <w:pPr>
        <w:spacing w:after="0" w:line="240" w:lineRule="auto"/>
      </w:pPr>
      <w:r>
        <w:separator/>
      </w:r>
    </w:p>
  </w:endnote>
  <w:endnote w:type="continuationSeparator" w:id="0">
    <w:p w14:paraId="0C15663E" w14:textId="77777777" w:rsidR="001E6BCD" w:rsidRDefault="001E6BCD"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E6F2" w14:textId="77777777" w:rsidR="001E6BCD" w:rsidRDefault="001E6BCD" w:rsidP="00862017">
      <w:pPr>
        <w:spacing w:after="0" w:line="240" w:lineRule="auto"/>
      </w:pPr>
      <w:r>
        <w:separator/>
      </w:r>
    </w:p>
  </w:footnote>
  <w:footnote w:type="continuationSeparator" w:id="0">
    <w:p w14:paraId="45A430E4" w14:textId="77777777" w:rsidR="001E6BCD" w:rsidRDefault="001E6BCD" w:rsidP="00862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83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B"/>
    <w:rsid w:val="00017B2B"/>
    <w:rsid w:val="001105D6"/>
    <w:rsid w:val="001D7303"/>
    <w:rsid w:val="001E6644"/>
    <w:rsid w:val="001E6BCD"/>
    <w:rsid w:val="0028657C"/>
    <w:rsid w:val="002E305C"/>
    <w:rsid w:val="0030032F"/>
    <w:rsid w:val="003B7F5A"/>
    <w:rsid w:val="00512A5A"/>
    <w:rsid w:val="0055543A"/>
    <w:rsid w:val="00571ED2"/>
    <w:rsid w:val="00707124"/>
    <w:rsid w:val="008317D3"/>
    <w:rsid w:val="00835B7F"/>
    <w:rsid w:val="00862017"/>
    <w:rsid w:val="00965D59"/>
    <w:rsid w:val="00A03A19"/>
    <w:rsid w:val="00A6150D"/>
    <w:rsid w:val="00B2118C"/>
    <w:rsid w:val="00B720B0"/>
    <w:rsid w:val="00B92FD6"/>
    <w:rsid w:val="00D32C53"/>
    <w:rsid w:val="00E40B56"/>
    <w:rsid w:val="00ED7C1B"/>
    <w:rsid w:val="00F0611D"/>
    <w:rsid w:val="00F4210A"/>
    <w:rsid w:val="00F6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Shamla Yoosoof</cp:lastModifiedBy>
  <cp:revision>2</cp:revision>
  <dcterms:created xsi:type="dcterms:W3CDTF">2023-12-21T17:43:00Z</dcterms:created>
  <dcterms:modified xsi:type="dcterms:W3CDTF">2023-12-21T17:43:00Z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