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A2CE" w14:textId="41650131" w:rsidR="008220E1" w:rsidRDefault="00F17865" w:rsidP="00F17865">
      <w:pPr>
        <w:pStyle w:val="Heading1"/>
        <w:jc w:val="center"/>
      </w:pPr>
      <w:r>
        <w:t xml:space="preserve">Visa Inc. </w:t>
      </w:r>
    </w:p>
    <w:p w14:paraId="1B52E9AA" w14:textId="77777777" w:rsidR="00F17865" w:rsidRDefault="00F17865" w:rsidP="00F17865"/>
    <w:p w14:paraId="25EDC062" w14:textId="6B28FD03" w:rsidR="00F17865" w:rsidRDefault="009A40E7" w:rsidP="00F17865">
      <w:r>
        <w:t>Industry: Digital Payments</w:t>
      </w:r>
    </w:p>
    <w:p w14:paraId="12756F81" w14:textId="77D5C864" w:rsidR="009A40E7" w:rsidRDefault="009A40E7" w:rsidP="00F17865">
      <w:r>
        <w:t>Key Competitors: Paypal, Mastercard</w:t>
      </w:r>
    </w:p>
    <w:p w14:paraId="32A81CE5" w14:textId="6E7430CD" w:rsidR="008D5AB2" w:rsidRDefault="00363B2D" w:rsidP="00F17865">
      <w:r>
        <w:t>The</w:t>
      </w:r>
      <w:r w:rsidR="008D5AB2">
        <w:t xml:space="preserve"> main</w:t>
      </w:r>
      <w:r>
        <w:t xml:space="preserve"> reason both Paypal and Mastercard are the largest competitors of Visa is due to their </w:t>
      </w:r>
      <w:r w:rsidR="008D5AB2">
        <w:t>focus in similar areas whilst other large competitors have a more diverse area of operation</w:t>
      </w:r>
      <w:r w:rsidR="007544B4">
        <w:t xml:space="preserve">. </w:t>
      </w:r>
      <w:r w:rsidR="008D5AB2">
        <w:t xml:space="preserve">Both </w:t>
      </w:r>
      <w:proofErr w:type="spellStart"/>
      <w:r w:rsidR="008D5AB2">
        <w:t>Paypal</w:t>
      </w:r>
      <w:proofErr w:type="spellEnd"/>
      <w:r w:rsidR="008D5AB2">
        <w:t xml:space="preserve"> and Mastercard are also seen in a good light by investors with their market caps sat at $67.2 Billion and $397.7 Billion compared to Visa’s $532.1 Billion.</w:t>
      </w:r>
    </w:p>
    <w:p w14:paraId="2966FE71" w14:textId="138C04F5" w:rsidR="00F070EB" w:rsidRDefault="00F070EB" w:rsidP="00F17865"/>
    <w:p w14:paraId="512780AA" w14:textId="23E48FB6" w:rsidR="00F070EB" w:rsidRDefault="001859CE" w:rsidP="00F070EB">
      <w:r>
        <w:rPr>
          <w:noProof/>
        </w:rPr>
        <w:drawing>
          <wp:anchor distT="0" distB="0" distL="114300" distR="114300" simplePos="0" relativeHeight="251658240" behindDoc="1" locked="0" layoutInCell="1" allowOverlap="1" wp14:anchorId="77683BD0" wp14:editId="3ECC8306">
            <wp:simplePos x="0" y="0"/>
            <wp:positionH relativeFrom="column">
              <wp:posOffset>1933575</wp:posOffset>
            </wp:positionH>
            <wp:positionV relativeFrom="paragraph">
              <wp:posOffset>8255</wp:posOffset>
            </wp:positionV>
            <wp:extent cx="2238375" cy="2219325"/>
            <wp:effectExtent l="0" t="0" r="0" b="0"/>
            <wp:wrapTight wrapText="bothSides">
              <wp:wrapPolygon edited="0">
                <wp:start x="0" y="0"/>
                <wp:lineTo x="0" y="21507"/>
                <wp:lineTo x="21508" y="21507"/>
                <wp:lineTo x="21508" y="0"/>
                <wp:lineTo x="0" y="0"/>
              </wp:wrapPolygon>
            </wp:wrapTight>
            <wp:docPr id="14103599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6E629E">
        <w:rPr>
          <w:noProof/>
        </w:rPr>
        <w:drawing>
          <wp:anchor distT="0" distB="0" distL="114300" distR="114300" simplePos="0" relativeHeight="251661312" behindDoc="1" locked="0" layoutInCell="1" allowOverlap="1" wp14:anchorId="67E1E151" wp14:editId="5B0F0B60">
            <wp:simplePos x="0" y="0"/>
            <wp:positionH relativeFrom="column">
              <wp:posOffset>4178935</wp:posOffset>
            </wp:positionH>
            <wp:positionV relativeFrom="paragraph">
              <wp:posOffset>8255</wp:posOffset>
            </wp:positionV>
            <wp:extent cx="2276475" cy="2200275"/>
            <wp:effectExtent l="0" t="0" r="0" b="0"/>
            <wp:wrapTight wrapText="bothSides">
              <wp:wrapPolygon edited="0">
                <wp:start x="0" y="0"/>
                <wp:lineTo x="0" y="21506"/>
                <wp:lineTo x="21510" y="21506"/>
                <wp:lineTo x="21510" y="0"/>
                <wp:lineTo x="0" y="0"/>
              </wp:wrapPolygon>
            </wp:wrapTight>
            <wp:docPr id="120458945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F070EB">
        <w:t xml:space="preserve">Substitutes: </w:t>
      </w:r>
      <w:r w:rsidR="00F070EB">
        <w:tab/>
      </w:r>
    </w:p>
    <w:p w14:paraId="3AD2D527" w14:textId="746FA4D2" w:rsidR="00F070EB" w:rsidRDefault="00F070EB" w:rsidP="00F070EB">
      <w:pPr>
        <w:pStyle w:val="ListParagraph"/>
        <w:numPr>
          <w:ilvl w:val="0"/>
          <w:numId w:val="3"/>
        </w:numPr>
      </w:pPr>
      <w:r>
        <w:t>Cash</w:t>
      </w:r>
    </w:p>
    <w:p w14:paraId="538F9910" w14:textId="2E9B0865" w:rsidR="00F070EB" w:rsidRDefault="00F070EB" w:rsidP="00F070EB">
      <w:pPr>
        <w:pStyle w:val="ListParagraph"/>
        <w:numPr>
          <w:ilvl w:val="0"/>
          <w:numId w:val="3"/>
        </w:numPr>
      </w:pPr>
      <w:r>
        <w:t>Cheques</w:t>
      </w:r>
    </w:p>
    <w:p w14:paraId="0DE04BB5" w14:textId="63FE3011" w:rsidR="00F070EB" w:rsidRDefault="00F070EB" w:rsidP="00F070EB">
      <w:pPr>
        <w:pStyle w:val="ListParagraph"/>
        <w:numPr>
          <w:ilvl w:val="0"/>
          <w:numId w:val="3"/>
        </w:numPr>
      </w:pPr>
      <w:r>
        <w:t>Electronic payments</w:t>
      </w:r>
    </w:p>
    <w:p w14:paraId="01E5F5C2" w14:textId="6FE018B9" w:rsidR="00F070EB" w:rsidRDefault="00F070EB" w:rsidP="00F070EB">
      <w:pPr>
        <w:pStyle w:val="ListParagraph"/>
        <w:numPr>
          <w:ilvl w:val="0"/>
          <w:numId w:val="3"/>
        </w:numPr>
      </w:pPr>
      <w:r>
        <w:t xml:space="preserve">Virtual currency </w:t>
      </w:r>
    </w:p>
    <w:p w14:paraId="73C03FC7" w14:textId="0BCAF4CE" w:rsidR="00F070EB" w:rsidRDefault="00F070EB" w:rsidP="00F070EB">
      <w:pPr>
        <w:pStyle w:val="ListParagraph"/>
        <w:numPr>
          <w:ilvl w:val="0"/>
          <w:numId w:val="3"/>
        </w:numPr>
      </w:pPr>
      <w:r>
        <w:t xml:space="preserve">Digital </w:t>
      </w:r>
      <w:r w:rsidR="00AE7316">
        <w:t>Wallets</w:t>
      </w:r>
    </w:p>
    <w:p w14:paraId="1A87C864" w14:textId="29F577AF" w:rsidR="00AE7316" w:rsidRDefault="00AE7316" w:rsidP="00F070EB">
      <w:pPr>
        <w:pStyle w:val="ListParagraph"/>
        <w:numPr>
          <w:ilvl w:val="0"/>
          <w:numId w:val="3"/>
        </w:numPr>
      </w:pPr>
      <w:r>
        <w:t>Global/multi regional Networks</w:t>
      </w:r>
    </w:p>
    <w:p w14:paraId="2EE7659B" w14:textId="48D7E17C" w:rsidR="00AE7316" w:rsidRDefault="00AE7316" w:rsidP="00F070EB">
      <w:pPr>
        <w:pStyle w:val="ListParagraph"/>
        <w:numPr>
          <w:ilvl w:val="0"/>
          <w:numId w:val="3"/>
        </w:numPr>
      </w:pPr>
      <w:r>
        <w:t>Domestic and closed loop payment systems</w:t>
      </w:r>
    </w:p>
    <w:p w14:paraId="08AC6CBA" w14:textId="2D4C07E3" w:rsidR="00AE7316" w:rsidRDefault="001859CE" w:rsidP="00F070EB">
      <w:pPr>
        <w:pStyle w:val="ListParagraph"/>
        <w:numPr>
          <w:ilvl w:val="0"/>
          <w:numId w:val="3"/>
        </w:numPr>
      </w:pPr>
      <w:r>
        <w:rPr>
          <w:noProof/>
        </w:rPr>
        <w:drawing>
          <wp:anchor distT="0" distB="0" distL="114300" distR="114300" simplePos="0" relativeHeight="251660288" behindDoc="1" locked="0" layoutInCell="1" allowOverlap="1" wp14:anchorId="1DDE1430" wp14:editId="46CA21B8">
            <wp:simplePos x="0" y="0"/>
            <wp:positionH relativeFrom="column">
              <wp:posOffset>1892935</wp:posOffset>
            </wp:positionH>
            <wp:positionV relativeFrom="paragraph">
              <wp:posOffset>224155</wp:posOffset>
            </wp:positionV>
            <wp:extent cx="2276475" cy="2238375"/>
            <wp:effectExtent l="0" t="0" r="0" b="0"/>
            <wp:wrapTight wrapText="bothSides">
              <wp:wrapPolygon edited="0">
                <wp:start x="0" y="0"/>
                <wp:lineTo x="0" y="21508"/>
                <wp:lineTo x="21510" y="21508"/>
                <wp:lineTo x="21510" y="0"/>
                <wp:lineTo x="0" y="0"/>
              </wp:wrapPolygon>
            </wp:wrapTight>
            <wp:docPr id="102438574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AE7316">
        <w:t>Mobile channels</w:t>
      </w:r>
    </w:p>
    <w:p w14:paraId="18B3DF6A" w14:textId="2797A488" w:rsidR="00AE7316" w:rsidRDefault="001859CE" w:rsidP="00F070EB">
      <w:pPr>
        <w:pStyle w:val="ListParagraph"/>
        <w:numPr>
          <w:ilvl w:val="0"/>
          <w:numId w:val="3"/>
        </w:numPr>
      </w:pPr>
      <w:r>
        <w:rPr>
          <w:noProof/>
        </w:rPr>
        <w:drawing>
          <wp:anchor distT="0" distB="0" distL="114300" distR="114300" simplePos="0" relativeHeight="251659264" behindDoc="1" locked="0" layoutInCell="1" allowOverlap="1" wp14:anchorId="5906CEC5" wp14:editId="0F8BD232">
            <wp:simplePos x="0" y="0"/>
            <wp:positionH relativeFrom="column">
              <wp:posOffset>4161790</wp:posOffset>
            </wp:positionH>
            <wp:positionV relativeFrom="paragraph">
              <wp:posOffset>51435</wp:posOffset>
            </wp:positionV>
            <wp:extent cx="2257425" cy="2266950"/>
            <wp:effectExtent l="0" t="0" r="0" b="0"/>
            <wp:wrapTight wrapText="bothSides">
              <wp:wrapPolygon edited="0">
                <wp:start x="0" y="0"/>
                <wp:lineTo x="0" y="21418"/>
                <wp:lineTo x="21509" y="21418"/>
                <wp:lineTo x="21509" y="0"/>
                <wp:lineTo x="0" y="0"/>
              </wp:wrapPolygon>
            </wp:wrapTight>
            <wp:docPr id="20946055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00AE7316">
        <w:t>Ecommerce payment methods.</w:t>
      </w:r>
    </w:p>
    <w:p w14:paraId="37425EB0" w14:textId="2D536A6C" w:rsidR="009A40E7" w:rsidRDefault="009A40E7" w:rsidP="00F17865"/>
    <w:p w14:paraId="4EE3ACA8" w14:textId="4EC320B1" w:rsidR="009A40E7" w:rsidRDefault="009A40E7" w:rsidP="00F17865">
      <w:r>
        <w:t>Revenues:</w:t>
      </w:r>
    </w:p>
    <w:p w14:paraId="685AFC89" w14:textId="07ACD5AC" w:rsidR="009A40E7" w:rsidRDefault="009A40E7" w:rsidP="00F17865">
      <w:r>
        <w:t xml:space="preserve">The 4 types of revenue that Visa produce </w:t>
      </w:r>
      <w:r w:rsidR="00A8668F">
        <w:t>is</w:t>
      </w:r>
      <w:r>
        <w:t xml:space="preserve">: Service, Data processing, </w:t>
      </w:r>
      <w:proofErr w:type="gramStart"/>
      <w:r>
        <w:t>International</w:t>
      </w:r>
      <w:proofErr w:type="gramEnd"/>
      <w:r>
        <w:t xml:space="preserve"> </w:t>
      </w:r>
      <w:r w:rsidR="00AE7316">
        <w:t>transactions</w:t>
      </w:r>
      <w:r>
        <w:t xml:space="preserve"> and other</w:t>
      </w:r>
      <w:r w:rsidR="000C1254">
        <w:t xml:space="preserve">. </w:t>
      </w:r>
      <w:r>
        <w:t xml:space="preserve">Service revenues are related to the services provided by Visa to customers to aid them in the usage of their systems, Fees relating to payment </w:t>
      </w:r>
      <w:r w:rsidR="00AE7316">
        <w:t>volumes.</w:t>
      </w:r>
      <w:r w:rsidR="000C1254">
        <w:t xml:space="preserve"> </w:t>
      </w:r>
      <w:r>
        <w:t>Service revenues brought in $14.8 Billion in 2023</w:t>
      </w:r>
      <w:r w:rsidR="000C1254">
        <w:t>.</w:t>
      </w:r>
    </w:p>
    <w:p w14:paraId="6326D9C0" w14:textId="2E47151B" w:rsidR="00363B2D" w:rsidRDefault="009A40E7" w:rsidP="00F17865">
      <w:r>
        <w:t xml:space="preserve">Data processing revenues are earned from authorising, </w:t>
      </w:r>
      <w:proofErr w:type="gramStart"/>
      <w:r>
        <w:t>clearing</w:t>
      </w:r>
      <w:proofErr w:type="gramEnd"/>
      <w:r>
        <w:t xml:space="preserve"> and settling transactions, value adding services relating to </w:t>
      </w:r>
      <w:r w:rsidR="00363B2D">
        <w:t>issuing, accepting, risk and identifying solutions along with network access, maintenance and support that facilitate transactions and info processing.</w:t>
      </w:r>
      <w:r w:rsidR="000C1254">
        <w:t xml:space="preserve"> </w:t>
      </w:r>
      <w:r w:rsidR="00363B2D">
        <w:t>Data processing revenues totalled $16 Billion in 2023</w:t>
      </w:r>
      <w:r w:rsidR="000C1254">
        <w:t>.</w:t>
      </w:r>
    </w:p>
    <w:p w14:paraId="47F052AE" w14:textId="4442259A" w:rsidR="00363B2D" w:rsidRDefault="00363B2D" w:rsidP="00F17865">
      <w:r>
        <w:t>International Transactions revenue comes from international transactions which bring in data processing and service revenues along with currency dealings</w:t>
      </w:r>
      <w:r w:rsidR="000C1254">
        <w:t xml:space="preserve">. </w:t>
      </w:r>
      <w:r>
        <w:t>International Transactions brought in $11.6 Billion in 2023</w:t>
      </w:r>
      <w:r w:rsidR="000C1254">
        <w:t>.</w:t>
      </w:r>
    </w:p>
    <w:p w14:paraId="69505FDC" w14:textId="38A95A70" w:rsidR="00A1387E" w:rsidRDefault="00D25600" w:rsidP="00F17865">
      <w:r>
        <w:rPr>
          <w:noProof/>
        </w:rPr>
        <w:lastRenderedPageBreak/>
        <w:drawing>
          <wp:anchor distT="0" distB="0" distL="114300" distR="114300" simplePos="0" relativeHeight="251662336" behindDoc="0" locked="0" layoutInCell="1" allowOverlap="1" wp14:anchorId="66202CCB" wp14:editId="4A64FD61">
            <wp:simplePos x="0" y="0"/>
            <wp:positionH relativeFrom="column">
              <wp:posOffset>0</wp:posOffset>
            </wp:positionH>
            <wp:positionV relativeFrom="paragraph">
              <wp:posOffset>866775</wp:posOffset>
            </wp:positionV>
            <wp:extent cx="5734050" cy="2524125"/>
            <wp:effectExtent l="0" t="0" r="0" b="0"/>
            <wp:wrapTopAndBottom/>
            <wp:docPr id="100158408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363B2D">
        <w:t xml:space="preserve">Other income comes from value added from advising, marketing and certain card benefits, licensing fees for the visa brand as well as fees for account holder </w:t>
      </w:r>
      <w:proofErr w:type="gramStart"/>
      <w:r w:rsidR="00363B2D">
        <w:t>licensing ,certification</w:t>
      </w:r>
      <w:proofErr w:type="gramEnd"/>
      <w:r w:rsidR="00363B2D">
        <w:t xml:space="preserve"> and services.</w:t>
      </w:r>
      <w:r w:rsidR="000C1254">
        <w:t xml:space="preserve"> </w:t>
      </w:r>
      <w:r w:rsidR="00363B2D">
        <w:t xml:space="preserve">Other income </w:t>
      </w:r>
      <w:r w:rsidR="00AE7316">
        <w:t>totalled</w:t>
      </w:r>
      <w:r w:rsidR="00363B2D">
        <w:t xml:space="preserve"> $2.4 Billion in 2023</w:t>
      </w:r>
      <w:r w:rsidR="00346494">
        <w:t xml:space="preserve">. </w:t>
      </w:r>
      <w:r w:rsidR="00D17680">
        <w:t>International Revenue</w:t>
      </w:r>
      <w:r w:rsidR="00346494">
        <w:t>s</w:t>
      </w:r>
      <w:r w:rsidR="00D17680">
        <w:t xml:space="preserve"> slightly higher at $18.5 Billion compared to the $</w:t>
      </w:r>
      <w:r w:rsidR="004B4E39">
        <w:t>14.1 Billion of domestic in 2023.</w:t>
      </w:r>
    </w:p>
    <w:p w14:paraId="13DA9BDB" w14:textId="77777777" w:rsidR="00385260" w:rsidRDefault="00385260" w:rsidP="00F17865"/>
    <w:p w14:paraId="0D4EDB01" w14:textId="77777777" w:rsidR="00385260" w:rsidRPr="009A1195" w:rsidRDefault="00385260" w:rsidP="00385260">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25347C9F" w14:textId="77777777" w:rsidR="00385260" w:rsidRDefault="00385260" w:rsidP="00385260">
      <w:pPr>
        <w:ind w:left="360"/>
      </w:pPr>
      <w:r w:rsidRPr="00DC04B7">
        <w:rPr>
          <w:rFonts w:cs="Calibri"/>
          <w:shd w:val="clear" w:color="auto" w:fill="00FF00"/>
        </w:rPr>
        <w:t>Revenue per transaction * transaction volume.</w:t>
      </w:r>
      <w:r w:rsidRPr="00DC04B7">
        <w:rPr>
          <w:rFonts w:cs="Calibri"/>
        </w:rPr>
        <w:t xml:space="preserve"> </w:t>
      </w:r>
    </w:p>
    <w:p w14:paraId="699DAFA2" w14:textId="77777777" w:rsidR="00385260" w:rsidRPr="00044299" w:rsidRDefault="00385260" w:rsidP="00385260">
      <w:pPr>
        <w:ind w:left="360"/>
        <w:rPr>
          <w:rFonts w:cs="Calibri"/>
          <w:shd w:val="clear" w:color="auto" w:fill="00FF00"/>
        </w:rPr>
      </w:pPr>
      <w:r w:rsidRPr="00DC04B7">
        <w:rPr>
          <w:rFonts w:cs="Calibri"/>
          <w:shd w:val="clear" w:color="auto" w:fill="00FF00"/>
        </w:rPr>
        <w:t xml:space="preserve">Based on payments volume and number of transactions, Visa is one of the world’s largest electronic payments </w:t>
      </w:r>
      <w:proofErr w:type="gramStart"/>
      <w:r w:rsidRPr="00DC04B7">
        <w:rPr>
          <w:rFonts w:cs="Calibri"/>
          <w:shd w:val="clear" w:color="auto" w:fill="00FF00"/>
        </w:rPr>
        <w:t>system</w:t>
      </w:r>
      <w:proofErr w:type="gramEnd"/>
      <w:r w:rsidRPr="00DC04B7">
        <w:rPr>
          <w:rFonts w:cs="Calibri"/>
          <w:shd w:val="clear" w:color="auto" w:fill="00FF00"/>
        </w:rPr>
        <w:t>.</w:t>
      </w:r>
    </w:p>
    <w:p w14:paraId="60508D70" w14:textId="77777777" w:rsidR="00385260" w:rsidRDefault="00385260" w:rsidP="00F17865"/>
    <w:p w14:paraId="729F52C9" w14:textId="77777777" w:rsidR="001F221A" w:rsidRDefault="001F221A" w:rsidP="001F221A">
      <w:r>
        <w:t>The table below shows how much of the total revenue each of the revenue stream accumulated excluding the expense from client incentives.</w:t>
      </w:r>
    </w:p>
    <w:p w14:paraId="313A75AF" w14:textId="4D011499" w:rsidR="00A1387E" w:rsidRDefault="00A1387E" w:rsidP="00F17865">
      <w:r>
        <w:t>Revenue Drivers include:</w:t>
      </w:r>
    </w:p>
    <w:p w14:paraId="5F9F5603" w14:textId="1BE761F9" w:rsidR="00A1387E" w:rsidRDefault="00A1387E" w:rsidP="00A1387E">
      <w:pPr>
        <w:pStyle w:val="ListParagraph"/>
        <w:numPr>
          <w:ilvl w:val="0"/>
          <w:numId w:val="4"/>
        </w:numPr>
      </w:pPr>
      <w:r>
        <w:t xml:space="preserve">Lower growth due to higher spending on customer incentives </w:t>
      </w:r>
    </w:p>
    <w:p w14:paraId="67D69141" w14:textId="7B0128AE" w:rsidR="002C7664" w:rsidRDefault="002C7664" w:rsidP="00A1387E">
      <w:pPr>
        <w:pStyle w:val="ListParagraph"/>
        <w:numPr>
          <w:ilvl w:val="0"/>
          <w:numId w:val="4"/>
        </w:numPr>
      </w:pPr>
      <w:r>
        <w:t xml:space="preserve">Changes in USD currency strength against other </w:t>
      </w:r>
      <w:r w:rsidR="002826A9">
        <w:t>currencies</w:t>
      </w:r>
      <w:r w:rsidR="00E86247">
        <w:t xml:space="preserve"> (</w:t>
      </w:r>
      <w:r w:rsidR="00E355D6">
        <w:t>-1.5% to growth in 2023)</w:t>
      </w:r>
    </w:p>
    <w:p w14:paraId="2F91D417" w14:textId="1F3837E9" w:rsidR="00E355D6" w:rsidRDefault="00B46E4B" w:rsidP="00A1387E">
      <w:pPr>
        <w:pStyle w:val="ListParagraph"/>
        <w:numPr>
          <w:ilvl w:val="0"/>
          <w:numId w:val="4"/>
        </w:numPr>
      </w:pPr>
      <w:r>
        <w:t>Number of transactions occurring up by 10%</w:t>
      </w:r>
    </w:p>
    <w:p w14:paraId="18E8915D" w14:textId="43643AF1" w:rsidR="00111993" w:rsidRDefault="00B46E4B" w:rsidP="00111993">
      <w:pPr>
        <w:pStyle w:val="ListParagraph"/>
        <w:numPr>
          <w:ilvl w:val="0"/>
          <w:numId w:val="4"/>
        </w:numPr>
      </w:pPr>
      <w:r>
        <w:t xml:space="preserve">Increase in </w:t>
      </w:r>
      <w:r w:rsidR="00111993">
        <w:t>volume</w:t>
      </w:r>
      <w:r>
        <w:t xml:space="preserve"> of transactions </w:t>
      </w:r>
      <w:r w:rsidR="00111993">
        <w:t>occurring both nationally and internationally 5% and 23%</w:t>
      </w:r>
    </w:p>
    <w:p w14:paraId="78FC27CB" w14:textId="5982535F" w:rsidR="00E9384B" w:rsidRDefault="00227B36" w:rsidP="00E9384B">
      <w:pPr>
        <w:pStyle w:val="ListParagraph"/>
        <w:numPr>
          <w:ilvl w:val="0"/>
          <w:numId w:val="4"/>
        </w:numPr>
      </w:pPr>
      <w:r>
        <w:t>Increase of services used by current customers.</w:t>
      </w:r>
    </w:p>
    <w:p w14:paraId="58D62AD5" w14:textId="2E89B330" w:rsidR="00DC0AEF" w:rsidRDefault="00DC0AEF" w:rsidP="00E9384B">
      <w:r>
        <w:t>Expenses:</w:t>
      </w:r>
    </w:p>
    <w:p w14:paraId="53F8F249" w14:textId="63989E21" w:rsidR="00F14B42" w:rsidRDefault="00502B1F" w:rsidP="00E9384B">
      <w:proofErr w:type="gramStart"/>
      <w:r>
        <w:t xml:space="preserve">Personnel  </w:t>
      </w:r>
      <w:r w:rsidR="00232432">
        <w:t>expenses</w:t>
      </w:r>
      <w:proofErr w:type="gramEnd"/>
      <w:r w:rsidR="00232432">
        <w:t xml:space="preserve"> </w:t>
      </w:r>
      <w:r>
        <w:t xml:space="preserve">are from </w:t>
      </w:r>
      <w:r w:rsidR="0016013A">
        <w:t xml:space="preserve">salaries, employee benefits, incentive compensation, share based compensation and </w:t>
      </w:r>
      <w:r w:rsidR="00EF1B78">
        <w:t>contractor expenses.</w:t>
      </w:r>
      <w:r w:rsidR="00332FC9">
        <w:t xml:space="preserve"> </w:t>
      </w:r>
      <w:r w:rsidR="00AC68F6">
        <w:t>Pers</w:t>
      </w:r>
      <w:r w:rsidR="002540FC">
        <w:t>onnel expenses totalled</w:t>
      </w:r>
      <w:r w:rsidR="00F14B42">
        <w:t xml:space="preserve"> $5.8 </w:t>
      </w:r>
      <w:proofErr w:type="gramStart"/>
      <w:r w:rsidR="00F14B42">
        <w:t>Billion</w:t>
      </w:r>
      <w:proofErr w:type="gramEnd"/>
    </w:p>
    <w:p w14:paraId="726A0A9F" w14:textId="3B9D12B1" w:rsidR="00BF117C" w:rsidRDefault="00873E47" w:rsidP="00E9384B">
      <w:r>
        <w:t xml:space="preserve">Marketing expenses include </w:t>
      </w:r>
      <w:r w:rsidR="00E0487A">
        <w:t>those that are associated with marketing campaigns along and advertising.</w:t>
      </w:r>
      <w:r w:rsidR="00332FC9">
        <w:t xml:space="preserve"> </w:t>
      </w:r>
      <w:r w:rsidR="00BF117C">
        <w:t>Sponsorships</w:t>
      </w:r>
      <w:r w:rsidR="00E0487A">
        <w:t xml:space="preserve"> and </w:t>
      </w:r>
      <w:r w:rsidR="00BF117C">
        <w:t>other related promotions as well as client marketing.</w:t>
      </w:r>
      <w:r w:rsidR="00332FC9">
        <w:t xml:space="preserve"> </w:t>
      </w:r>
      <w:r w:rsidR="00BF117C">
        <w:t>Marketing Expenses totalled $1.3 Billion in 2023</w:t>
      </w:r>
    </w:p>
    <w:p w14:paraId="65445E9B" w14:textId="77777777" w:rsidR="00332FC9" w:rsidRDefault="00704D02" w:rsidP="00E9384B">
      <w:r>
        <w:lastRenderedPageBreak/>
        <w:t xml:space="preserve">Network and processing costs are those associated with </w:t>
      </w:r>
      <w:r w:rsidR="00721874">
        <w:t>operating the processing network this includes the maintenance and equipment rental</w:t>
      </w:r>
      <w:r w:rsidR="00F55264">
        <w:t xml:space="preserve">. The fees for data processing fall under this </w:t>
      </w:r>
      <w:r w:rsidR="00816004">
        <w:t>as well</w:t>
      </w:r>
      <w:r w:rsidR="00F55264">
        <w:t>.</w:t>
      </w:r>
      <w:r w:rsidR="00332FC9">
        <w:t xml:space="preserve"> </w:t>
      </w:r>
      <w:r w:rsidR="00F55264">
        <w:t>The costs for Network and Processing totalled $</w:t>
      </w:r>
      <w:r w:rsidR="00895A4D">
        <w:t>736 Million</w:t>
      </w:r>
      <w:r w:rsidR="00816004">
        <w:t>.</w:t>
      </w:r>
    </w:p>
    <w:p w14:paraId="5F60249D" w14:textId="737C8BE8" w:rsidR="008B2FCE" w:rsidRDefault="00341DC0" w:rsidP="00227B36">
      <w:r>
        <w:t xml:space="preserve">Professional Fees are those based around legal and </w:t>
      </w:r>
      <w:r w:rsidR="00DF389B">
        <w:t>consulting</w:t>
      </w:r>
      <w:r>
        <w:t xml:space="preserve"> that are required as </w:t>
      </w:r>
      <w:r w:rsidR="00DF389B">
        <w:t>well as other undefined professional services.</w:t>
      </w:r>
      <w:r w:rsidR="00332FC9">
        <w:t xml:space="preserve"> </w:t>
      </w:r>
      <w:r w:rsidR="00DF389B">
        <w:t>Professional fees total $</w:t>
      </w:r>
      <w:r w:rsidR="008B2FCE">
        <w:t>545 Million.</w:t>
      </w:r>
    </w:p>
    <w:p w14:paraId="594D4064" w14:textId="33AFA13F" w:rsidR="0001128D" w:rsidRDefault="008B2FCE" w:rsidP="00227B36">
      <w:r>
        <w:t>General and Admin Fees include those surrounding mainly card benefits (</w:t>
      </w:r>
      <w:r w:rsidR="00905F29">
        <w:t>costs associated with airport lounge access, extended cardholder protection and concierge services)</w:t>
      </w:r>
      <w:r w:rsidR="00DD6696">
        <w:t xml:space="preserve">, facilities costs, travel and meeting expenses, foreign exchange </w:t>
      </w:r>
      <w:r w:rsidR="00BF1ACA">
        <w:t>gains and losses along with other supportive corporate expenses.</w:t>
      </w:r>
      <w:r w:rsidR="00332FC9">
        <w:t xml:space="preserve"> </w:t>
      </w:r>
      <w:r w:rsidR="00BF1ACA">
        <w:t>General and administrative costs incurred totalled $1.</w:t>
      </w:r>
      <w:r w:rsidR="0001128D">
        <w:t>3 Billion in 2023</w:t>
      </w:r>
      <w:r w:rsidR="00332FC9">
        <w:t>.</w:t>
      </w:r>
    </w:p>
    <w:p w14:paraId="13EE2A0F" w14:textId="5974CEC5" w:rsidR="00AF6732" w:rsidRDefault="0001128D" w:rsidP="00227B36">
      <w:r>
        <w:t xml:space="preserve">Litigation Provision is outlined as an operating expense and started to be incurred in 2022 and is based on litigation </w:t>
      </w:r>
      <w:r w:rsidR="00AF6732">
        <w:t>cases and is outlined by the advice of the counsel.</w:t>
      </w:r>
      <w:r w:rsidR="00332FC9">
        <w:t xml:space="preserve"> </w:t>
      </w:r>
      <w:r w:rsidR="00AF6732">
        <w:t>Litigation costs reached $927 Million.</w:t>
      </w:r>
    </w:p>
    <w:p w14:paraId="11C5BA15" w14:textId="7CE3D9F0" w:rsidR="0019661B" w:rsidRDefault="00FB37EB" w:rsidP="00227B36">
      <w:r>
        <w:rPr>
          <w:noProof/>
        </w:rPr>
        <w:drawing>
          <wp:inline distT="0" distB="0" distL="0" distR="0" wp14:anchorId="632FDB55" wp14:editId="782B2B40">
            <wp:extent cx="6305550" cy="2590800"/>
            <wp:effectExtent l="0" t="0" r="0" b="0"/>
            <wp:docPr id="45317084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D61EAE" w14:textId="606C2027" w:rsidR="0019661B" w:rsidRDefault="0019661B" w:rsidP="00227B36">
      <w:r>
        <w:t>Industry</w:t>
      </w:r>
      <w:r w:rsidR="000647DC">
        <w:t xml:space="preserve"> Trends:</w:t>
      </w:r>
    </w:p>
    <w:p w14:paraId="2D253BCC" w14:textId="5B0CE5F7" w:rsidR="000647DC" w:rsidRDefault="002A4CC2" w:rsidP="00227B36">
      <w:r>
        <w:t>An increasing number of</w:t>
      </w:r>
      <w:r w:rsidR="000647DC">
        <w:t xml:space="preserve"> customers are shying away from going into stores to make their purchases instead going online which means more likely for them to use </w:t>
      </w:r>
      <w:r w:rsidR="0084753C">
        <w:t>digital payments systems</w:t>
      </w:r>
      <w:r w:rsidR="00B64FA6">
        <w:t xml:space="preserve"> this in turn will increase revenues.</w:t>
      </w:r>
    </w:p>
    <w:p w14:paraId="27BED78B" w14:textId="2210A92A" w:rsidR="00FF4970" w:rsidRDefault="00F01274" w:rsidP="00227B36">
      <w:r>
        <w:t>There are</w:t>
      </w:r>
      <w:r w:rsidR="000E081C">
        <w:t xml:space="preserve"> </w:t>
      </w:r>
      <w:r w:rsidR="009A4FA5">
        <w:t>new methods</w:t>
      </w:r>
      <w:r w:rsidR="000E081C">
        <w:t xml:space="preserve"> to pay another person or company as listed in the other substitutes</w:t>
      </w:r>
      <w:r w:rsidR="00787EA5">
        <w:t xml:space="preserve"> this could lead to lower revenues as existing and potential customers opt for different payment methods.</w:t>
      </w:r>
    </w:p>
    <w:p w14:paraId="13FDEC1B" w14:textId="1BAED1C8" w:rsidR="002365BD" w:rsidRDefault="00304154" w:rsidP="00227B36">
      <w:r>
        <w:t>Fintech companies that are creating new digital payments systems or</w:t>
      </w:r>
      <w:r w:rsidR="00231B37">
        <w:t xml:space="preserve"> networks</w:t>
      </w:r>
      <w:r>
        <w:t xml:space="preserve"> that aid these systems are </w:t>
      </w:r>
      <w:r w:rsidR="00FD5139">
        <w:t xml:space="preserve">either </w:t>
      </w:r>
      <w:r w:rsidR="00231B37">
        <w:t>being</w:t>
      </w:r>
      <w:r w:rsidR="00FD5139">
        <w:t xml:space="preserve"> purchased by or merged with digital payments companies. Those who fail </w:t>
      </w:r>
      <w:proofErr w:type="gramStart"/>
      <w:r w:rsidR="00FD5139">
        <w:t xml:space="preserve">to </w:t>
      </w:r>
      <w:r w:rsidR="00467738">
        <w:t xml:space="preserve"> create</w:t>
      </w:r>
      <w:proofErr w:type="gramEnd"/>
      <w:r w:rsidR="00467738">
        <w:t xml:space="preserve"> external relationships</w:t>
      </w:r>
      <w:r w:rsidR="00B80E70">
        <w:t xml:space="preserve"> could  fall behind</w:t>
      </w:r>
      <w:r w:rsidR="005C3070">
        <w:t>. Resulting in</w:t>
      </w:r>
      <w:r w:rsidR="00990C63">
        <w:t xml:space="preserve"> a drop in revenues and potential increase in costs as companies spend more </w:t>
      </w:r>
      <w:r w:rsidR="00CF6884">
        <w:t>to</w:t>
      </w:r>
      <w:r w:rsidR="00990C63">
        <w:t xml:space="preserve"> </w:t>
      </w:r>
      <w:r w:rsidR="00CD10F4">
        <w:t>increase</w:t>
      </w:r>
      <w:r w:rsidR="00CF6884">
        <w:t xml:space="preserve"> their</w:t>
      </w:r>
      <w:r w:rsidR="00CD10F4">
        <w:t xml:space="preserve"> customer base.</w:t>
      </w:r>
    </w:p>
    <w:p w14:paraId="58C2A126" w14:textId="3006E7FD" w:rsidR="000C4A31" w:rsidRDefault="00956F0B" w:rsidP="00227B36">
      <w:r>
        <w:t xml:space="preserve">Technologies are </w:t>
      </w:r>
      <w:r w:rsidR="008D416E">
        <w:t>evolving making</w:t>
      </w:r>
      <w:r>
        <w:t xml:space="preserve"> more efficient or convenient</w:t>
      </w:r>
      <w:r w:rsidR="00EF4D34">
        <w:t xml:space="preserve"> systems</w:t>
      </w:r>
      <w:r>
        <w:t xml:space="preserve"> for </w:t>
      </w:r>
      <w:r w:rsidR="001A39C5">
        <w:t xml:space="preserve">customers those who can’t adapt to the industry environment will </w:t>
      </w:r>
      <w:r w:rsidR="00EF4D34">
        <w:t>struggle</w:t>
      </w:r>
      <w:r w:rsidR="001A39C5">
        <w:t>.</w:t>
      </w:r>
      <w:r w:rsidR="00427BBB">
        <w:t xml:space="preserve"> </w:t>
      </w:r>
      <w:r w:rsidR="007B08D0">
        <w:t>C</w:t>
      </w:r>
      <w:r w:rsidR="000C4A31">
        <w:t>onsistent adaptation</w:t>
      </w:r>
      <w:r w:rsidR="00220A29">
        <w:t xml:space="preserve"> inflates</w:t>
      </w:r>
      <w:r w:rsidR="000C4A31">
        <w:t xml:space="preserve"> research costs</w:t>
      </w:r>
      <w:r w:rsidR="00EF4D34">
        <w:t xml:space="preserve"> </w:t>
      </w:r>
      <w:r w:rsidR="000C4A31">
        <w:t xml:space="preserve">to </w:t>
      </w:r>
      <w:r w:rsidR="00F01274">
        <w:t>however,</w:t>
      </w:r>
      <w:r w:rsidR="000C4A31">
        <w:t xml:space="preserve"> failure to keep up to date will cause customers to go elsewhere.</w:t>
      </w:r>
    </w:p>
    <w:p w14:paraId="2DA4749B" w14:textId="361F78C9" w:rsidR="001A39C5" w:rsidRDefault="001A39C5" w:rsidP="00227B36">
      <w:r>
        <w:t xml:space="preserve">Consumer behaviours are changing as </w:t>
      </w:r>
      <w:r w:rsidR="00CC4B37">
        <w:t>people are using a more diverse set of payment methods than ever before</w:t>
      </w:r>
      <w:r w:rsidR="000911F9">
        <w:t xml:space="preserve"> and looks to continue growing and </w:t>
      </w:r>
      <w:r w:rsidR="008A1BCE">
        <w:t>diversify further</w:t>
      </w:r>
      <w:r w:rsidR="007C7271">
        <w:t xml:space="preserve"> this </w:t>
      </w:r>
      <w:r w:rsidR="00F142EA">
        <w:t>means</w:t>
      </w:r>
      <w:r w:rsidR="007C7271">
        <w:t xml:space="preserve"> that keeping customers </w:t>
      </w:r>
      <w:r w:rsidR="00F142EA">
        <w:t>is</w:t>
      </w:r>
      <w:r w:rsidR="007C7271">
        <w:t xml:space="preserve"> requiring more incentives which reduces net revenues</w:t>
      </w:r>
      <w:r w:rsidR="00F142EA">
        <w:t>.</w:t>
      </w:r>
    </w:p>
    <w:p w14:paraId="25B40029" w14:textId="3AE15430" w:rsidR="00A87CAA" w:rsidRDefault="00F142EA" w:rsidP="00227B36">
      <w:r>
        <w:lastRenderedPageBreak/>
        <w:t>Regulations</w:t>
      </w:r>
      <w:r w:rsidR="008A1BCE">
        <w:t xml:space="preserve"> </w:t>
      </w:r>
      <w:r>
        <w:t>a</w:t>
      </w:r>
      <w:r w:rsidR="008A1BCE">
        <w:t>round the digital payments industry are becoming more restrictive.</w:t>
      </w:r>
      <w:r w:rsidR="00A87CAA">
        <w:t xml:space="preserve"> This includes which countries certain companies can enter for example in New Zealand companies have to consult the government </w:t>
      </w:r>
      <w:r w:rsidR="005129AF">
        <w:t xml:space="preserve">before </w:t>
      </w:r>
      <w:r w:rsidR="00A87CAA">
        <w:t>enter</w:t>
      </w:r>
      <w:r w:rsidR="005129AF">
        <w:t>ing</w:t>
      </w:r>
      <w:r w:rsidR="00A87CAA">
        <w:t xml:space="preserve"> which can superficially create </w:t>
      </w:r>
      <w:r w:rsidR="00F32EC5">
        <w:t>monopolies</w:t>
      </w:r>
      <w:r w:rsidR="005129AF">
        <w:t xml:space="preserve">. </w:t>
      </w:r>
      <w:proofErr w:type="spellStart"/>
      <w:r w:rsidR="005129AF">
        <w:t>T</w:t>
      </w:r>
      <w:r w:rsidR="00D25EC0">
        <w:t>this</w:t>
      </w:r>
      <w:proofErr w:type="spellEnd"/>
      <w:r w:rsidR="00D25EC0">
        <w:t xml:space="preserve"> increases costs as more incentives may be required </w:t>
      </w:r>
      <w:proofErr w:type="gramStart"/>
      <w:r w:rsidR="00D25EC0">
        <w:t>in order to</w:t>
      </w:r>
      <w:proofErr w:type="gramEnd"/>
      <w:r w:rsidR="00D25EC0">
        <w:t xml:space="preserve"> obtain access </w:t>
      </w:r>
      <w:r w:rsidR="00F32EC5">
        <w:t>to customers in certain countries.</w:t>
      </w:r>
    </w:p>
    <w:p w14:paraId="50B596DB" w14:textId="767F2DDC" w:rsidR="00646DCB" w:rsidRDefault="00646DCB" w:rsidP="00227B36">
      <w:r>
        <w:t xml:space="preserve">RTP </w:t>
      </w:r>
      <w:r w:rsidR="00EF6AD2">
        <w:t>networks</w:t>
      </w:r>
      <w:r w:rsidR="00400FB0">
        <w:t xml:space="preserve"> are </w:t>
      </w:r>
      <w:r w:rsidR="00E56B04">
        <w:t xml:space="preserve">decreasing their costs allowing for them to lower prices for customers deteriorating growth for digital payment companies within the </w:t>
      </w:r>
      <w:r w:rsidR="008840D2">
        <w:t>US.</w:t>
      </w:r>
      <w:r w:rsidR="00E72517">
        <w:t xml:space="preserve"> </w:t>
      </w:r>
    </w:p>
    <w:p w14:paraId="5F00ED5B" w14:textId="2C95574C" w:rsidR="008840D2" w:rsidRDefault="008840D2" w:rsidP="00227B36">
      <w:r>
        <w:t>Cyber Attacks are getting more elaborate and more common which leads to higher costs whether to pay customers for funds they lost or to protect against them.</w:t>
      </w:r>
      <w:r w:rsidR="00F25010">
        <w:t xml:space="preserve"> Increasing attacks creates a lower level of trust for digital payment systems.</w:t>
      </w:r>
    </w:p>
    <w:p w14:paraId="3F223123" w14:textId="256B509E" w:rsidR="00F25010" w:rsidRDefault="00F25010" w:rsidP="00227B36">
      <w:r>
        <w:t xml:space="preserve">Merchants who were loyal customers of specific </w:t>
      </w:r>
      <w:r w:rsidR="00796AC6">
        <w:t>digital payment customers are beginning to use multiple which lowers their costs but increases competition as it lowers the profitability of individual customers.</w:t>
      </w:r>
    </w:p>
    <w:tbl>
      <w:tblPr>
        <w:tblStyle w:val="TableGrid"/>
        <w:tblW w:w="10514" w:type="dxa"/>
        <w:tblInd w:w="-745" w:type="dxa"/>
        <w:tblLook w:val="04A0" w:firstRow="1" w:lastRow="0" w:firstColumn="1" w:lastColumn="0" w:noHBand="0" w:noVBand="1"/>
      </w:tblPr>
      <w:tblGrid>
        <w:gridCol w:w="5257"/>
        <w:gridCol w:w="5257"/>
      </w:tblGrid>
      <w:tr w:rsidR="0002535A" w14:paraId="05236908" w14:textId="77777777" w:rsidTr="00D25600">
        <w:trPr>
          <w:trHeight w:val="2760"/>
        </w:trPr>
        <w:tc>
          <w:tcPr>
            <w:tcW w:w="5257" w:type="dxa"/>
          </w:tcPr>
          <w:p w14:paraId="142893E4" w14:textId="77777777" w:rsidR="0002535A" w:rsidRDefault="00E56949" w:rsidP="0002535A">
            <w:pPr>
              <w:jc w:val="center"/>
              <w:rPr>
                <w:b/>
                <w:bCs/>
                <w:u w:val="single"/>
              </w:rPr>
            </w:pPr>
            <w:r>
              <w:rPr>
                <w:b/>
                <w:bCs/>
                <w:u w:val="single"/>
              </w:rPr>
              <w:t>Strengths</w:t>
            </w:r>
          </w:p>
          <w:p w14:paraId="5319F810" w14:textId="77777777" w:rsidR="00E56949" w:rsidRDefault="000E03E9" w:rsidP="000E03E9">
            <w:pPr>
              <w:pStyle w:val="ListParagraph"/>
              <w:numPr>
                <w:ilvl w:val="0"/>
                <w:numId w:val="5"/>
              </w:numPr>
            </w:pPr>
            <w:r>
              <w:t xml:space="preserve">Visa reported a net profit margin of </w:t>
            </w:r>
            <w:r w:rsidR="00D7122E">
              <w:t>52.89% which increased since 2022</w:t>
            </w:r>
            <w:r w:rsidR="00E06D4F">
              <w:t xml:space="preserve"> showing they’re very good at managing finances and operations in a way to create further value from current customers</w:t>
            </w:r>
            <w:r w:rsidR="00581803">
              <w:t>.</w:t>
            </w:r>
          </w:p>
          <w:p w14:paraId="5A3448D7" w14:textId="531BEB97" w:rsidR="00581803" w:rsidRDefault="000D550F" w:rsidP="000E03E9">
            <w:pPr>
              <w:pStyle w:val="ListParagraph"/>
              <w:numPr>
                <w:ilvl w:val="0"/>
                <w:numId w:val="5"/>
              </w:numPr>
            </w:pPr>
            <w:proofErr w:type="spellStart"/>
            <w:r>
              <w:t>CapEx</w:t>
            </w:r>
            <w:proofErr w:type="spellEnd"/>
            <w:r>
              <w:t xml:space="preserve"> just above $1 Billion </w:t>
            </w:r>
            <w:r w:rsidR="00CD4791">
              <w:t xml:space="preserve">to bring in $20 Billion shows the amount of free cash flow that Visa have available to spend on </w:t>
            </w:r>
            <w:r w:rsidR="00A66100">
              <w:t>researching new technologies</w:t>
            </w:r>
            <w:r w:rsidR="001B2C5A">
              <w:t xml:space="preserve"> </w:t>
            </w:r>
            <w:r w:rsidR="00D867F5">
              <w:t>to</w:t>
            </w:r>
            <w:r w:rsidR="001B2C5A">
              <w:t xml:space="preserve"> keep up with the everchanging environment.</w:t>
            </w:r>
          </w:p>
          <w:p w14:paraId="6B147CC6" w14:textId="68D4DB9F" w:rsidR="002A0455" w:rsidRPr="00E56949" w:rsidRDefault="002A0455" w:rsidP="000E03E9">
            <w:pPr>
              <w:pStyle w:val="ListParagraph"/>
              <w:numPr>
                <w:ilvl w:val="0"/>
                <w:numId w:val="5"/>
              </w:numPr>
            </w:pPr>
            <w:r>
              <w:t xml:space="preserve">Visa own multiple different patents and </w:t>
            </w:r>
            <w:r w:rsidR="00C87787">
              <w:t>trademarks which make it hard for competitors to catch up</w:t>
            </w:r>
            <w:r w:rsidR="00484AFA">
              <w:t>.</w:t>
            </w:r>
          </w:p>
        </w:tc>
        <w:tc>
          <w:tcPr>
            <w:tcW w:w="5257" w:type="dxa"/>
          </w:tcPr>
          <w:p w14:paraId="06ECA3C9" w14:textId="78FA19D2" w:rsidR="0002535A" w:rsidRDefault="00E56949" w:rsidP="00E56949">
            <w:pPr>
              <w:jc w:val="center"/>
              <w:rPr>
                <w:b/>
                <w:bCs/>
                <w:u w:val="single"/>
              </w:rPr>
            </w:pPr>
            <w:r>
              <w:rPr>
                <w:b/>
                <w:bCs/>
                <w:u w:val="single"/>
              </w:rPr>
              <w:t>Weaknesses</w:t>
            </w:r>
          </w:p>
          <w:p w14:paraId="1BE5BB6A" w14:textId="25037278" w:rsidR="00E56949" w:rsidRDefault="00D16112" w:rsidP="0041416E">
            <w:pPr>
              <w:pStyle w:val="ListParagraph"/>
              <w:numPr>
                <w:ilvl w:val="0"/>
                <w:numId w:val="6"/>
              </w:numPr>
            </w:pPr>
            <w:r>
              <w:t xml:space="preserve">The size of Visa is </w:t>
            </w:r>
            <w:r w:rsidR="008D4F76">
              <w:t xml:space="preserve">an issue as it means most people have </w:t>
            </w:r>
            <w:r w:rsidR="006B5D57">
              <w:t>already done business with them in one way or another</w:t>
            </w:r>
            <w:r w:rsidR="00432CDB">
              <w:t>. This</w:t>
            </w:r>
            <w:r w:rsidR="006B5D57">
              <w:t xml:space="preserve"> mean</w:t>
            </w:r>
            <w:r w:rsidR="00432CDB">
              <w:t>s</w:t>
            </w:r>
            <w:r w:rsidR="006B5D57">
              <w:t xml:space="preserve"> their main way of growing is either internationally</w:t>
            </w:r>
            <w:r w:rsidR="00432CDB">
              <w:t>,</w:t>
            </w:r>
            <w:r w:rsidR="006B5D57">
              <w:t xml:space="preserve"> which can be more expensive than growing domestically</w:t>
            </w:r>
            <w:r w:rsidR="00432CDB">
              <w:t>,</w:t>
            </w:r>
            <w:r w:rsidR="006B5D57">
              <w:t xml:space="preserve"> or by </w:t>
            </w:r>
            <w:r w:rsidR="00C638A5">
              <w:t xml:space="preserve">an increase in the </w:t>
            </w:r>
            <w:proofErr w:type="gramStart"/>
            <w:r w:rsidR="00D867F5">
              <w:t>volumes</w:t>
            </w:r>
            <w:proofErr w:type="gramEnd"/>
            <w:r w:rsidR="00C638A5">
              <w:t xml:space="preserve"> customers </w:t>
            </w:r>
            <w:r w:rsidR="00907EDC">
              <w:t>conduct their business.</w:t>
            </w:r>
          </w:p>
          <w:p w14:paraId="0C03B42A" w14:textId="1774F170" w:rsidR="00907EDC" w:rsidRPr="00E56949" w:rsidRDefault="00907EDC" w:rsidP="0041416E">
            <w:pPr>
              <w:pStyle w:val="ListParagraph"/>
              <w:numPr>
                <w:ilvl w:val="0"/>
                <w:numId w:val="6"/>
              </w:numPr>
            </w:pPr>
            <w:r>
              <w:t xml:space="preserve">This size </w:t>
            </w:r>
            <w:r w:rsidR="00DE6371">
              <w:t xml:space="preserve">also creates issues surrounding monopolistic </w:t>
            </w:r>
            <w:r w:rsidR="00CA23C7">
              <w:t xml:space="preserve">business practices and puts them under </w:t>
            </w:r>
            <w:r w:rsidR="00BE67AD">
              <w:t>scrutiny</w:t>
            </w:r>
            <w:r w:rsidR="00CA23C7">
              <w:t xml:space="preserve"> which Visa found when they got their practices put under the microscope around inflated </w:t>
            </w:r>
            <w:r w:rsidR="00BE67AD">
              <w:t>charges to merchants to use their services.</w:t>
            </w:r>
          </w:p>
        </w:tc>
      </w:tr>
      <w:tr w:rsidR="0002535A" w14:paraId="5AFF5A4E" w14:textId="77777777" w:rsidTr="00D25600">
        <w:trPr>
          <w:trHeight w:val="2242"/>
        </w:trPr>
        <w:tc>
          <w:tcPr>
            <w:tcW w:w="5257" w:type="dxa"/>
          </w:tcPr>
          <w:p w14:paraId="4E1C086C" w14:textId="77777777" w:rsidR="0002535A" w:rsidRDefault="00E56949" w:rsidP="00E56949">
            <w:pPr>
              <w:jc w:val="center"/>
              <w:rPr>
                <w:b/>
                <w:bCs/>
                <w:u w:val="single"/>
              </w:rPr>
            </w:pPr>
            <w:r>
              <w:rPr>
                <w:b/>
                <w:bCs/>
                <w:u w:val="single"/>
              </w:rPr>
              <w:t>Opportunities</w:t>
            </w:r>
          </w:p>
          <w:p w14:paraId="3A810D1B" w14:textId="6DA0E534" w:rsidR="00E56949" w:rsidRPr="00E56949" w:rsidRDefault="005B4D96" w:rsidP="007D513A">
            <w:pPr>
              <w:pStyle w:val="ListParagraph"/>
              <w:numPr>
                <w:ilvl w:val="0"/>
                <w:numId w:val="7"/>
              </w:numPr>
            </w:pPr>
            <w:r>
              <w:t xml:space="preserve">Countries </w:t>
            </w:r>
            <w:proofErr w:type="gramStart"/>
            <w:r>
              <w:t>that  are</w:t>
            </w:r>
            <w:proofErr w:type="gramEnd"/>
            <w:r>
              <w:t xml:space="preserve"> difficult for international digital payments businesses to enter are a hidden opportunity for Visa due to their </w:t>
            </w:r>
            <w:r w:rsidR="002D1EC9">
              <w:t xml:space="preserve">potential to create further </w:t>
            </w:r>
            <w:r w:rsidR="00D867F5">
              <w:t>monopolies</w:t>
            </w:r>
            <w:r w:rsidR="002D1EC9">
              <w:t xml:space="preserve"> within these countries if they can persuade the governments to allow them to conduct business.</w:t>
            </w:r>
          </w:p>
        </w:tc>
        <w:tc>
          <w:tcPr>
            <w:tcW w:w="5257" w:type="dxa"/>
          </w:tcPr>
          <w:p w14:paraId="19FC4BC8" w14:textId="6CCA17C2" w:rsidR="0002535A" w:rsidRDefault="00E56949" w:rsidP="00E56949">
            <w:pPr>
              <w:jc w:val="center"/>
              <w:rPr>
                <w:b/>
                <w:bCs/>
                <w:u w:val="single"/>
              </w:rPr>
            </w:pPr>
            <w:r>
              <w:rPr>
                <w:b/>
                <w:bCs/>
                <w:u w:val="single"/>
              </w:rPr>
              <w:t>Threats</w:t>
            </w:r>
          </w:p>
          <w:p w14:paraId="0C62C842" w14:textId="3068E709" w:rsidR="00E56949" w:rsidRDefault="00E53497" w:rsidP="007D513A">
            <w:pPr>
              <w:pStyle w:val="ListParagraph"/>
              <w:numPr>
                <w:ilvl w:val="0"/>
                <w:numId w:val="7"/>
              </w:numPr>
            </w:pPr>
            <w:r>
              <w:t xml:space="preserve">Lower cost RTP systems are </w:t>
            </w:r>
            <w:r w:rsidR="00A14AFA">
              <w:t>deteriorating the customer base of Visa</w:t>
            </w:r>
            <w:r w:rsidR="00147C90">
              <w:t xml:space="preserve"> within the US which will cost Visa more funds </w:t>
            </w:r>
            <w:r w:rsidR="005033CE">
              <w:t>to</w:t>
            </w:r>
            <w:r w:rsidR="00147C90">
              <w:t xml:space="preserve"> gain new customers.</w:t>
            </w:r>
          </w:p>
          <w:p w14:paraId="03E09D4E" w14:textId="57DF7F14" w:rsidR="00FD7817" w:rsidRPr="00E56949" w:rsidRDefault="00FD7817" w:rsidP="007D513A">
            <w:pPr>
              <w:pStyle w:val="ListParagraph"/>
              <w:numPr>
                <w:ilvl w:val="0"/>
                <w:numId w:val="7"/>
              </w:numPr>
            </w:pPr>
            <w:r>
              <w:t xml:space="preserve">Delaware laws </w:t>
            </w:r>
            <w:r w:rsidR="00394E1B">
              <w:t xml:space="preserve">surrounding mergers and the current litigation against visa make it almost impossible for them to merger in an environment where </w:t>
            </w:r>
            <w:r w:rsidR="00093CDE">
              <w:t xml:space="preserve">their competitors are merging with newly established FinTech companies which </w:t>
            </w:r>
            <w:r w:rsidR="00D867F5">
              <w:t>help</w:t>
            </w:r>
            <w:r w:rsidR="00093CDE">
              <w:t xml:space="preserve"> them </w:t>
            </w:r>
            <w:r w:rsidR="00D867F5">
              <w:t>better their digital payment systems and grow.</w:t>
            </w:r>
          </w:p>
        </w:tc>
      </w:tr>
    </w:tbl>
    <w:p w14:paraId="25AE660A" w14:textId="044AD05E" w:rsidR="000E081C" w:rsidRDefault="000E081C" w:rsidP="00227B36">
      <w:pPr>
        <w:rPr>
          <w:b/>
          <w:bCs/>
          <w:u w:val="single"/>
        </w:rPr>
      </w:pPr>
    </w:p>
    <w:p w14:paraId="16326BBF" w14:textId="77777777" w:rsidR="00385260" w:rsidRPr="00DC04B7" w:rsidRDefault="00385260" w:rsidP="00385260">
      <w:pPr>
        <w:pStyle w:val="CommentText"/>
        <w:rPr>
          <w:b/>
          <w:bCs/>
          <w:highlight w:val="green"/>
          <w:u w:val="single"/>
        </w:rPr>
      </w:pPr>
      <w:r w:rsidRPr="00DC04B7">
        <w:rPr>
          <w:b/>
          <w:bCs/>
          <w:highlight w:val="green"/>
          <w:u w:val="single"/>
        </w:rPr>
        <w:t>Strengths</w:t>
      </w:r>
    </w:p>
    <w:p w14:paraId="275C3DC7" w14:textId="77777777" w:rsidR="00385260" w:rsidRPr="00DC04B7" w:rsidRDefault="00385260" w:rsidP="00385260">
      <w:pPr>
        <w:pStyle w:val="CommentText"/>
        <w:numPr>
          <w:ilvl w:val="0"/>
          <w:numId w:val="11"/>
        </w:numPr>
        <w:spacing w:after="160"/>
        <w:rPr>
          <w:highlight w:val="green"/>
        </w:rPr>
      </w:pPr>
      <w:r w:rsidRPr="00DC04B7">
        <w:rPr>
          <w:highlight w:val="green"/>
        </w:rPr>
        <w:t>Strong and secure payment infrastructure</w:t>
      </w:r>
    </w:p>
    <w:p w14:paraId="18BAC866" w14:textId="77777777" w:rsidR="00385260" w:rsidRPr="00DC04B7" w:rsidRDefault="00385260" w:rsidP="00385260">
      <w:pPr>
        <w:pStyle w:val="TableStyle2"/>
        <w:numPr>
          <w:ilvl w:val="0"/>
          <w:numId w:val="11"/>
        </w:numPr>
        <w:rPr>
          <w:rFonts w:ascii="Times New Roman" w:hAnsi="Times New Roman"/>
          <w:highlight w:val="green"/>
          <w:lang w:val="en-US"/>
        </w:rPr>
      </w:pPr>
      <w:r w:rsidRPr="00DC04B7">
        <w:rPr>
          <w:rFonts w:ascii="Times New Roman" w:hAnsi="Times New Roman"/>
          <w:highlight w:val="green"/>
          <w:lang w:val="en-US"/>
        </w:rPr>
        <w:t>Strong distribution network</w:t>
      </w:r>
    </w:p>
    <w:p w14:paraId="50A6A102" w14:textId="77777777" w:rsidR="00385260" w:rsidRPr="00DC04B7" w:rsidRDefault="00385260" w:rsidP="00385260">
      <w:pPr>
        <w:pStyle w:val="CommentText"/>
        <w:numPr>
          <w:ilvl w:val="0"/>
          <w:numId w:val="11"/>
        </w:numPr>
        <w:spacing w:after="160"/>
        <w:rPr>
          <w:highlight w:val="green"/>
        </w:rPr>
      </w:pPr>
      <w:r w:rsidRPr="00DC04B7">
        <w:rPr>
          <w:highlight w:val="green"/>
        </w:rPr>
        <w:t>Market leadership and strong brand value</w:t>
      </w:r>
    </w:p>
    <w:p w14:paraId="237BAD29" w14:textId="77777777" w:rsidR="00385260" w:rsidRPr="00DC04B7" w:rsidRDefault="00385260" w:rsidP="00385260">
      <w:pPr>
        <w:pStyle w:val="CommentText"/>
        <w:numPr>
          <w:ilvl w:val="0"/>
          <w:numId w:val="11"/>
        </w:numPr>
        <w:spacing w:after="160"/>
        <w:rPr>
          <w:highlight w:val="green"/>
        </w:rPr>
      </w:pPr>
      <w:r w:rsidRPr="00DC04B7">
        <w:rPr>
          <w:highlight w:val="green"/>
        </w:rPr>
        <w:t>Strong strategic partnerships with card issuers and merchants</w:t>
      </w:r>
    </w:p>
    <w:p w14:paraId="5AAEB2CB" w14:textId="77777777" w:rsidR="00385260" w:rsidRPr="00DC04B7" w:rsidRDefault="00385260" w:rsidP="00385260">
      <w:pPr>
        <w:pStyle w:val="CommentText"/>
        <w:numPr>
          <w:ilvl w:val="0"/>
          <w:numId w:val="11"/>
        </w:numPr>
        <w:spacing w:after="160"/>
        <w:rPr>
          <w:highlight w:val="green"/>
        </w:rPr>
      </w:pPr>
      <w:r w:rsidRPr="00DC04B7">
        <w:rPr>
          <w:highlight w:val="green"/>
        </w:rPr>
        <w:t>Resilient business model that protects against inflation</w:t>
      </w:r>
    </w:p>
    <w:p w14:paraId="7B0DF8B9" w14:textId="77777777" w:rsidR="00385260" w:rsidRPr="00DC04B7" w:rsidRDefault="00385260" w:rsidP="00385260">
      <w:pPr>
        <w:pStyle w:val="CommentText"/>
        <w:rPr>
          <w:b/>
          <w:bCs/>
          <w:highlight w:val="green"/>
          <w:u w:val="single"/>
        </w:rPr>
      </w:pPr>
      <w:r w:rsidRPr="00DC04B7">
        <w:rPr>
          <w:b/>
          <w:bCs/>
          <w:highlight w:val="green"/>
          <w:u w:val="single"/>
        </w:rPr>
        <w:t>Weakness</w:t>
      </w:r>
    </w:p>
    <w:p w14:paraId="620BCF62" w14:textId="77777777" w:rsidR="00385260" w:rsidRPr="00DC04B7" w:rsidRDefault="00385260" w:rsidP="00385260">
      <w:pPr>
        <w:pStyle w:val="CommentText"/>
        <w:numPr>
          <w:ilvl w:val="0"/>
          <w:numId w:val="12"/>
        </w:numPr>
        <w:spacing w:after="160"/>
        <w:rPr>
          <w:highlight w:val="green"/>
        </w:rPr>
      </w:pPr>
      <w:r w:rsidRPr="00DC04B7">
        <w:rPr>
          <w:highlight w:val="green"/>
        </w:rPr>
        <w:lastRenderedPageBreak/>
        <w:t xml:space="preserve">Lack diversification in business </w:t>
      </w:r>
      <w:proofErr w:type="gramStart"/>
      <w:r w:rsidRPr="00DC04B7">
        <w:rPr>
          <w:highlight w:val="green"/>
        </w:rPr>
        <w:t>model</w:t>
      </w:r>
      <w:proofErr w:type="gramEnd"/>
    </w:p>
    <w:p w14:paraId="7A1FDE4E" w14:textId="77777777" w:rsidR="00385260" w:rsidRPr="00DC04B7" w:rsidRDefault="00385260" w:rsidP="00385260">
      <w:pPr>
        <w:pStyle w:val="CommentText"/>
        <w:numPr>
          <w:ilvl w:val="0"/>
          <w:numId w:val="12"/>
        </w:numPr>
        <w:spacing w:after="160"/>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33A05245" w14:textId="77777777" w:rsidR="00385260" w:rsidRPr="00DC04B7" w:rsidRDefault="00385260" w:rsidP="00385260">
      <w:pPr>
        <w:pStyle w:val="CommentText"/>
        <w:numPr>
          <w:ilvl w:val="0"/>
          <w:numId w:val="12"/>
        </w:numPr>
        <w:spacing w:after="160"/>
        <w:rPr>
          <w:highlight w:val="green"/>
        </w:rPr>
      </w:pPr>
      <w:r w:rsidRPr="00DC04B7">
        <w:rPr>
          <w:highlight w:val="green"/>
        </w:rPr>
        <w:t>Lack of innovation</w:t>
      </w:r>
    </w:p>
    <w:p w14:paraId="2880E554" w14:textId="77777777" w:rsidR="00385260" w:rsidRPr="00DC04B7" w:rsidRDefault="00385260" w:rsidP="00385260">
      <w:pPr>
        <w:pStyle w:val="CommentText"/>
        <w:rPr>
          <w:b/>
          <w:bCs/>
          <w:highlight w:val="green"/>
          <w:u w:val="single"/>
        </w:rPr>
      </w:pPr>
      <w:r w:rsidRPr="00DC04B7">
        <w:rPr>
          <w:b/>
          <w:bCs/>
          <w:highlight w:val="green"/>
          <w:u w:val="single"/>
        </w:rPr>
        <w:t>Opportunities</w:t>
      </w:r>
    </w:p>
    <w:p w14:paraId="73EA8D32" w14:textId="77777777" w:rsidR="00385260" w:rsidRPr="00DC04B7" w:rsidRDefault="00385260" w:rsidP="00385260">
      <w:pPr>
        <w:pStyle w:val="CommentText"/>
        <w:numPr>
          <w:ilvl w:val="0"/>
          <w:numId w:val="13"/>
        </w:numPr>
        <w:spacing w:after="160"/>
        <w:rPr>
          <w:highlight w:val="green"/>
        </w:rPr>
      </w:pPr>
      <w:r w:rsidRPr="00DC04B7">
        <w:rPr>
          <w:highlight w:val="green"/>
        </w:rPr>
        <w:t>Increasing preference for online shopping and cash-less transactions due to the pandemic</w:t>
      </w:r>
    </w:p>
    <w:p w14:paraId="0837B486" w14:textId="77777777" w:rsidR="00385260" w:rsidRPr="00DC04B7" w:rsidRDefault="00385260" w:rsidP="00385260">
      <w:pPr>
        <w:pStyle w:val="CommentText"/>
        <w:numPr>
          <w:ilvl w:val="0"/>
          <w:numId w:val="13"/>
        </w:numPr>
        <w:spacing w:after="160"/>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5C1527CF" w14:textId="77777777" w:rsidR="00385260" w:rsidRPr="00DC04B7" w:rsidRDefault="00385260" w:rsidP="00385260">
      <w:pPr>
        <w:pStyle w:val="CommentText"/>
        <w:numPr>
          <w:ilvl w:val="0"/>
          <w:numId w:val="13"/>
        </w:numPr>
        <w:spacing w:after="160"/>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32A513B5" w14:textId="77777777" w:rsidR="00385260" w:rsidRPr="00DC04B7" w:rsidRDefault="00385260" w:rsidP="00385260">
      <w:pPr>
        <w:pStyle w:val="CommentText"/>
        <w:numPr>
          <w:ilvl w:val="0"/>
          <w:numId w:val="13"/>
        </w:numPr>
        <w:spacing w:after="160"/>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01F1C2A0" w14:textId="77777777" w:rsidR="00385260" w:rsidRPr="00DC04B7" w:rsidRDefault="00385260" w:rsidP="00385260">
      <w:pPr>
        <w:pStyle w:val="CommentText"/>
        <w:rPr>
          <w:b/>
          <w:bCs/>
          <w:highlight w:val="green"/>
          <w:u w:val="single"/>
        </w:rPr>
      </w:pPr>
      <w:r w:rsidRPr="00DC04B7">
        <w:rPr>
          <w:b/>
          <w:bCs/>
          <w:highlight w:val="green"/>
          <w:u w:val="single"/>
        </w:rPr>
        <w:t>Threats</w:t>
      </w:r>
    </w:p>
    <w:p w14:paraId="32C42C9F" w14:textId="77777777" w:rsidR="00385260" w:rsidRPr="00DC04B7" w:rsidRDefault="00385260" w:rsidP="00385260">
      <w:pPr>
        <w:pStyle w:val="CommentText"/>
        <w:numPr>
          <w:ilvl w:val="0"/>
          <w:numId w:val="14"/>
        </w:numPr>
        <w:spacing w:after="160"/>
        <w:rPr>
          <w:highlight w:val="green"/>
        </w:rPr>
      </w:pPr>
      <w:r w:rsidRPr="00DC04B7">
        <w:rPr>
          <w:highlight w:val="green"/>
        </w:rPr>
        <w:t xml:space="preserve">Threat of becoming obsolete due to new and emerging payment technologies </w:t>
      </w:r>
    </w:p>
    <w:p w14:paraId="2AF0A7F5" w14:textId="77777777" w:rsidR="00385260" w:rsidRPr="00DC04B7" w:rsidRDefault="00385260" w:rsidP="00385260">
      <w:pPr>
        <w:pStyle w:val="CommentText"/>
        <w:numPr>
          <w:ilvl w:val="0"/>
          <w:numId w:val="14"/>
        </w:numPr>
        <w:spacing w:after="160"/>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6D682476" w14:textId="77777777" w:rsidR="00385260" w:rsidRPr="00DC04B7" w:rsidRDefault="00385260" w:rsidP="00385260">
      <w:pPr>
        <w:pStyle w:val="CommentText"/>
        <w:numPr>
          <w:ilvl w:val="0"/>
          <w:numId w:val="14"/>
        </w:numPr>
        <w:spacing w:after="160"/>
        <w:rPr>
          <w:highlight w:val="green"/>
        </w:rPr>
      </w:pPr>
      <w:r w:rsidRPr="00DC04B7">
        <w:rPr>
          <w:highlight w:val="green"/>
        </w:rPr>
        <w:t>Lack of differentiation from competitor</w:t>
      </w:r>
    </w:p>
    <w:p w14:paraId="4F4BC77D" w14:textId="77777777" w:rsidR="00385260" w:rsidRPr="00DC04B7" w:rsidRDefault="00385260" w:rsidP="00385260">
      <w:pPr>
        <w:pStyle w:val="CommentText"/>
        <w:numPr>
          <w:ilvl w:val="0"/>
          <w:numId w:val="14"/>
        </w:numPr>
        <w:spacing w:after="160"/>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2930F3BB" w14:textId="77777777" w:rsidR="00385260" w:rsidRPr="00DC04B7" w:rsidRDefault="00385260" w:rsidP="00385260">
      <w:pPr>
        <w:pStyle w:val="CommentText"/>
        <w:numPr>
          <w:ilvl w:val="0"/>
          <w:numId w:val="14"/>
        </w:numPr>
        <w:spacing w:after="160"/>
        <w:rPr>
          <w:highlight w:val="green"/>
        </w:rPr>
      </w:pPr>
      <w:r w:rsidRPr="00DC04B7">
        <w:rPr>
          <w:highlight w:val="green"/>
        </w:rPr>
        <w:t>Threat of fraudulent activities</w:t>
      </w:r>
    </w:p>
    <w:p w14:paraId="5603274C" w14:textId="77777777" w:rsidR="00385260" w:rsidRPr="00DC04B7" w:rsidRDefault="00385260" w:rsidP="00385260">
      <w:pPr>
        <w:pStyle w:val="CommentText"/>
        <w:numPr>
          <w:ilvl w:val="0"/>
          <w:numId w:val="14"/>
        </w:numPr>
        <w:spacing w:after="160"/>
        <w:rPr>
          <w:highlight w:val="green"/>
        </w:rPr>
      </w:pPr>
      <w:r w:rsidRPr="00DC04B7">
        <w:rPr>
          <w:highlight w:val="green"/>
        </w:rPr>
        <w:t>Threat of money laundering and terrorism financing</w:t>
      </w:r>
    </w:p>
    <w:p w14:paraId="624817D1" w14:textId="147A81F5" w:rsidR="00385260" w:rsidRDefault="00385260">
      <w:pPr>
        <w:rPr>
          <w:b/>
          <w:bCs/>
          <w:u w:val="single"/>
        </w:rPr>
      </w:pPr>
      <w:r>
        <w:rPr>
          <w:b/>
          <w:bCs/>
          <w:u w:val="single"/>
        </w:rPr>
        <w:br w:type="page"/>
      </w:r>
    </w:p>
    <w:p w14:paraId="3AD84741" w14:textId="77777777" w:rsidR="00385260" w:rsidRDefault="00385260" w:rsidP="00227B36">
      <w:pPr>
        <w:rPr>
          <w:b/>
          <w:bCs/>
          <w:u w:val="single"/>
        </w:rPr>
      </w:pPr>
    </w:p>
    <w:p w14:paraId="17EDAFB5" w14:textId="77777777" w:rsidR="00385260" w:rsidRDefault="00385260" w:rsidP="00227B36">
      <w:pPr>
        <w:rPr>
          <w:b/>
          <w:bCs/>
          <w:u w:val="single"/>
        </w:rPr>
      </w:pPr>
    </w:p>
    <w:tbl>
      <w:tblPr>
        <w:tblStyle w:val="TableGrid"/>
        <w:tblpPr w:leftFromText="180" w:rightFromText="180" w:vertAnchor="text" w:horzAnchor="margin" w:tblpXSpec="center" w:tblpY="-6083"/>
        <w:tblW w:w="11770" w:type="dxa"/>
        <w:tblLook w:val="04A0" w:firstRow="1" w:lastRow="0" w:firstColumn="1" w:lastColumn="0" w:noHBand="0" w:noVBand="1"/>
      </w:tblPr>
      <w:tblGrid>
        <w:gridCol w:w="1961"/>
        <w:gridCol w:w="1961"/>
        <w:gridCol w:w="1961"/>
        <w:gridCol w:w="1961"/>
        <w:gridCol w:w="1963"/>
        <w:gridCol w:w="1963"/>
      </w:tblGrid>
      <w:tr w:rsidR="009458E9" w14:paraId="05355365" w14:textId="77777777" w:rsidTr="009458E9">
        <w:trPr>
          <w:trHeight w:val="4775"/>
        </w:trPr>
        <w:tc>
          <w:tcPr>
            <w:tcW w:w="1961" w:type="dxa"/>
          </w:tcPr>
          <w:p w14:paraId="4DE32D9B" w14:textId="77777777" w:rsidR="009458E9" w:rsidRDefault="009458E9" w:rsidP="009458E9">
            <w:pPr>
              <w:pStyle w:val="ListParagraph"/>
              <w:ind w:left="0"/>
              <w:jc w:val="center"/>
              <w:rPr>
                <w:b/>
                <w:bCs/>
                <w:u w:val="single"/>
              </w:rPr>
            </w:pPr>
            <w:r>
              <w:rPr>
                <w:b/>
                <w:bCs/>
                <w:u w:val="single"/>
              </w:rPr>
              <w:t>Political</w:t>
            </w:r>
          </w:p>
          <w:p w14:paraId="1F597504" w14:textId="77777777" w:rsidR="009458E9" w:rsidRDefault="009458E9" w:rsidP="009458E9">
            <w:pPr>
              <w:pStyle w:val="ListParagraph"/>
              <w:ind w:left="0"/>
              <w:rPr>
                <w:b/>
                <w:bCs/>
                <w:u w:val="single"/>
              </w:rPr>
            </w:pPr>
          </w:p>
          <w:p w14:paraId="45EAEEE6" w14:textId="77777777" w:rsidR="009458E9" w:rsidRDefault="009458E9" w:rsidP="009458E9">
            <w:r>
              <w:t>International governments are reluctant to let foreign businesses control the payment systems in their countries.</w:t>
            </w:r>
          </w:p>
          <w:p w14:paraId="60DBBC3A" w14:textId="77777777" w:rsidR="009458E9" w:rsidRDefault="009458E9" w:rsidP="009458E9"/>
          <w:p w14:paraId="68D0F2A1" w14:textId="77777777" w:rsidR="009458E9" w:rsidRPr="00135A21" w:rsidRDefault="009458E9" w:rsidP="009458E9">
            <w:r>
              <w:t>Cyber-attacks aimed toward countries going through businesses are becoming more common and vicious.</w:t>
            </w:r>
          </w:p>
        </w:tc>
        <w:tc>
          <w:tcPr>
            <w:tcW w:w="1961" w:type="dxa"/>
          </w:tcPr>
          <w:p w14:paraId="32F90A78" w14:textId="77777777" w:rsidR="009458E9" w:rsidRDefault="009458E9" w:rsidP="009458E9">
            <w:pPr>
              <w:pStyle w:val="ListParagraph"/>
              <w:ind w:left="0"/>
              <w:jc w:val="center"/>
              <w:rPr>
                <w:b/>
                <w:bCs/>
                <w:u w:val="single"/>
              </w:rPr>
            </w:pPr>
            <w:r>
              <w:rPr>
                <w:b/>
                <w:bCs/>
                <w:u w:val="single"/>
              </w:rPr>
              <w:t>Economic</w:t>
            </w:r>
          </w:p>
          <w:p w14:paraId="17135A5D" w14:textId="77777777" w:rsidR="009458E9" w:rsidRDefault="009458E9" w:rsidP="009458E9">
            <w:pPr>
              <w:pStyle w:val="ListParagraph"/>
              <w:ind w:left="0"/>
              <w:jc w:val="center"/>
              <w:rPr>
                <w:b/>
                <w:bCs/>
                <w:u w:val="single"/>
              </w:rPr>
            </w:pPr>
          </w:p>
          <w:p w14:paraId="5C7E612C" w14:textId="77777777" w:rsidR="009458E9" w:rsidRDefault="009458E9" w:rsidP="009458E9">
            <w:pPr>
              <w:pStyle w:val="ListParagraph"/>
              <w:ind w:left="0"/>
            </w:pPr>
            <w:r>
              <w:t>The clearing house oversees the RTP network in the US with similar systems in the works in other countries creating low-cost, high efficiency systems for customers pay.</w:t>
            </w:r>
          </w:p>
          <w:p w14:paraId="7762C872" w14:textId="77777777" w:rsidR="009458E9" w:rsidRDefault="009458E9" w:rsidP="009458E9">
            <w:pPr>
              <w:pStyle w:val="ListParagraph"/>
              <w:ind w:left="0"/>
            </w:pPr>
          </w:p>
          <w:p w14:paraId="23B0BA19" w14:textId="77777777" w:rsidR="009458E9" w:rsidRPr="00E94EBC" w:rsidRDefault="009458E9" w:rsidP="009458E9">
            <w:pPr>
              <w:pStyle w:val="ListParagraph"/>
              <w:ind w:left="0"/>
            </w:pPr>
            <w:r>
              <w:t>Currency pairings around the world have serious impacts on the bottom line of international companies which is inflated for digital payments companies whose focus is ensuring these finances get to their destination safely</w:t>
            </w:r>
          </w:p>
        </w:tc>
        <w:tc>
          <w:tcPr>
            <w:tcW w:w="1961" w:type="dxa"/>
          </w:tcPr>
          <w:p w14:paraId="4DE00E26" w14:textId="77777777" w:rsidR="009458E9" w:rsidRDefault="009458E9" w:rsidP="009458E9">
            <w:pPr>
              <w:pStyle w:val="ListParagraph"/>
              <w:ind w:left="0"/>
              <w:jc w:val="center"/>
              <w:rPr>
                <w:b/>
                <w:bCs/>
                <w:u w:val="single"/>
              </w:rPr>
            </w:pPr>
            <w:r>
              <w:rPr>
                <w:b/>
                <w:bCs/>
                <w:u w:val="single"/>
              </w:rPr>
              <w:t>Social</w:t>
            </w:r>
          </w:p>
          <w:p w14:paraId="278BA312" w14:textId="77777777" w:rsidR="009458E9" w:rsidRDefault="009458E9" w:rsidP="009458E9">
            <w:pPr>
              <w:pStyle w:val="ListParagraph"/>
              <w:ind w:left="0"/>
              <w:jc w:val="center"/>
              <w:rPr>
                <w:b/>
                <w:bCs/>
                <w:u w:val="single"/>
              </w:rPr>
            </w:pPr>
          </w:p>
          <w:p w14:paraId="32FBA628" w14:textId="77777777" w:rsidR="009458E9" w:rsidRDefault="009458E9" w:rsidP="009458E9">
            <w:pPr>
              <w:pStyle w:val="ListParagraph"/>
              <w:ind w:left="0"/>
            </w:pPr>
            <w:r>
              <w:t>Customers are split between an increasing number of different payment methods.</w:t>
            </w:r>
          </w:p>
          <w:p w14:paraId="7B222458" w14:textId="77777777" w:rsidR="009458E9" w:rsidRDefault="009458E9" w:rsidP="009458E9">
            <w:pPr>
              <w:pStyle w:val="ListParagraph"/>
              <w:ind w:left="0"/>
            </w:pPr>
          </w:p>
          <w:p w14:paraId="67D93FAC" w14:textId="77777777" w:rsidR="009458E9" w:rsidRDefault="009458E9" w:rsidP="009458E9">
            <w:pPr>
              <w:pStyle w:val="ListParagraph"/>
              <w:ind w:left="0"/>
            </w:pPr>
            <w:r>
              <w:t>Customer trends show that less people are going into stores to make their purchases thus creating more accessible potential customer base.</w:t>
            </w:r>
          </w:p>
          <w:p w14:paraId="146CA57E" w14:textId="77777777" w:rsidR="009458E9" w:rsidRDefault="009458E9" w:rsidP="009458E9">
            <w:pPr>
              <w:pStyle w:val="ListParagraph"/>
              <w:ind w:left="0"/>
            </w:pPr>
          </w:p>
          <w:p w14:paraId="27159DDA" w14:textId="77777777" w:rsidR="009458E9" w:rsidRPr="008A71A5" w:rsidRDefault="009458E9" w:rsidP="009458E9">
            <w:pPr>
              <w:pStyle w:val="ListParagraph"/>
              <w:ind w:left="0"/>
            </w:pPr>
            <w:r>
              <w:t>People who are already use digital payment systems are loyal and require higher incentives.</w:t>
            </w:r>
          </w:p>
        </w:tc>
        <w:tc>
          <w:tcPr>
            <w:tcW w:w="1961" w:type="dxa"/>
          </w:tcPr>
          <w:p w14:paraId="03558E30" w14:textId="77777777" w:rsidR="009458E9" w:rsidRDefault="009458E9" w:rsidP="009458E9">
            <w:pPr>
              <w:pStyle w:val="ListParagraph"/>
              <w:ind w:left="0"/>
              <w:jc w:val="center"/>
              <w:rPr>
                <w:b/>
                <w:bCs/>
                <w:u w:val="single"/>
              </w:rPr>
            </w:pPr>
            <w:r>
              <w:rPr>
                <w:b/>
                <w:bCs/>
                <w:u w:val="single"/>
              </w:rPr>
              <w:t>Technological</w:t>
            </w:r>
          </w:p>
          <w:p w14:paraId="043C80B0" w14:textId="77777777" w:rsidR="009458E9" w:rsidRDefault="009458E9" w:rsidP="009458E9">
            <w:pPr>
              <w:pStyle w:val="ListParagraph"/>
              <w:ind w:left="0"/>
              <w:jc w:val="center"/>
              <w:rPr>
                <w:b/>
                <w:bCs/>
                <w:u w:val="single"/>
              </w:rPr>
            </w:pPr>
          </w:p>
          <w:p w14:paraId="20218AB9" w14:textId="77777777" w:rsidR="009458E9" w:rsidRDefault="009458E9" w:rsidP="009458E9">
            <w:pPr>
              <w:pStyle w:val="ListParagraph"/>
              <w:ind w:left="0"/>
            </w:pPr>
            <w:r>
              <w:t>New technology is coming out which makes payment cheaper and more efficient failing to keep up with these advances can lead a company into obscurity.</w:t>
            </w:r>
          </w:p>
          <w:p w14:paraId="41D3AA2F" w14:textId="77777777" w:rsidR="009458E9" w:rsidRDefault="009458E9" w:rsidP="009458E9">
            <w:pPr>
              <w:pStyle w:val="ListParagraph"/>
              <w:ind w:left="0"/>
            </w:pPr>
          </w:p>
          <w:p w14:paraId="703491C8" w14:textId="77777777" w:rsidR="009458E9" w:rsidRPr="00BA7643" w:rsidRDefault="009458E9" w:rsidP="009458E9">
            <w:pPr>
              <w:pStyle w:val="ListParagraph"/>
              <w:ind w:left="0"/>
            </w:pPr>
            <w:r>
              <w:t>The competitive outlook in the industry is more toxic with an increasing number of methods to pay for items.</w:t>
            </w:r>
          </w:p>
        </w:tc>
        <w:tc>
          <w:tcPr>
            <w:tcW w:w="1963" w:type="dxa"/>
          </w:tcPr>
          <w:p w14:paraId="2BC99527" w14:textId="77777777" w:rsidR="009458E9" w:rsidRDefault="009458E9" w:rsidP="009458E9">
            <w:pPr>
              <w:pStyle w:val="ListParagraph"/>
              <w:ind w:left="0"/>
              <w:jc w:val="center"/>
              <w:rPr>
                <w:b/>
                <w:bCs/>
                <w:u w:val="single"/>
              </w:rPr>
            </w:pPr>
            <w:r>
              <w:rPr>
                <w:b/>
                <w:bCs/>
                <w:u w:val="single"/>
              </w:rPr>
              <w:t>Environmental</w:t>
            </w:r>
          </w:p>
          <w:p w14:paraId="6F6BB76E" w14:textId="77777777" w:rsidR="009458E9" w:rsidRDefault="009458E9" w:rsidP="009458E9">
            <w:pPr>
              <w:pStyle w:val="ListParagraph"/>
              <w:ind w:left="0"/>
              <w:jc w:val="center"/>
              <w:rPr>
                <w:b/>
                <w:bCs/>
                <w:u w:val="single"/>
              </w:rPr>
            </w:pPr>
          </w:p>
          <w:p w14:paraId="1268F4FE" w14:textId="77777777" w:rsidR="009458E9" w:rsidRPr="00CA3656" w:rsidRDefault="009458E9" w:rsidP="009458E9">
            <w:pPr>
              <w:pStyle w:val="ListParagraph"/>
              <w:ind w:left="0"/>
            </w:pPr>
            <w:r>
              <w:t>Although digital payments companies don’t have a large impact or a direct one, they are able to increase sustainability of those they do business with by offering them incentives of doing so.</w:t>
            </w:r>
          </w:p>
        </w:tc>
        <w:tc>
          <w:tcPr>
            <w:tcW w:w="1963" w:type="dxa"/>
          </w:tcPr>
          <w:p w14:paraId="5F8B7BD4" w14:textId="77777777" w:rsidR="009458E9" w:rsidRDefault="009458E9" w:rsidP="009458E9">
            <w:pPr>
              <w:pStyle w:val="ListParagraph"/>
              <w:ind w:left="0"/>
              <w:jc w:val="center"/>
              <w:rPr>
                <w:b/>
                <w:bCs/>
                <w:u w:val="single"/>
              </w:rPr>
            </w:pPr>
            <w:r>
              <w:rPr>
                <w:b/>
                <w:bCs/>
                <w:u w:val="single"/>
              </w:rPr>
              <w:t>Legal</w:t>
            </w:r>
          </w:p>
          <w:p w14:paraId="051A5FC4" w14:textId="77777777" w:rsidR="009458E9" w:rsidRDefault="009458E9" w:rsidP="009458E9">
            <w:pPr>
              <w:pStyle w:val="ListParagraph"/>
              <w:ind w:left="0"/>
              <w:jc w:val="center"/>
              <w:rPr>
                <w:b/>
                <w:bCs/>
                <w:u w:val="single"/>
              </w:rPr>
            </w:pPr>
          </w:p>
          <w:p w14:paraId="5FD89D52" w14:textId="4B9151A6" w:rsidR="009458E9" w:rsidRDefault="009458E9" w:rsidP="009458E9">
            <w:pPr>
              <w:pStyle w:val="ListParagraph"/>
              <w:ind w:left="0"/>
            </w:pPr>
            <w:r>
              <w:t xml:space="preserve">Regulations surrounding the industry are ever changing as governments around the world begin to understand more about the control the companies </w:t>
            </w:r>
            <w:proofErr w:type="gramStart"/>
            <w:r>
              <w:t>possess  when</w:t>
            </w:r>
            <w:proofErr w:type="gramEnd"/>
            <w:r>
              <w:t xml:space="preserve"> they do well.</w:t>
            </w:r>
          </w:p>
          <w:p w14:paraId="141838B2" w14:textId="77777777" w:rsidR="009458E9" w:rsidRDefault="009458E9" w:rsidP="009458E9">
            <w:pPr>
              <w:pStyle w:val="ListParagraph"/>
              <w:ind w:left="0"/>
            </w:pPr>
          </w:p>
          <w:p w14:paraId="0043B958" w14:textId="5EF377D7" w:rsidR="009458E9" w:rsidRPr="007B6F5B" w:rsidRDefault="009458E9" w:rsidP="009458E9">
            <w:pPr>
              <w:pStyle w:val="ListParagraph"/>
              <w:ind w:left="0"/>
            </w:pPr>
            <w:r>
              <w:t>Companies which have too much control such as Visa and Mastercard have actin taken against them for their monopolistic business practices.</w:t>
            </w:r>
          </w:p>
          <w:p w14:paraId="412A0CAE" w14:textId="77777777" w:rsidR="009458E9" w:rsidRPr="0069672D" w:rsidRDefault="009458E9" w:rsidP="009458E9">
            <w:pPr>
              <w:pStyle w:val="ListParagraph"/>
              <w:ind w:left="0"/>
              <w:jc w:val="center"/>
              <w:rPr>
                <w:b/>
                <w:bCs/>
                <w:u w:val="single"/>
              </w:rPr>
            </w:pPr>
          </w:p>
        </w:tc>
      </w:tr>
    </w:tbl>
    <w:p w14:paraId="6B81EA82" w14:textId="77777777" w:rsidR="00385260" w:rsidRPr="00DC04B7" w:rsidRDefault="00385260" w:rsidP="00385260">
      <w:pPr>
        <w:pStyle w:val="CommentText"/>
        <w:autoSpaceDN w:val="0"/>
        <w:rPr>
          <w:b/>
          <w:bCs/>
          <w:highlight w:val="green"/>
          <w:u w:val="single"/>
        </w:rPr>
      </w:pPr>
      <w:r w:rsidRPr="00DC04B7">
        <w:rPr>
          <w:b/>
          <w:bCs/>
          <w:highlight w:val="green"/>
          <w:u w:val="single"/>
        </w:rPr>
        <w:t>Political</w:t>
      </w:r>
    </w:p>
    <w:p w14:paraId="720E73AF" w14:textId="77777777" w:rsidR="00385260" w:rsidRPr="00DC04B7" w:rsidRDefault="00385260" w:rsidP="00385260">
      <w:pPr>
        <w:pStyle w:val="CommentText"/>
        <w:numPr>
          <w:ilvl w:val="0"/>
          <w:numId w:val="15"/>
        </w:numPr>
        <w:autoSpaceDN w:val="0"/>
        <w:spacing w:after="160"/>
        <w:rPr>
          <w:highlight w:val="green"/>
        </w:rPr>
      </w:pPr>
      <w:r w:rsidRPr="00DC04B7">
        <w:rPr>
          <w:highlight w:val="green"/>
        </w:rPr>
        <w:t>Demonetization (India)</w:t>
      </w:r>
    </w:p>
    <w:p w14:paraId="2F790785" w14:textId="77777777" w:rsidR="00385260" w:rsidRPr="00DC04B7" w:rsidRDefault="00385260" w:rsidP="00385260">
      <w:pPr>
        <w:pStyle w:val="CommentText"/>
        <w:numPr>
          <w:ilvl w:val="0"/>
          <w:numId w:val="15"/>
        </w:numPr>
        <w:autoSpaceDN w:val="0"/>
        <w:spacing w:after="160"/>
        <w:rPr>
          <w:highlight w:val="green"/>
        </w:rPr>
      </w:pPr>
      <w:r w:rsidRPr="00DC04B7">
        <w:rPr>
          <w:highlight w:val="green"/>
        </w:rPr>
        <w:t>Attitude of ruling party about cards instead of cash</w:t>
      </w:r>
    </w:p>
    <w:p w14:paraId="51225866" w14:textId="77777777" w:rsidR="00385260" w:rsidRPr="00DC04B7" w:rsidRDefault="00385260" w:rsidP="00385260">
      <w:pPr>
        <w:pStyle w:val="CommentText"/>
        <w:numPr>
          <w:ilvl w:val="0"/>
          <w:numId w:val="15"/>
        </w:numPr>
        <w:autoSpaceDN w:val="0"/>
        <w:spacing w:after="160"/>
        <w:rPr>
          <w:highlight w:val="green"/>
        </w:rPr>
      </w:pPr>
      <w:r w:rsidRPr="00DC04B7">
        <w:rPr>
          <w:highlight w:val="green"/>
        </w:rPr>
        <w:t xml:space="preserve">Government backed local </w:t>
      </w:r>
      <w:proofErr w:type="gramStart"/>
      <w:r w:rsidRPr="00DC04B7">
        <w:rPr>
          <w:highlight w:val="green"/>
        </w:rPr>
        <w:t>competitors</w:t>
      </w:r>
      <w:proofErr w:type="gramEnd"/>
    </w:p>
    <w:p w14:paraId="2DA62E27" w14:textId="77777777" w:rsidR="00385260" w:rsidRPr="00DC04B7" w:rsidRDefault="00385260" w:rsidP="00385260">
      <w:pPr>
        <w:pStyle w:val="CommentText"/>
        <w:numPr>
          <w:ilvl w:val="0"/>
          <w:numId w:val="15"/>
        </w:numPr>
        <w:autoSpaceDN w:val="0"/>
        <w:spacing w:after="160"/>
        <w:rPr>
          <w:highlight w:val="green"/>
        </w:rPr>
      </w:pPr>
      <w:r w:rsidRPr="00DC04B7">
        <w:rPr>
          <w:highlight w:val="green"/>
        </w:rPr>
        <w:t>Tax legislations</w:t>
      </w:r>
    </w:p>
    <w:p w14:paraId="5B4553A0" w14:textId="77777777" w:rsidR="00385260" w:rsidRPr="00DC04B7" w:rsidRDefault="00385260" w:rsidP="00385260">
      <w:pPr>
        <w:pStyle w:val="CommentText"/>
        <w:rPr>
          <w:highlight w:val="green"/>
        </w:rPr>
      </w:pPr>
    </w:p>
    <w:p w14:paraId="0DA60994" w14:textId="77777777" w:rsidR="00385260" w:rsidRPr="00DC04B7" w:rsidRDefault="00385260" w:rsidP="00385260">
      <w:pPr>
        <w:pStyle w:val="CommentText"/>
        <w:rPr>
          <w:b/>
          <w:bCs/>
          <w:highlight w:val="green"/>
          <w:u w:val="single"/>
        </w:rPr>
      </w:pPr>
      <w:r w:rsidRPr="00DC04B7">
        <w:rPr>
          <w:b/>
          <w:bCs/>
          <w:highlight w:val="green"/>
          <w:u w:val="single"/>
        </w:rPr>
        <w:t>Social</w:t>
      </w:r>
    </w:p>
    <w:p w14:paraId="35CA2E2F" w14:textId="77777777" w:rsidR="00385260" w:rsidRPr="00DC04B7" w:rsidRDefault="00385260" w:rsidP="00385260">
      <w:pPr>
        <w:pStyle w:val="CommentText"/>
        <w:numPr>
          <w:ilvl w:val="0"/>
          <w:numId w:val="16"/>
        </w:numPr>
        <w:autoSpaceDN w:val="0"/>
        <w:spacing w:after="160"/>
        <w:rPr>
          <w:highlight w:val="green"/>
        </w:rPr>
      </w:pPr>
      <w:r w:rsidRPr="00DC04B7">
        <w:rPr>
          <w:highlight w:val="green"/>
        </w:rPr>
        <w:t>Attitude towards credit cards/savings</w:t>
      </w:r>
    </w:p>
    <w:p w14:paraId="285A9C7D" w14:textId="77777777" w:rsidR="00385260" w:rsidRPr="00DC04B7" w:rsidRDefault="00385260" w:rsidP="00385260">
      <w:pPr>
        <w:pStyle w:val="CommentText"/>
        <w:numPr>
          <w:ilvl w:val="0"/>
          <w:numId w:val="16"/>
        </w:numPr>
        <w:autoSpaceDN w:val="0"/>
        <w:spacing w:after="160"/>
        <w:rPr>
          <w:highlight w:val="green"/>
        </w:rPr>
      </w:pPr>
      <w:r w:rsidRPr="00DC04B7">
        <w:rPr>
          <w:highlight w:val="green"/>
        </w:rPr>
        <w:t xml:space="preserve">Card penetration in developing </w:t>
      </w:r>
      <w:proofErr w:type="gramStart"/>
      <w:r w:rsidRPr="00DC04B7">
        <w:rPr>
          <w:highlight w:val="green"/>
        </w:rPr>
        <w:t>countries</w:t>
      </w:r>
      <w:proofErr w:type="gramEnd"/>
    </w:p>
    <w:p w14:paraId="373231F7" w14:textId="77777777" w:rsidR="00385260" w:rsidRPr="00DC04B7" w:rsidRDefault="00385260" w:rsidP="00385260">
      <w:pPr>
        <w:pStyle w:val="CommentText"/>
        <w:numPr>
          <w:ilvl w:val="0"/>
          <w:numId w:val="16"/>
        </w:numPr>
        <w:autoSpaceDN w:val="0"/>
        <w:spacing w:after="160"/>
        <w:rPr>
          <w:highlight w:val="green"/>
        </w:rPr>
      </w:pPr>
      <w:r w:rsidRPr="00DC04B7">
        <w:rPr>
          <w:highlight w:val="green"/>
        </w:rPr>
        <w:t>Increasing number of elderly people becoming digitally literate</w:t>
      </w:r>
    </w:p>
    <w:p w14:paraId="1BB3A04F" w14:textId="77777777" w:rsidR="00385260" w:rsidRPr="00DC04B7" w:rsidRDefault="00385260" w:rsidP="00385260">
      <w:pPr>
        <w:pStyle w:val="CommentText"/>
        <w:rPr>
          <w:highlight w:val="green"/>
        </w:rPr>
      </w:pPr>
    </w:p>
    <w:p w14:paraId="5519A66D" w14:textId="77777777" w:rsidR="00385260" w:rsidRPr="00DC04B7" w:rsidRDefault="00385260" w:rsidP="00385260">
      <w:pPr>
        <w:pStyle w:val="CommentText"/>
        <w:rPr>
          <w:b/>
          <w:bCs/>
          <w:highlight w:val="green"/>
          <w:u w:val="single"/>
        </w:rPr>
      </w:pPr>
      <w:r w:rsidRPr="00DC04B7">
        <w:rPr>
          <w:b/>
          <w:bCs/>
          <w:highlight w:val="green"/>
          <w:u w:val="single"/>
        </w:rPr>
        <w:t>Technological</w:t>
      </w:r>
    </w:p>
    <w:p w14:paraId="5412987C" w14:textId="77777777" w:rsidR="00385260" w:rsidRPr="00DC04B7" w:rsidRDefault="00385260" w:rsidP="00385260">
      <w:pPr>
        <w:pStyle w:val="CommentText"/>
        <w:numPr>
          <w:ilvl w:val="0"/>
          <w:numId w:val="17"/>
        </w:numPr>
        <w:autoSpaceDN w:val="0"/>
        <w:spacing w:after="160"/>
        <w:rPr>
          <w:highlight w:val="green"/>
        </w:rPr>
      </w:pPr>
      <w:r w:rsidRPr="00DC04B7">
        <w:rPr>
          <w:highlight w:val="green"/>
        </w:rPr>
        <w:t>Impact of technology helping competitors and new entrants</w:t>
      </w:r>
    </w:p>
    <w:p w14:paraId="6870B4AC" w14:textId="77777777" w:rsidR="00385260" w:rsidRPr="00DC04B7" w:rsidRDefault="00385260" w:rsidP="00385260">
      <w:pPr>
        <w:pStyle w:val="CommentText"/>
        <w:numPr>
          <w:ilvl w:val="0"/>
          <w:numId w:val="17"/>
        </w:numPr>
        <w:autoSpaceDN w:val="0"/>
        <w:spacing w:after="160"/>
        <w:rPr>
          <w:highlight w:val="green"/>
        </w:rPr>
      </w:pPr>
      <w:r w:rsidRPr="00DC04B7">
        <w:rPr>
          <w:highlight w:val="green"/>
        </w:rPr>
        <w:t xml:space="preserve">Costs for new technology adoption and prevention of fraud and crime </w:t>
      </w:r>
    </w:p>
    <w:p w14:paraId="46D00C57" w14:textId="77777777" w:rsidR="00385260" w:rsidRPr="00DC04B7" w:rsidRDefault="00385260" w:rsidP="00385260">
      <w:pPr>
        <w:pStyle w:val="CommentText"/>
        <w:numPr>
          <w:ilvl w:val="0"/>
          <w:numId w:val="17"/>
        </w:numPr>
        <w:autoSpaceDN w:val="0"/>
        <w:spacing w:after="160"/>
        <w:rPr>
          <w:highlight w:val="green"/>
        </w:rPr>
      </w:pPr>
      <w:r w:rsidRPr="00DC04B7">
        <w:rPr>
          <w:highlight w:val="green"/>
        </w:rPr>
        <w:t xml:space="preserve">Crypto currency gaining market </w:t>
      </w:r>
      <w:proofErr w:type="gramStart"/>
      <w:r w:rsidRPr="00DC04B7">
        <w:rPr>
          <w:highlight w:val="green"/>
        </w:rPr>
        <w:t>share</w:t>
      </w:r>
      <w:proofErr w:type="gramEnd"/>
    </w:p>
    <w:p w14:paraId="367647FD" w14:textId="77777777" w:rsidR="00385260" w:rsidRPr="00DC04B7" w:rsidRDefault="00385260" w:rsidP="00385260">
      <w:pPr>
        <w:pStyle w:val="CommentText"/>
        <w:numPr>
          <w:ilvl w:val="0"/>
          <w:numId w:val="17"/>
        </w:numPr>
        <w:autoSpaceDN w:val="0"/>
        <w:spacing w:after="160"/>
        <w:rPr>
          <w:highlight w:val="green"/>
        </w:rPr>
      </w:pPr>
      <w:r w:rsidRPr="00DC04B7">
        <w:rPr>
          <w:highlight w:val="green"/>
        </w:rPr>
        <w:t xml:space="preserve">Emerging mobile wallets like </w:t>
      </w:r>
      <w:proofErr w:type="spellStart"/>
      <w:r w:rsidRPr="00DC04B7">
        <w:rPr>
          <w:highlight w:val="green"/>
        </w:rPr>
        <w:t>paypal</w:t>
      </w:r>
      <w:proofErr w:type="spellEnd"/>
    </w:p>
    <w:p w14:paraId="72B47B57" w14:textId="77777777" w:rsidR="00385260" w:rsidRPr="00DC04B7" w:rsidRDefault="00385260" w:rsidP="00385260">
      <w:pPr>
        <w:pStyle w:val="CommentText"/>
        <w:numPr>
          <w:ilvl w:val="0"/>
          <w:numId w:val="17"/>
        </w:numPr>
        <w:autoSpaceDN w:val="0"/>
        <w:spacing w:after="160"/>
        <w:rPr>
          <w:highlight w:val="green"/>
        </w:rPr>
      </w:pPr>
      <w:r w:rsidRPr="00DC04B7">
        <w:rPr>
          <w:highlight w:val="green"/>
        </w:rPr>
        <w:t xml:space="preserve">Penetration of ATMs and Point of </w:t>
      </w:r>
      <w:proofErr w:type="gramStart"/>
      <w:r w:rsidRPr="00DC04B7">
        <w:rPr>
          <w:highlight w:val="green"/>
        </w:rPr>
        <w:t>sale</w:t>
      </w:r>
      <w:proofErr w:type="gramEnd"/>
    </w:p>
    <w:p w14:paraId="10ECAEEC" w14:textId="77777777" w:rsidR="00385260" w:rsidRPr="00DC04B7" w:rsidRDefault="00385260" w:rsidP="00385260">
      <w:pPr>
        <w:pStyle w:val="CommentText"/>
        <w:numPr>
          <w:ilvl w:val="0"/>
          <w:numId w:val="17"/>
        </w:numPr>
        <w:autoSpaceDN w:val="0"/>
        <w:spacing w:after="160"/>
        <w:rPr>
          <w:highlight w:val="green"/>
        </w:rPr>
      </w:pPr>
      <w:r w:rsidRPr="00DC04B7">
        <w:rPr>
          <w:highlight w:val="green"/>
        </w:rPr>
        <w:t>Tokenization, Biometrics, Machine learning</w:t>
      </w:r>
    </w:p>
    <w:p w14:paraId="62FF4004" w14:textId="77777777" w:rsidR="00385260" w:rsidRPr="00DC04B7" w:rsidRDefault="00385260" w:rsidP="00385260">
      <w:pPr>
        <w:pStyle w:val="CommentText"/>
        <w:numPr>
          <w:ilvl w:val="0"/>
          <w:numId w:val="17"/>
        </w:numPr>
        <w:autoSpaceDN w:val="0"/>
        <w:spacing w:after="160"/>
        <w:rPr>
          <w:highlight w:val="green"/>
        </w:rPr>
      </w:pPr>
      <w:r w:rsidRPr="00DC04B7">
        <w:rPr>
          <w:highlight w:val="green"/>
        </w:rPr>
        <w:t xml:space="preserve">Tap to pay, Scan to </w:t>
      </w:r>
      <w:proofErr w:type="gramStart"/>
      <w:r w:rsidRPr="00DC04B7">
        <w:rPr>
          <w:highlight w:val="green"/>
        </w:rPr>
        <w:t>pay</w:t>
      </w:r>
      <w:proofErr w:type="gramEnd"/>
    </w:p>
    <w:p w14:paraId="7547C0B4" w14:textId="77777777" w:rsidR="00385260" w:rsidRPr="00DC04B7" w:rsidRDefault="00385260" w:rsidP="00385260">
      <w:pPr>
        <w:pStyle w:val="CommentText"/>
        <w:rPr>
          <w:highlight w:val="green"/>
        </w:rPr>
      </w:pPr>
    </w:p>
    <w:p w14:paraId="5CB89EC4" w14:textId="77777777" w:rsidR="00385260" w:rsidRPr="00DC04B7" w:rsidRDefault="00385260" w:rsidP="00385260">
      <w:pPr>
        <w:pStyle w:val="CommentText"/>
        <w:rPr>
          <w:b/>
          <w:bCs/>
          <w:highlight w:val="green"/>
          <w:u w:val="single"/>
        </w:rPr>
      </w:pPr>
      <w:r w:rsidRPr="00DC04B7">
        <w:rPr>
          <w:b/>
          <w:bCs/>
          <w:highlight w:val="green"/>
          <w:u w:val="single"/>
        </w:rPr>
        <w:t>Environmental</w:t>
      </w:r>
    </w:p>
    <w:p w14:paraId="31AFBC44" w14:textId="77777777" w:rsidR="00385260" w:rsidRPr="00DC04B7" w:rsidRDefault="00385260" w:rsidP="00385260">
      <w:pPr>
        <w:pStyle w:val="CommentText"/>
        <w:numPr>
          <w:ilvl w:val="0"/>
          <w:numId w:val="18"/>
        </w:numPr>
        <w:autoSpaceDN w:val="0"/>
        <w:spacing w:after="16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3DD6483B" w14:textId="77777777" w:rsidR="00385260" w:rsidRPr="00DC04B7" w:rsidRDefault="00385260" w:rsidP="00385260">
      <w:pPr>
        <w:pStyle w:val="CommentText"/>
        <w:numPr>
          <w:ilvl w:val="0"/>
          <w:numId w:val="18"/>
        </w:numPr>
        <w:autoSpaceDN w:val="0"/>
        <w:spacing w:after="160"/>
        <w:rPr>
          <w:highlight w:val="green"/>
        </w:rPr>
      </w:pPr>
      <w:r w:rsidRPr="00DC04B7">
        <w:rPr>
          <w:highlight w:val="green"/>
        </w:rPr>
        <w:t>Seasonality impact on spending patterns</w:t>
      </w:r>
    </w:p>
    <w:p w14:paraId="609DDCDE" w14:textId="77777777" w:rsidR="00385260" w:rsidRPr="00DC04B7" w:rsidRDefault="00385260" w:rsidP="00385260">
      <w:pPr>
        <w:pStyle w:val="CommentText"/>
        <w:numPr>
          <w:ilvl w:val="0"/>
          <w:numId w:val="18"/>
        </w:numPr>
        <w:autoSpaceDN w:val="0"/>
        <w:spacing w:after="16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232F1DE5" w14:textId="77777777" w:rsidR="00385260" w:rsidRPr="00DC04B7" w:rsidRDefault="00385260" w:rsidP="00385260">
      <w:pPr>
        <w:pStyle w:val="CommentText"/>
        <w:rPr>
          <w:b/>
          <w:bCs/>
          <w:highlight w:val="green"/>
          <w:u w:val="single"/>
        </w:rPr>
      </w:pPr>
      <w:r w:rsidRPr="00DC04B7">
        <w:rPr>
          <w:b/>
          <w:bCs/>
          <w:highlight w:val="green"/>
          <w:u w:val="single"/>
        </w:rPr>
        <w:t>Legal</w:t>
      </w:r>
    </w:p>
    <w:p w14:paraId="619AAD96" w14:textId="77777777" w:rsidR="00385260" w:rsidRPr="00DC04B7" w:rsidRDefault="00385260" w:rsidP="00385260">
      <w:pPr>
        <w:pStyle w:val="CommentText"/>
        <w:numPr>
          <w:ilvl w:val="0"/>
          <w:numId w:val="19"/>
        </w:numPr>
        <w:autoSpaceDN w:val="0"/>
        <w:spacing w:after="160"/>
        <w:rPr>
          <w:highlight w:val="green"/>
        </w:rPr>
      </w:pPr>
      <w:r w:rsidRPr="00DC04B7">
        <w:rPr>
          <w:highlight w:val="green"/>
        </w:rPr>
        <w:t>KYC and privacy laws in various countries</w:t>
      </w:r>
    </w:p>
    <w:p w14:paraId="060233B4" w14:textId="77777777" w:rsidR="00385260" w:rsidRPr="00DC04B7" w:rsidRDefault="00385260" w:rsidP="00385260">
      <w:pPr>
        <w:pStyle w:val="CommentText"/>
        <w:numPr>
          <w:ilvl w:val="0"/>
          <w:numId w:val="19"/>
        </w:numPr>
        <w:autoSpaceDN w:val="0"/>
        <w:spacing w:after="160"/>
        <w:rPr>
          <w:highlight w:val="green"/>
        </w:rPr>
      </w:pPr>
      <w:r w:rsidRPr="00DC04B7">
        <w:rPr>
          <w:highlight w:val="green"/>
        </w:rPr>
        <w:t>Anti money-laundering laws</w:t>
      </w:r>
    </w:p>
    <w:p w14:paraId="1D863C8F" w14:textId="77777777" w:rsidR="00385260" w:rsidRPr="00DC04B7" w:rsidRDefault="00385260" w:rsidP="00385260">
      <w:pPr>
        <w:pStyle w:val="CommentText"/>
        <w:numPr>
          <w:ilvl w:val="0"/>
          <w:numId w:val="19"/>
        </w:numPr>
        <w:autoSpaceDN w:val="0"/>
        <w:spacing w:after="160"/>
        <w:rPr>
          <w:highlight w:val="green"/>
        </w:rPr>
      </w:pPr>
      <w:r w:rsidRPr="00DC04B7">
        <w:rPr>
          <w:highlight w:val="green"/>
        </w:rPr>
        <w:t>Privacy and data protection laws</w:t>
      </w:r>
    </w:p>
    <w:p w14:paraId="05C55AFB" w14:textId="0A38A317" w:rsidR="009A40E7" w:rsidRDefault="009A40E7" w:rsidP="00F17865"/>
    <w:p w14:paraId="4E623DEF" w14:textId="618FD180" w:rsidR="00591A0D" w:rsidRDefault="00591A0D" w:rsidP="00F17865">
      <w:r>
        <w:t xml:space="preserve">Overall, </w:t>
      </w:r>
      <w:r w:rsidR="0008008E">
        <w:t xml:space="preserve">the outlook for Visa is that of high risk. They see an environment around them that has extreme competition and constant </w:t>
      </w:r>
      <w:r w:rsidR="00D63DB5">
        <w:t xml:space="preserve">evolution with a lack of ability to adapt externally through mergers, acquisitions or further patents and trademarks. </w:t>
      </w:r>
      <w:r w:rsidR="00D01391">
        <w:t xml:space="preserve">This requires them to attempt to build from within which parallels their current strategy they are enforcing, allowing </w:t>
      </w:r>
      <w:r w:rsidR="00F7534A">
        <w:t xml:space="preserve">competitors to research potential technologies and move forward then </w:t>
      </w:r>
      <w:r w:rsidR="004D59C9">
        <w:t xml:space="preserve">building upon the </w:t>
      </w:r>
      <w:r w:rsidR="00EE0B75">
        <w:t>newfound</w:t>
      </w:r>
      <w:r w:rsidR="004D59C9">
        <w:t xml:space="preserve"> technologies. This allows for Visa to see what is good and what is bad and see others spend excess funds on failures. </w:t>
      </w:r>
      <w:r w:rsidR="00EE0B75">
        <w:t>These risks</w:t>
      </w:r>
      <w:r w:rsidR="00051FF9">
        <w:t xml:space="preserve"> they avoid by employing this strategy can be seen through the outcomes at </w:t>
      </w:r>
      <w:r w:rsidR="00EE0B75">
        <w:t>PayPal</w:t>
      </w:r>
      <w:r w:rsidR="00051FF9">
        <w:t xml:space="preserve"> who look for new technologies regularly </w:t>
      </w:r>
      <w:r w:rsidR="00EE0B75">
        <w:t>which Visa imitate to better effect.</w:t>
      </w:r>
    </w:p>
    <w:p w14:paraId="512A4C88" w14:textId="7854B24A" w:rsidR="00EE0B75" w:rsidRDefault="00D361BF" w:rsidP="00F17865">
      <w:r>
        <w:t xml:space="preserve">The lack of ability to grow externally however, although working out for them currently can lead to customers moving to competitors due to </w:t>
      </w:r>
      <w:r w:rsidR="009D3959">
        <w:t xml:space="preserve">better, more efficient technologies which require higher incentives to </w:t>
      </w:r>
      <w:r w:rsidR="00F01274">
        <w:t>reacquire</w:t>
      </w:r>
      <w:r w:rsidR="00933B2B">
        <w:t xml:space="preserve">. </w:t>
      </w:r>
      <w:r w:rsidR="00BA6070">
        <w:t xml:space="preserve">This </w:t>
      </w:r>
      <w:r w:rsidR="00A47634">
        <w:t xml:space="preserve">is the biggest risk as Visa can’t begin to grow externally until their competitors catch up which is beginning to make their </w:t>
      </w:r>
      <w:r w:rsidR="00B978B3">
        <w:t>growth expectations in the stock market lower  which leads to less investors believing in their financial g</w:t>
      </w:r>
      <w:r w:rsidR="00B563E8">
        <w:t xml:space="preserve">rowth, if investors believe in the industry they would be better off investing in their competitors before </w:t>
      </w:r>
      <w:r w:rsidR="00E55A6B">
        <w:t xml:space="preserve">investing in Visa as they have to catch up to Visa before Visa’s investment would make due to the increased expected growth. This statement is backed up by the P/E performance of </w:t>
      </w:r>
      <w:r w:rsidR="00F01274">
        <w:t>PayPal</w:t>
      </w:r>
      <w:r w:rsidR="00D524BE">
        <w:t>.</w:t>
      </w:r>
    </w:p>
    <w:p w14:paraId="08ED2DD8" w14:textId="77777777" w:rsidR="00385260" w:rsidRDefault="00385260" w:rsidP="00F17865"/>
    <w:p w14:paraId="20D5300E" w14:textId="77777777" w:rsidR="00385260" w:rsidRPr="00AA4E7B" w:rsidRDefault="00385260" w:rsidP="00385260">
      <w:pPr>
        <w:rPr>
          <w:b/>
        </w:rPr>
      </w:pPr>
      <w:r w:rsidRPr="00AA4E7B">
        <w:rPr>
          <w:b/>
          <w:highlight w:val="green"/>
        </w:rPr>
        <w:t>Industry Analysis/Key strategies</w:t>
      </w:r>
    </w:p>
    <w:p w14:paraId="2DA14C73" w14:textId="77777777" w:rsidR="00385260" w:rsidRDefault="00385260" w:rsidP="00385260">
      <w:pPr>
        <w:rPr>
          <w:rFonts w:cs="Calibri"/>
          <w:shd w:val="clear" w:color="auto" w:fill="00FF00"/>
        </w:rPr>
      </w:pPr>
    </w:p>
    <w:p w14:paraId="1FFE9692" w14:textId="77777777" w:rsidR="00385260" w:rsidRDefault="00385260" w:rsidP="00385260">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04E31AC3" w14:textId="77777777" w:rsidR="00385260" w:rsidRDefault="00385260" w:rsidP="00385260">
      <w:pPr>
        <w:rPr>
          <w:rFonts w:cs="Calibri"/>
          <w:shd w:val="clear" w:color="auto" w:fill="00FF00"/>
        </w:rPr>
      </w:pPr>
    </w:p>
    <w:p w14:paraId="17865567" w14:textId="77777777" w:rsidR="00385260" w:rsidRDefault="00385260" w:rsidP="00385260">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17870A7D" w14:textId="77777777" w:rsidR="00385260" w:rsidRDefault="00385260" w:rsidP="00385260">
      <w:pPr>
        <w:rPr>
          <w:rFonts w:cs="Calibri"/>
          <w:shd w:val="clear" w:color="auto" w:fill="00FF00"/>
        </w:rPr>
      </w:pPr>
    </w:p>
    <w:p w14:paraId="32AA2E7C" w14:textId="77777777" w:rsidR="00385260" w:rsidRDefault="00385260" w:rsidP="00385260">
      <w:r>
        <w:rPr>
          <w:rFonts w:cs="Calibri"/>
          <w:shd w:val="clear" w:color="auto" w:fill="00FF00"/>
        </w:rPr>
        <w:t xml:space="preserve">Visa provides auxiliary or value – added services which is a growth opportunity. Visa’s fraud and security services run by artificial intelligence-powered risk scoring engine helped financial </w:t>
      </w:r>
      <w:r>
        <w:rPr>
          <w:rFonts w:cs="Calibri"/>
          <w:shd w:val="clear" w:color="auto" w:fill="00FF00"/>
        </w:rPr>
        <w:lastRenderedPageBreak/>
        <w:t xml:space="preserve">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45C6130E" w14:textId="77777777" w:rsidR="00385260" w:rsidRDefault="00385260" w:rsidP="00385260">
      <w:pPr>
        <w:rPr>
          <w:rFonts w:cs="Calibri"/>
          <w:shd w:val="clear" w:color="auto" w:fill="00FF00"/>
        </w:rPr>
      </w:pPr>
    </w:p>
    <w:p w14:paraId="5AD5C8EA" w14:textId="77777777" w:rsidR="00385260" w:rsidRDefault="00385260" w:rsidP="00385260">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5A343B56" w14:textId="77777777" w:rsidR="00385260" w:rsidRPr="00F17865" w:rsidRDefault="00385260" w:rsidP="00F17865"/>
    <w:sectPr w:rsidR="00385260" w:rsidRPr="00F17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DA1"/>
    <w:multiLevelType w:val="hybridMultilevel"/>
    <w:tmpl w:val="A0A2D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1411B7"/>
    <w:multiLevelType w:val="hybridMultilevel"/>
    <w:tmpl w:val="B3A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F1AD9"/>
    <w:multiLevelType w:val="hybridMultilevel"/>
    <w:tmpl w:val="5CE8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3602C"/>
    <w:multiLevelType w:val="hybridMultilevel"/>
    <w:tmpl w:val="7710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E2B9A"/>
    <w:multiLevelType w:val="hybridMultilevel"/>
    <w:tmpl w:val="E964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F6CF8"/>
    <w:multiLevelType w:val="hybridMultilevel"/>
    <w:tmpl w:val="557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A7AF5"/>
    <w:multiLevelType w:val="hybridMultilevel"/>
    <w:tmpl w:val="6AA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B092A"/>
    <w:multiLevelType w:val="hybridMultilevel"/>
    <w:tmpl w:val="993A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F4D6738"/>
    <w:multiLevelType w:val="hybridMultilevel"/>
    <w:tmpl w:val="400C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70BEA"/>
    <w:multiLevelType w:val="hybridMultilevel"/>
    <w:tmpl w:val="8C52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21752">
    <w:abstractNumId w:val="13"/>
  </w:num>
  <w:num w:numId="2" w16cid:durableId="1246382041">
    <w:abstractNumId w:val="0"/>
  </w:num>
  <w:num w:numId="3" w16cid:durableId="654381122">
    <w:abstractNumId w:val="17"/>
  </w:num>
  <w:num w:numId="4" w16cid:durableId="1429235135">
    <w:abstractNumId w:val="4"/>
  </w:num>
  <w:num w:numId="5" w16cid:durableId="1262180659">
    <w:abstractNumId w:val="11"/>
  </w:num>
  <w:num w:numId="6" w16cid:durableId="131021435">
    <w:abstractNumId w:val="10"/>
  </w:num>
  <w:num w:numId="7" w16cid:durableId="1875195345">
    <w:abstractNumId w:val="12"/>
  </w:num>
  <w:num w:numId="8" w16cid:durableId="1363705040">
    <w:abstractNumId w:val="2"/>
  </w:num>
  <w:num w:numId="9" w16cid:durableId="951980512">
    <w:abstractNumId w:val="18"/>
  </w:num>
  <w:num w:numId="10" w16cid:durableId="215317202">
    <w:abstractNumId w:val="6"/>
  </w:num>
  <w:num w:numId="11" w16cid:durableId="1582256106">
    <w:abstractNumId w:val="3"/>
  </w:num>
  <w:num w:numId="12" w16cid:durableId="678970981">
    <w:abstractNumId w:val="9"/>
  </w:num>
  <w:num w:numId="13" w16cid:durableId="1052191988">
    <w:abstractNumId w:val="14"/>
  </w:num>
  <w:num w:numId="14" w16cid:durableId="1902905287">
    <w:abstractNumId w:val="5"/>
  </w:num>
  <w:num w:numId="15" w16cid:durableId="1945114747">
    <w:abstractNumId w:val="16"/>
  </w:num>
  <w:num w:numId="16" w16cid:durableId="1959751595">
    <w:abstractNumId w:val="15"/>
  </w:num>
  <w:num w:numId="17" w16cid:durableId="443547723">
    <w:abstractNumId w:val="1"/>
  </w:num>
  <w:num w:numId="18" w16cid:durableId="1533155878">
    <w:abstractNumId w:val="7"/>
  </w:num>
  <w:num w:numId="19" w16cid:durableId="782918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65"/>
    <w:rsid w:val="0001128D"/>
    <w:rsid w:val="0002535A"/>
    <w:rsid w:val="000443AB"/>
    <w:rsid w:val="00046F91"/>
    <w:rsid w:val="00051FF9"/>
    <w:rsid w:val="00063B5C"/>
    <w:rsid w:val="000647DC"/>
    <w:rsid w:val="0008008E"/>
    <w:rsid w:val="00081496"/>
    <w:rsid w:val="000911F9"/>
    <w:rsid w:val="00093827"/>
    <w:rsid w:val="00093CDE"/>
    <w:rsid w:val="000A2DB6"/>
    <w:rsid w:val="000C1254"/>
    <w:rsid w:val="000C2E7E"/>
    <w:rsid w:val="000C4A31"/>
    <w:rsid w:val="000C7F87"/>
    <w:rsid w:val="000D550F"/>
    <w:rsid w:val="000D6684"/>
    <w:rsid w:val="000E03E9"/>
    <w:rsid w:val="000E081C"/>
    <w:rsid w:val="000E7E14"/>
    <w:rsid w:val="00111993"/>
    <w:rsid w:val="00135A21"/>
    <w:rsid w:val="00147C90"/>
    <w:rsid w:val="0016013A"/>
    <w:rsid w:val="00161A12"/>
    <w:rsid w:val="00173D74"/>
    <w:rsid w:val="00180712"/>
    <w:rsid w:val="00183621"/>
    <w:rsid w:val="001859CE"/>
    <w:rsid w:val="0019661B"/>
    <w:rsid w:val="001A39C5"/>
    <w:rsid w:val="001A442B"/>
    <w:rsid w:val="001B2C5A"/>
    <w:rsid w:val="001B5B1D"/>
    <w:rsid w:val="001D71A9"/>
    <w:rsid w:val="001E1266"/>
    <w:rsid w:val="001F0852"/>
    <w:rsid w:val="001F221A"/>
    <w:rsid w:val="001F27EE"/>
    <w:rsid w:val="00220A29"/>
    <w:rsid w:val="00222E29"/>
    <w:rsid w:val="00227B36"/>
    <w:rsid w:val="00230413"/>
    <w:rsid w:val="00231B37"/>
    <w:rsid w:val="00232432"/>
    <w:rsid w:val="00233ABE"/>
    <w:rsid w:val="002365BD"/>
    <w:rsid w:val="0025153B"/>
    <w:rsid w:val="002540FC"/>
    <w:rsid w:val="002826A9"/>
    <w:rsid w:val="002A0455"/>
    <w:rsid w:val="002A3732"/>
    <w:rsid w:val="002A4CC2"/>
    <w:rsid w:val="002A6D1F"/>
    <w:rsid w:val="002C7664"/>
    <w:rsid w:val="002D1EC9"/>
    <w:rsid w:val="002D2D74"/>
    <w:rsid w:val="002D59FA"/>
    <w:rsid w:val="002F5512"/>
    <w:rsid w:val="00304154"/>
    <w:rsid w:val="00323A6A"/>
    <w:rsid w:val="00332FC9"/>
    <w:rsid w:val="00340D5B"/>
    <w:rsid w:val="00341DC0"/>
    <w:rsid w:val="00346494"/>
    <w:rsid w:val="00363B2D"/>
    <w:rsid w:val="003729C3"/>
    <w:rsid w:val="003754B0"/>
    <w:rsid w:val="00375FCA"/>
    <w:rsid w:val="00380B69"/>
    <w:rsid w:val="00385260"/>
    <w:rsid w:val="00394E1B"/>
    <w:rsid w:val="003A2FC8"/>
    <w:rsid w:val="003A3B95"/>
    <w:rsid w:val="003A6FE3"/>
    <w:rsid w:val="003B6EB6"/>
    <w:rsid w:val="003D5044"/>
    <w:rsid w:val="003F4B86"/>
    <w:rsid w:val="00400FB0"/>
    <w:rsid w:val="0041416E"/>
    <w:rsid w:val="004141A5"/>
    <w:rsid w:val="00415D5E"/>
    <w:rsid w:val="0042736B"/>
    <w:rsid w:val="00427BBB"/>
    <w:rsid w:val="00432738"/>
    <w:rsid w:val="00432CDB"/>
    <w:rsid w:val="004500F4"/>
    <w:rsid w:val="00467738"/>
    <w:rsid w:val="0047348C"/>
    <w:rsid w:val="00480E7A"/>
    <w:rsid w:val="00484AFA"/>
    <w:rsid w:val="004A20A0"/>
    <w:rsid w:val="004B4E39"/>
    <w:rsid w:val="004C2EDA"/>
    <w:rsid w:val="004D59C9"/>
    <w:rsid w:val="004F3692"/>
    <w:rsid w:val="00502B1F"/>
    <w:rsid w:val="005033CE"/>
    <w:rsid w:val="00504150"/>
    <w:rsid w:val="00511178"/>
    <w:rsid w:val="005129AF"/>
    <w:rsid w:val="00513405"/>
    <w:rsid w:val="00527404"/>
    <w:rsid w:val="00537E25"/>
    <w:rsid w:val="0055516F"/>
    <w:rsid w:val="005649E7"/>
    <w:rsid w:val="0057000A"/>
    <w:rsid w:val="005774C6"/>
    <w:rsid w:val="00581803"/>
    <w:rsid w:val="00591A0D"/>
    <w:rsid w:val="005A1EAD"/>
    <w:rsid w:val="005A3FEB"/>
    <w:rsid w:val="005A6B12"/>
    <w:rsid w:val="005B221F"/>
    <w:rsid w:val="005B4D96"/>
    <w:rsid w:val="005C3070"/>
    <w:rsid w:val="005E7156"/>
    <w:rsid w:val="005E7F27"/>
    <w:rsid w:val="006110EA"/>
    <w:rsid w:val="006165C2"/>
    <w:rsid w:val="006261D6"/>
    <w:rsid w:val="00646DCB"/>
    <w:rsid w:val="00655C24"/>
    <w:rsid w:val="00656323"/>
    <w:rsid w:val="0069147D"/>
    <w:rsid w:val="00695E3D"/>
    <w:rsid w:val="0069672D"/>
    <w:rsid w:val="006A3491"/>
    <w:rsid w:val="006B5D57"/>
    <w:rsid w:val="006B7498"/>
    <w:rsid w:val="006D53AA"/>
    <w:rsid w:val="006E14B0"/>
    <w:rsid w:val="006E629E"/>
    <w:rsid w:val="006F6B9B"/>
    <w:rsid w:val="00704D02"/>
    <w:rsid w:val="00721874"/>
    <w:rsid w:val="007378BB"/>
    <w:rsid w:val="0074309C"/>
    <w:rsid w:val="00743A85"/>
    <w:rsid w:val="00754080"/>
    <w:rsid w:val="007544B4"/>
    <w:rsid w:val="007674E9"/>
    <w:rsid w:val="00787EA5"/>
    <w:rsid w:val="00796AC6"/>
    <w:rsid w:val="007B08D0"/>
    <w:rsid w:val="007B22ED"/>
    <w:rsid w:val="007B3A9A"/>
    <w:rsid w:val="007B4546"/>
    <w:rsid w:val="007B6F5B"/>
    <w:rsid w:val="007C7271"/>
    <w:rsid w:val="007D066C"/>
    <w:rsid w:val="007D513A"/>
    <w:rsid w:val="007E79A4"/>
    <w:rsid w:val="007F423C"/>
    <w:rsid w:val="00816004"/>
    <w:rsid w:val="008220E1"/>
    <w:rsid w:val="0084753C"/>
    <w:rsid w:val="00871178"/>
    <w:rsid w:val="00873E47"/>
    <w:rsid w:val="008840D2"/>
    <w:rsid w:val="00895A4D"/>
    <w:rsid w:val="008A1BCE"/>
    <w:rsid w:val="008A71A5"/>
    <w:rsid w:val="008B2FCE"/>
    <w:rsid w:val="008C71A1"/>
    <w:rsid w:val="008D416E"/>
    <w:rsid w:val="008D4F76"/>
    <w:rsid w:val="008D5AB2"/>
    <w:rsid w:val="008D6BA6"/>
    <w:rsid w:val="008E5711"/>
    <w:rsid w:val="008F3AD4"/>
    <w:rsid w:val="00900E9D"/>
    <w:rsid w:val="00900F7E"/>
    <w:rsid w:val="00903F1B"/>
    <w:rsid w:val="00905F29"/>
    <w:rsid w:val="00907EDC"/>
    <w:rsid w:val="00922126"/>
    <w:rsid w:val="00927293"/>
    <w:rsid w:val="00933B2B"/>
    <w:rsid w:val="009458E9"/>
    <w:rsid w:val="00956F0B"/>
    <w:rsid w:val="00980616"/>
    <w:rsid w:val="00990C63"/>
    <w:rsid w:val="009A40E7"/>
    <w:rsid w:val="009A4FA5"/>
    <w:rsid w:val="009C0C6B"/>
    <w:rsid w:val="009C2DEE"/>
    <w:rsid w:val="009C7A77"/>
    <w:rsid w:val="009D3959"/>
    <w:rsid w:val="00A00A51"/>
    <w:rsid w:val="00A05084"/>
    <w:rsid w:val="00A10D41"/>
    <w:rsid w:val="00A1387E"/>
    <w:rsid w:val="00A14AFA"/>
    <w:rsid w:val="00A2705F"/>
    <w:rsid w:val="00A47634"/>
    <w:rsid w:val="00A52379"/>
    <w:rsid w:val="00A66100"/>
    <w:rsid w:val="00A8668F"/>
    <w:rsid w:val="00A87CAA"/>
    <w:rsid w:val="00A901EA"/>
    <w:rsid w:val="00A91875"/>
    <w:rsid w:val="00AA5E65"/>
    <w:rsid w:val="00AC68F6"/>
    <w:rsid w:val="00AD3A9C"/>
    <w:rsid w:val="00AE7316"/>
    <w:rsid w:val="00AE79AA"/>
    <w:rsid w:val="00AF04B4"/>
    <w:rsid w:val="00AF4D8F"/>
    <w:rsid w:val="00AF6732"/>
    <w:rsid w:val="00AF7F69"/>
    <w:rsid w:val="00B15B98"/>
    <w:rsid w:val="00B20D86"/>
    <w:rsid w:val="00B4435A"/>
    <w:rsid w:val="00B46E4B"/>
    <w:rsid w:val="00B563E8"/>
    <w:rsid w:val="00B63311"/>
    <w:rsid w:val="00B64FA6"/>
    <w:rsid w:val="00B66E09"/>
    <w:rsid w:val="00B80E70"/>
    <w:rsid w:val="00B9611B"/>
    <w:rsid w:val="00B978B3"/>
    <w:rsid w:val="00BA30A2"/>
    <w:rsid w:val="00BA6070"/>
    <w:rsid w:val="00BA7643"/>
    <w:rsid w:val="00BC2E0A"/>
    <w:rsid w:val="00BD6AD8"/>
    <w:rsid w:val="00BE4A09"/>
    <w:rsid w:val="00BE67AD"/>
    <w:rsid w:val="00BF117C"/>
    <w:rsid w:val="00BF1ACA"/>
    <w:rsid w:val="00C05079"/>
    <w:rsid w:val="00C161B2"/>
    <w:rsid w:val="00C26CDD"/>
    <w:rsid w:val="00C638A5"/>
    <w:rsid w:val="00C6620E"/>
    <w:rsid w:val="00C7244C"/>
    <w:rsid w:val="00C831C1"/>
    <w:rsid w:val="00C87787"/>
    <w:rsid w:val="00C92438"/>
    <w:rsid w:val="00CA23C7"/>
    <w:rsid w:val="00CA32C3"/>
    <w:rsid w:val="00CA3656"/>
    <w:rsid w:val="00CB067B"/>
    <w:rsid w:val="00CB2377"/>
    <w:rsid w:val="00CC3129"/>
    <w:rsid w:val="00CC4B37"/>
    <w:rsid w:val="00CD10F4"/>
    <w:rsid w:val="00CD4791"/>
    <w:rsid w:val="00CD5D29"/>
    <w:rsid w:val="00CF5DD5"/>
    <w:rsid w:val="00CF6884"/>
    <w:rsid w:val="00D01391"/>
    <w:rsid w:val="00D12AEB"/>
    <w:rsid w:val="00D16112"/>
    <w:rsid w:val="00D17680"/>
    <w:rsid w:val="00D2277E"/>
    <w:rsid w:val="00D25600"/>
    <w:rsid w:val="00D25EC0"/>
    <w:rsid w:val="00D35B83"/>
    <w:rsid w:val="00D361BF"/>
    <w:rsid w:val="00D524BE"/>
    <w:rsid w:val="00D63DB5"/>
    <w:rsid w:val="00D640C7"/>
    <w:rsid w:val="00D7122E"/>
    <w:rsid w:val="00D73BAE"/>
    <w:rsid w:val="00D867F5"/>
    <w:rsid w:val="00D871EA"/>
    <w:rsid w:val="00DA4DAD"/>
    <w:rsid w:val="00DB2442"/>
    <w:rsid w:val="00DC0AEF"/>
    <w:rsid w:val="00DD6696"/>
    <w:rsid w:val="00DE6371"/>
    <w:rsid w:val="00DF389B"/>
    <w:rsid w:val="00DF6FCF"/>
    <w:rsid w:val="00E0487A"/>
    <w:rsid w:val="00E06D4F"/>
    <w:rsid w:val="00E339DA"/>
    <w:rsid w:val="00E355D6"/>
    <w:rsid w:val="00E41D63"/>
    <w:rsid w:val="00E426D9"/>
    <w:rsid w:val="00E43B08"/>
    <w:rsid w:val="00E53497"/>
    <w:rsid w:val="00E55A6B"/>
    <w:rsid w:val="00E55D69"/>
    <w:rsid w:val="00E56949"/>
    <w:rsid w:val="00E56B04"/>
    <w:rsid w:val="00E716F1"/>
    <w:rsid w:val="00E72517"/>
    <w:rsid w:val="00E86247"/>
    <w:rsid w:val="00E9384B"/>
    <w:rsid w:val="00E94297"/>
    <w:rsid w:val="00E94EBC"/>
    <w:rsid w:val="00EB0578"/>
    <w:rsid w:val="00EB40C9"/>
    <w:rsid w:val="00ED069C"/>
    <w:rsid w:val="00EE0B75"/>
    <w:rsid w:val="00EF1B78"/>
    <w:rsid w:val="00EF4D34"/>
    <w:rsid w:val="00EF6AD2"/>
    <w:rsid w:val="00F01274"/>
    <w:rsid w:val="00F06808"/>
    <w:rsid w:val="00F070EB"/>
    <w:rsid w:val="00F12FE3"/>
    <w:rsid w:val="00F142EA"/>
    <w:rsid w:val="00F14B42"/>
    <w:rsid w:val="00F17865"/>
    <w:rsid w:val="00F179E4"/>
    <w:rsid w:val="00F17B55"/>
    <w:rsid w:val="00F25010"/>
    <w:rsid w:val="00F3125A"/>
    <w:rsid w:val="00F32EC5"/>
    <w:rsid w:val="00F40120"/>
    <w:rsid w:val="00F51F20"/>
    <w:rsid w:val="00F55264"/>
    <w:rsid w:val="00F7534A"/>
    <w:rsid w:val="00F833D8"/>
    <w:rsid w:val="00F87652"/>
    <w:rsid w:val="00FB37EB"/>
    <w:rsid w:val="00FB7B81"/>
    <w:rsid w:val="00FC4DE3"/>
    <w:rsid w:val="00FD0D1F"/>
    <w:rsid w:val="00FD5139"/>
    <w:rsid w:val="00FD7817"/>
    <w:rsid w:val="00FE569A"/>
    <w:rsid w:val="00FE6AA5"/>
    <w:rsid w:val="00FF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B783"/>
  <w15:docId w15:val="{8363DED3-245B-4F36-9292-5333705D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8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8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70EB"/>
    <w:pPr>
      <w:ind w:left="720"/>
      <w:contextualSpacing/>
    </w:pPr>
  </w:style>
  <w:style w:type="table" w:styleId="TableGrid">
    <w:name w:val="Table Grid"/>
    <w:basedOn w:val="TableNormal"/>
    <w:uiPriority w:val="39"/>
    <w:rsid w:val="0002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385260"/>
    <w:pPr>
      <w:spacing w:after="0" w:line="240" w:lineRule="auto"/>
    </w:pPr>
    <w:rPr>
      <w:sz w:val="20"/>
      <w:szCs w:val="20"/>
    </w:rPr>
  </w:style>
  <w:style w:type="character" w:customStyle="1" w:styleId="CommentTextChar">
    <w:name w:val="Comment Text Char"/>
    <w:basedOn w:val="DefaultParagraphFont"/>
    <w:link w:val="CommentText"/>
    <w:uiPriority w:val="99"/>
    <w:rsid w:val="00385260"/>
    <w:rPr>
      <w:sz w:val="20"/>
      <w:szCs w:val="20"/>
    </w:rPr>
  </w:style>
  <w:style w:type="paragraph" w:customStyle="1" w:styleId="TableStyle2">
    <w:name w:val="Table Style 2"/>
    <w:rsid w:val="00385260"/>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Visa's</a:t>
            </a:r>
            <a:r>
              <a:rPr lang="en-GB" baseline="0"/>
              <a:t> Profitability</a:t>
            </a:r>
            <a:endParaRPr lang="en-GB"/>
          </a:p>
        </c:rich>
      </c:tx>
      <c:layout>
        <c:manualLayout>
          <c:xMode val="edge"/>
          <c:yMode val="edge"/>
          <c:x val="0.21092176243926955"/>
          <c:y val="4.14369233888682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Operating Profit</c:v>
                </c:pt>
                <c:pt idx="1">
                  <c:v>Net Profit</c:v>
                </c:pt>
              </c:strCache>
            </c:strRef>
          </c:cat>
          <c:val>
            <c:numRef>
              <c:f>Sheet1!$B$2:$B$3</c:f>
              <c:numCache>
                <c:formatCode>General</c:formatCode>
                <c:ptCount val="2"/>
                <c:pt idx="0">
                  <c:v>64.180000000000007</c:v>
                </c:pt>
                <c:pt idx="1">
                  <c:v>51.03</c:v>
                </c:pt>
              </c:numCache>
            </c:numRef>
          </c:val>
          <c:extLst>
            <c:ext xmlns:c16="http://schemas.microsoft.com/office/drawing/2014/chart" uri="{C3380CC4-5D6E-409C-BE32-E72D297353CC}">
              <c16:uniqueId val="{00000000-1141-4DA7-8504-0325940B3831}"/>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Operating Profit</c:v>
                </c:pt>
                <c:pt idx="1">
                  <c:v>Net Profit</c:v>
                </c:pt>
              </c:strCache>
            </c:strRef>
          </c:cat>
          <c:val>
            <c:numRef>
              <c:f>Sheet1!$C$2:$C$3</c:f>
              <c:numCache>
                <c:formatCode>General</c:formatCode>
                <c:ptCount val="2"/>
                <c:pt idx="0">
                  <c:v>65.56</c:v>
                </c:pt>
                <c:pt idx="1">
                  <c:v>51.07</c:v>
                </c:pt>
              </c:numCache>
            </c:numRef>
          </c:val>
          <c:extLst>
            <c:ext xmlns:c16="http://schemas.microsoft.com/office/drawing/2014/chart" uri="{C3380CC4-5D6E-409C-BE32-E72D297353CC}">
              <c16:uniqueId val="{00000001-1141-4DA7-8504-0325940B3831}"/>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Operating Profit</c:v>
                </c:pt>
                <c:pt idx="1">
                  <c:v>Net Profit</c:v>
                </c:pt>
              </c:strCache>
            </c:strRef>
          </c:cat>
          <c:val>
            <c:numRef>
              <c:f>Sheet1!$D$2:$D$3</c:f>
              <c:numCache>
                <c:formatCode>General</c:formatCode>
                <c:ptCount val="2"/>
                <c:pt idx="0">
                  <c:v>64.45</c:v>
                </c:pt>
                <c:pt idx="1">
                  <c:v>49.73</c:v>
                </c:pt>
              </c:numCache>
            </c:numRef>
          </c:val>
          <c:extLst>
            <c:ext xmlns:c16="http://schemas.microsoft.com/office/drawing/2014/chart" uri="{C3380CC4-5D6E-409C-BE32-E72D297353CC}">
              <c16:uniqueId val="{00000002-1141-4DA7-8504-0325940B3831}"/>
            </c:ext>
          </c:extLst>
        </c:ser>
        <c:dLbls>
          <c:showLegendKey val="0"/>
          <c:showVal val="0"/>
          <c:showCatName val="0"/>
          <c:showSerName val="0"/>
          <c:showPercent val="0"/>
          <c:showBubbleSize val="0"/>
        </c:dLbls>
        <c:gapWidth val="219"/>
        <c:overlap val="-27"/>
        <c:axId val="1775976992"/>
        <c:axId val="1399851087"/>
      </c:barChart>
      <c:catAx>
        <c:axId val="177597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851087"/>
        <c:crosses val="autoZero"/>
        <c:auto val="1"/>
        <c:lblAlgn val="ctr"/>
        <c:lblOffset val="100"/>
        <c:noMultiLvlLbl val="0"/>
      </c:catAx>
      <c:valAx>
        <c:axId val="1399851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97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Paypal</a:t>
            </a:r>
            <a:r>
              <a:rPr lang="en-GB" baseline="0"/>
              <a:t> Profitability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Operating Profit</c:v>
                </c:pt>
                <c:pt idx="1">
                  <c:v>Net Profit</c:v>
                </c:pt>
              </c:strCache>
            </c:strRef>
          </c:cat>
          <c:val>
            <c:numRef>
              <c:f>Sheet1!$B$2:$B$3</c:f>
              <c:numCache>
                <c:formatCode>General</c:formatCode>
                <c:ptCount val="2"/>
                <c:pt idx="0">
                  <c:v>13.94</c:v>
                </c:pt>
                <c:pt idx="1">
                  <c:v>8.7899999999999991</c:v>
                </c:pt>
              </c:numCache>
            </c:numRef>
          </c:val>
          <c:extLst>
            <c:ext xmlns:c16="http://schemas.microsoft.com/office/drawing/2014/chart" uri="{C3380CC4-5D6E-409C-BE32-E72D297353CC}">
              <c16:uniqueId val="{00000000-8DBA-4CD6-98AA-69BA59C762FB}"/>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Operating Profit</c:v>
                </c:pt>
                <c:pt idx="1">
                  <c:v>Net Profit</c:v>
                </c:pt>
              </c:strCache>
            </c:strRef>
          </c:cat>
          <c:val>
            <c:numRef>
              <c:f>Sheet1!$C$2:$C$3</c:f>
              <c:numCache>
                <c:formatCode>General</c:formatCode>
                <c:ptCount val="2"/>
                <c:pt idx="0">
                  <c:v>16.79</c:v>
                </c:pt>
                <c:pt idx="1">
                  <c:v>16.43</c:v>
                </c:pt>
              </c:numCache>
            </c:numRef>
          </c:val>
          <c:extLst>
            <c:ext xmlns:c16="http://schemas.microsoft.com/office/drawing/2014/chart" uri="{C3380CC4-5D6E-409C-BE32-E72D297353CC}">
              <c16:uniqueId val="{00000001-8DBA-4CD6-98AA-69BA59C762FB}"/>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Operating Profit</c:v>
                </c:pt>
                <c:pt idx="1">
                  <c:v>Net Profit</c:v>
                </c:pt>
              </c:strCache>
            </c:strRef>
          </c:cat>
          <c:val>
            <c:numRef>
              <c:f>Sheet1!$D$2:$D$3</c:f>
              <c:numCache>
                <c:formatCode>General</c:formatCode>
                <c:ptCount val="2"/>
                <c:pt idx="0">
                  <c:v>15.33</c:v>
                </c:pt>
                <c:pt idx="1">
                  <c:v>19.579999999999998</c:v>
                </c:pt>
              </c:numCache>
            </c:numRef>
          </c:val>
          <c:extLst>
            <c:ext xmlns:c16="http://schemas.microsoft.com/office/drawing/2014/chart" uri="{C3380CC4-5D6E-409C-BE32-E72D297353CC}">
              <c16:uniqueId val="{00000002-8DBA-4CD6-98AA-69BA59C762FB}"/>
            </c:ext>
          </c:extLst>
        </c:ser>
        <c:dLbls>
          <c:showLegendKey val="0"/>
          <c:showVal val="0"/>
          <c:showCatName val="0"/>
          <c:showSerName val="0"/>
          <c:showPercent val="0"/>
          <c:showBubbleSize val="0"/>
        </c:dLbls>
        <c:gapWidth val="219"/>
        <c:overlap val="-27"/>
        <c:axId val="1708894064"/>
        <c:axId val="1913305024"/>
      </c:barChart>
      <c:catAx>
        <c:axId val="1708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3305024"/>
        <c:crosses val="autoZero"/>
        <c:auto val="1"/>
        <c:lblAlgn val="ctr"/>
        <c:lblOffset val="100"/>
        <c:noMultiLvlLbl val="0"/>
      </c:catAx>
      <c:valAx>
        <c:axId val="1913305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89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Mastercard</a:t>
            </a:r>
            <a:r>
              <a:rPr lang="en-GB" baseline="0"/>
              <a:t> Profitability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Operating Profit</c:v>
                </c:pt>
                <c:pt idx="1">
                  <c:v>Net Profit</c:v>
                </c:pt>
              </c:strCache>
            </c:strRef>
          </c:cat>
          <c:val>
            <c:numRef>
              <c:f>Sheet1!$B$2:$B$3</c:f>
              <c:numCache>
                <c:formatCode>General</c:formatCode>
                <c:ptCount val="2"/>
                <c:pt idx="0">
                  <c:v>55.15</c:v>
                </c:pt>
                <c:pt idx="1">
                  <c:v>44.65</c:v>
                </c:pt>
              </c:numCache>
            </c:numRef>
          </c:val>
          <c:extLst>
            <c:ext xmlns:c16="http://schemas.microsoft.com/office/drawing/2014/chart" uri="{C3380CC4-5D6E-409C-BE32-E72D297353CC}">
              <c16:uniqueId val="{00000000-53D7-4184-A1B5-6C8DCD62396F}"/>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Operating Profit</c:v>
                </c:pt>
                <c:pt idx="1">
                  <c:v>Net Profit</c:v>
                </c:pt>
              </c:strCache>
            </c:strRef>
          </c:cat>
          <c:val>
            <c:numRef>
              <c:f>Sheet1!$C$2:$C$3</c:f>
              <c:numCache>
                <c:formatCode>General</c:formatCode>
                <c:ptCount val="2"/>
                <c:pt idx="0">
                  <c:v>53.38</c:v>
                </c:pt>
                <c:pt idx="1">
                  <c:v>46</c:v>
                </c:pt>
              </c:numCache>
            </c:numRef>
          </c:val>
          <c:extLst>
            <c:ext xmlns:c16="http://schemas.microsoft.com/office/drawing/2014/chart" uri="{C3380CC4-5D6E-409C-BE32-E72D297353CC}">
              <c16:uniqueId val="{00000001-53D7-4184-A1B5-6C8DCD62396F}"/>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Operating Profit</c:v>
                </c:pt>
                <c:pt idx="1">
                  <c:v>Net Profit</c:v>
                </c:pt>
              </c:strCache>
            </c:strRef>
          </c:cat>
          <c:val>
            <c:numRef>
              <c:f>Sheet1!$D$2:$D$3</c:f>
              <c:numCache>
                <c:formatCode>General</c:formatCode>
                <c:ptCount val="2"/>
                <c:pt idx="0">
                  <c:v>52.81</c:v>
                </c:pt>
                <c:pt idx="1">
                  <c:v>41.89</c:v>
                </c:pt>
              </c:numCache>
            </c:numRef>
          </c:val>
          <c:extLst>
            <c:ext xmlns:c16="http://schemas.microsoft.com/office/drawing/2014/chart" uri="{C3380CC4-5D6E-409C-BE32-E72D297353CC}">
              <c16:uniqueId val="{00000002-53D7-4184-A1B5-6C8DCD62396F}"/>
            </c:ext>
          </c:extLst>
        </c:ser>
        <c:dLbls>
          <c:showLegendKey val="0"/>
          <c:showVal val="0"/>
          <c:showCatName val="0"/>
          <c:showSerName val="0"/>
          <c:showPercent val="0"/>
          <c:showBubbleSize val="0"/>
        </c:dLbls>
        <c:gapWidth val="219"/>
        <c:overlap val="-27"/>
        <c:axId val="1775984192"/>
        <c:axId val="1399851583"/>
      </c:barChart>
      <c:catAx>
        <c:axId val="177598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851583"/>
        <c:crosses val="autoZero"/>
        <c:auto val="1"/>
        <c:lblAlgn val="ctr"/>
        <c:lblOffset val="100"/>
        <c:noMultiLvlLbl val="0"/>
      </c:catAx>
      <c:valAx>
        <c:axId val="13998515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98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a:t>
            </a:r>
            <a:r>
              <a:rPr lang="en-GB" baseline="0"/>
              <a:t> Performance of the Digital Payments Industry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Visa</c:v>
                </c:pt>
                <c:pt idx="1">
                  <c:v>Mastercard</c:v>
                </c:pt>
                <c:pt idx="2">
                  <c:v>Paypal</c:v>
                </c:pt>
              </c:strCache>
            </c:strRef>
          </c:cat>
          <c:val>
            <c:numRef>
              <c:f>Sheet1!$B$2:$B$4</c:f>
              <c:numCache>
                <c:formatCode>General</c:formatCode>
                <c:ptCount val="3"/>
                <c:pt idx="0">
                  <c:v>37.130000000000003</c:v>
                </c:pt>
                <c:pt idx="1">
                  <c:v>41.73</c:v>
                </c:pt>
                <c:pt idx="2">
                  <c:v>29.49</c:v>
                </c:pt>
              </c:numCache>
            </c:numRef>
          </c:val>
          <c:extLst>
            <c:ext xmlns:c16="http://schemas.microsoft.com/office/drawing/2014/chart" uri="{C3380CC4-5D6E-409C-BE32-E72D297353CC}">
              <c16:uniqueId val="{00000000-60C9-4C5A-815F-9E07F1081DEE}"/>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Visa</c:v>
                </c:pt>
                <c:pt idx="1">
                  <c:v>Mastercard</c:v>
                </c:pt>
                <c:pt idx="2">
                  <c:v>Paypal</c:v>
                </c:pt>
              </c:strCache>
            </c:strRef>
          </c:cat>
          <c:val>
            <c:numRef>
              <c:f>Sheet1!$C$2:$C$4</c:f>
              <c:numCache>
                <c:formatCode>General</c:formatCode>
                <c:ptCount val="3"/>
                <c:pt idx="0">
                  <c:v>46.24</c:v>
                </c:pt>
                <c:pt idx="1">
                  <c:v>48.52</c:v>
                </c:pt>
                <c:pt idx="2">
                  <c:v>17.36</c:v>
                </c:pt>
              </c:numCache>
            </c:numRef>
          </c:val>
          <c:extLst>
            <c:ext xmlns:c16="http://schemas.microsoft.com/office/drawing/2014/chart" uri="{C3380CC4-5D6E-409C-BE32-E72D297353CC}">
              <c16:uniqueId val="{00000001-60C9-4C5A-815F-9E07F1081DEE}"/>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Visa</c:v>
                </c:pt>
                <c:pt idx="1">
                  <c:v>Mastercard</c:v>
                </c:pt>
                <c:pt idx="2">
                  <c:v>Paypal</c:v>
                </c:pt>
              </c:strCache>
            </c:strRef>
          </c:cat>
          <c:val>
            <c:numRef>
              <c:f>Sheet1!$D$2:$D$4</c:f>
              <c:numCache>
                <c:formatCode>General</c:formatCode>
                <c:ptCount val="3"/>
                <c:pt idx="0">
                  <c:v>53.24</c:v>
                </c:pt>
                <c:pt idx="1">
                  <c:v>66.95</c:v>
                </c:pt>
                <c:pt idx="2">
                  <c:v>17.41</c:v>
                </c:pt>
              </c:numCache>
            </c:numRef>
          </c:val>
          <c:extLst>
            <c:ext xmlns:c16="http://schemas.microsoft.com/office/drawing/2014/chart" uri="{C3380CC4-5D6E-409C-BE32-E72D297353CC}">
              <c16:uniqueId val="{00000002-60C9-4C5A-815F-9E07F1081DEE}"/>
            </c:ext>
          </c:extLst>
        </c:ser>
        <c:dLbls>
          <c:showLegendKey val="0"/>
          <c:showVal val="0"/>
          <c:showCatName val="0"/>
          <c:showSerName val="0"/>
          <c:showPercent val="0"/>
          <c:showBubbleSize val="0"/>
        </c:dLbls>
        <c:gapWidth val="219"/>
        <c:overlap val="-27"/>
        <c:axId val="1775982752"/>
        <c:axId val="1405879375"/>
      </c:barChart>
      <c:catAx>
        <c:axId val="177598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5879375"/>
        <c:crosses val="autoZero"/>
        <c:auto val="1"/>
        <c:lblAlgn val="ctr"/>
        <c:lblOffset val="100"/>
        <c:noMultiLvlLbl val="0"/>
      </c:catAx>
      <c:valAx>
        <c:axId val="1405879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98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Revenue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Services</c:v>
                </c:pt>
              </c:strCache>
            </c:strRef>
          </c:tx>
          <c:spPr>
            <a:solidFill>
              <a:schemeClr val="accent1"/>
            </a:solidFill>
            <a:ln>
              <a:noFill/>
            </a:ln>
            <a:effectLst/>
          </c:spPr>
          <c:invertIfNegative val="0"/>
          <c:cat>
            <c:numRef>
              <c:f>Sheet1!$A$2:$A$4</c:f>
              <c:numCache>
                <c:formatCode>General</c:formatCode>
                <c:ptCount val="3"/>
                <c:pt idx="0">
                  <c:v>2023</c:v>
                </c:pt>
                <c:pt idx="1">
                  <c:v>2022</c:v>
                </c:pt>
                <c:pt idx="2">
                  <c:v>2021</c:v>
                </c:pt>
              </c:numCache>
            </c:numRef>
          </c:cat>
          <c:val>
            <c:numRef>
              <c:f>Sheet1!$B$2:$B$4</c:f>
              <c:numCache>
                <c:formatCode>General</c:formatCode>
                <c:ptCount val="3"/>
                <c:pt idx="0">
                  <c:v>32.979999999999997</c:v>
                </c:pt>
                <c:pt idx="1">
                  <c:v>33.729999999999997</c:v>
                </c:pt>
                <c:pt idx="2">
                  <c:v>35.33</c:v>
                </c:pt>
              </c:numCache>
            </c:numRef>
          </c:val>
          <c:extLst>
            <c:ext xmlns:c16="http://schemas.microsoft.com/office/drawing/2014/chart" uri="{C3380CC4-5D6E-409C-BE32-E72D297353CC}">
              <c16:uniqueId val="{00000000-908A-4796-8531-9A48C623A880}"/>
            </c:ext>
          </c:extLst>
        </c:ser>
        <c:ser>
          <c:idx val="1"/>
          <c:order val="1"/>
          <c:tx>
            <c:strRef>
              <c:f>Sheet1!$C$1</c:f>
              <c:strCache>
                <c:ptCount val="1"/>
                <c:pt idx="0">
                  <c:v>Data Processing</c:v>
                </c:pt>
              </c:strCache>
            </c:strRef>
          </c:tx>
          <c:spPr>
            <a:solidFill>
              <a:schemeClr val="accent2"/>
            </a:solidFill>
            <a:ln>
              <a:noFill/>
            </a:ln>
            <a:effectLst/>
          </c:spPr>
          <c:invertIfNegative val="0"/>
          <c:cat>
            <c:numRef>
              <c:f>Sheet1!$A$2:$A$4</c:f>
              <c:numCache>
                <c:formatCode>General</c:formatCode>
                <c:ptCount val="3"/>
                <c:pt idx="0">
                  <c:v>2023</c:v>
                </c:pt>
                <c:pt idx="1">
                  <c:v>2022</c:v>
                </c:pt>
                <c:pt idx="2">
                  <c:v>2021</c:v>
                </c:pt>
              </c:numCache>
            </c:numRef>
          </c:cat>
          <c:val>
            <c:numRef>
              <c:f>Sheet1!$C$2:$C$4</c:f>
              <c:numCache>
                <c:formatCode>General</c:formatCode>
                <c:ptCount val="3"/>
                <c:pt idx="0">
                  <c:v>35.61</c:v>
                </c:pt>
                <c:pt idx="1">
                  <c:v>36.450000000000003</c:v>
                </c:pt>
                <c:pt idx="2">
                  <c:v>39.39</c:v>
                </c:pt>
              </c:numCache>
            </c:numRef>
          </c:val>
          <c:extLst>
            <c:ext xmlns:c16="http://schemas.microsoft.com/office/drawing/2014/chart" uri="{C3380CC4-5D6E-409C-BE32-E72D297353CC}">
              <c16:uniqueId val="{00000001-908A-4796-8531-9A48C623A880}"/>
            </c:ext>
          </c:extLst>
        </c:ser>
        <c:ser>
          <c:idx val="2"/>
          <c:order val="2"/>
          <c:tx>
            <c:strRef>
              <c:f>Sheet1!$D$1</c:f>
              <c:strCache>
                <c:ptCount val="1"/>
                <c:pt idx="0">
                  <c:v>International Transactions</c:v>
                </c:pt>
              </c:strCache>
            </c:strRef>
          </c:tx>
          <c:spPr>
            <a:solidFill>
              <a:schemeClr val="accent3"/>
            </a:solidFill>
            <a:ln>
              <a:noFill/>
            </a:ln>
            <a:effectLst/>
          </c:spPr>
          <c:invertIfNegative val="0"/>
          <c:cat>
            <c:numRef>
              <c:f>Sheet1!$A$2:$A$4</c:f>
              <c:numCache>
                <c:formatCode>General</c:formatCode>
                <c:ptCount val="3"/>
                <c:pt idx="0">
                  <c:v>2023</c:v>
                </c:pt>
                <c:pt idx="1">
                  <c:v>2022</c:v>
                </c:pt>
                <c:pt idx="2">
                  <c:v>2021</c:v>
                </c:pt>
              </c:numCache>
            </c:numRef>
          </c:cat>
          <c:val>
            <c:numRef>
              <c:f>Sheet1!$D$2:$D$4</c:f>
              <c:numCache>
                <c:formatCode>General</c:formatCode>
                <c:ptCount val="3"/>
                <c:pt idx="0">
                  <c:v>25.89</c:v>
                </c:pt>
                <c:pt idx="1">
                  <c:v>24.78</c:v>
                </c:pt>
                <c:pt idx="2">
                  <c:v>20.100000000000001</c:v>
                </c:pt>
              </c:numCache>
            </c:numRef>
          </c:val>
          <c:extLst>
            <c:ext xmlns:c16="http://schemas.microsoft.com/office/drawing/2014/chart" uri="{C3380CC4-5D6E-409C-BE32-E72D297353CC}">
              <c16:uniqueId val="{00000002-908A-4796-8531-9A48C623A880}"/>
            </c:ext>
          </c:extLst>
        </c:ser>
        <c:ser>
          <c:idx val="3"/>
          <c:order val="3"/>
          <c:tx>
            <c:strRef>
              <c:f>Sheet1!$E$1</c:f>
              <c:strCache>
                <c:ptCount val="1"/>
                <c:pt idx="0">
                  <c:v>Other</c:v>
                </c:pt>
              </c:strCache>
            </c:strRef>
          </c:tx>
          <c:spPr>
            <a:solidFill>
              <a:schemeClr val="accent4"/>
            </a:solidFill>
            <a:ln>
              <a:noFill/>
            </a:ln>
            <a:effectLst/>
          </c:spPr>
          <c:invertIfNegative val="0"/>
          <c:cat>
            <c:numRef>
              <c:f>Sheet1!$A$2:$A$4</c:f>
              <c:numCache>
                <c:formatCode>General</c:formatCode>
                <c:ptCount val="3"/>
                <c:pt idx="0">
                  <c:v>2023</c:v>
                </c:pt>
                <c:pt idx="1">
                  <c:v>2022</c:v>
                </c:pt>
                <c:pt idx="2">
                  <c:v>2021</c:v>
                </c:pt>
              </c:numCache>
            </c:numRef>
          </c:cat>
          <c:val>
            <c:numRef>
              <c:f>Sheet1!$E$2:$E$4</c:f>
              <c:numCache>
                <c:formatCode>General</c:formatCode>
                <c:ptCount val="3"/>
                <c:pt idx="0">
                  <c:v>5.51</c:v>
                </c:pt>
                <c:pt idx="1">
                  <c:v>5.0199999999999996</c:v>
                </c:pt>
                <c:pt idx="2">
                  <c:v>5.15</c:v>
                </c:pt>
              </c:numCache>
            </c:numRef>
          </c:val>
          <c:extLst>
            <c:ext xmlns:c16="http://schemas.microsoft.com/office/drawing/2014/chart" uri="{C3380CC4-5D6E-409C-BE32-E72D297353CC}">
              <c16:uniqueId val="{00000003-908A-4796-8531-9A48C623A880}"/>
            </c:ext>
          </c:extLst>
        </c:ser>
        <c:dLbls>
          <c:showLegendKey val="0"/>
          <c:showVal val="0"/>
          <c:showCatName val="0"/>
          <c:showSerName val="0"/>
          <c:showPercent val="0"/>
          <c:showBubbleSize val="0"/>
        </c:dLbls>
        <c:gapWidth val="150"/>
        <c:overlap val="100"/>
        <c:axId val="1465548303"/>
        <c:axId val="1474527775"/>
      </c:barChart>
      <c:catAx>
        <c:axId val="1465548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527775"/>
        <c:crosses val="autoZero"/>
        <c:auto val="1"/>
        <c:lblAlgn val="ctr"/>
        <c:lblOffset val="100"/>
        <c:noMultiLvlLbl val="0"/>
      </c:catAx>
      <c:valAx>
        <c:axId val="147452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5548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Expenses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Personnel</c:v>
                </c:pt>
              </c:strCache>
            </c:strRef>
          </c:tx>
          <c:spPr>
            <a:solidFill>
              <a:schemeClr val="accent1"/>
            </a:solidFill>
            <a:ln>
              <a:noFill/>
            </a:ln>
            <a:effectLst/>
          </c:spPr>
          <c:invertIfNegative val="0"/>
          <c:cat>
            <c:numRef>
              <c:f>Sheet1!$A$2:$A$4</c:f>
              <c:numCache>
                <c:formatCode>General</c:formatCode>
                <c:ptCount val="3"/>
                <c:pt idx="0">
                  <c:v>2023</c:v>
                </c:pt>
                <c:pt idx="1">
                  <c:v>2022</c:v>
                </c:pt>
                <c:pt idx="2">
                  <c:v>2021</c:v>
                </c:pt>
              </c:numCache>
            </c:numRef>
          </c:cat>
          <c:val>
            <c:numRef>
              <c:f>Sheet1!$B$2:$B$4</c:f>
              <c:numCache>
                <c:formatCode>General</c:formatCode>
                <c:ptCount val="3"/>
                <c:pt idx="0">
                  <c:v>50.03</c:v>
                </c:pt>
                <c:pt idx="1">
                  <c:v>47.53</c:v>
                </c:pt>
                <c:pt idx="2">
                  <c:v>51.07</c:v>
                </c:pt>
              </c:numCache>
            </c:numRef>
          </c:val>
          <c:extLst>
            <c:ext xmlns:c16="http://schemas.microsoft.com/office/drawing/2014/chart" uri="{C3380CC4-5D6E-409C-BE32-E72D297353CC}">
              <c16:uniqueId val="{00000000-601F-4FCD-9EE7-ACB9FA06875A}"/>
            </c:ext>
          </c:extLst>
        </c:ser>
        <c:ser>
          <c:idx val="1"/>
          <c:order val="1"/>
          <c:tx>
            <c:strRef>
              <c:f>Sheet1!$C$1</c:f>
              <c:strCache>
                <c:ptCount val="1"/>
                <c:pt idx="0">
                  <c:v>Marketing</c:v>
                </c:pt>
              </c:strCache>
            </c:strRef>
          </c:tx>
          <c:spPr>
            <a:solidFill>
              <a:schemeClr val="accent2"/>
            </a:solidFill>
            <a:ln>
              <a:noFill/>
            </a:ln>
            <a:effectLst/>
          </c:spPr>
          <c:invertIfNegative val="0"/>
          <c:cat>
            <c:numRef>
              <c:f>Sheet1!$A$2:$A$4</c:f>
              <c:numCache>
                <c:formatCode>General</c:formatCode>
                <c:ptCount val="3"/>
                <c:pt idx="0">
                  <c:v>2023</c:v>
                </c:pt>
                <c:pt idx="1">
                  <c:v>2022</c:v>
                </c:pt>
                <c:pt idx="2">
                  <c:v>2021</c:v>
                </c:pt>
              </c:numCache>
            </c:numRef>
          </c:cat>
          <c:val>
            <c:numRef>
              <c:f>Sheet1!$C$2:$C$4</c:f>
              <c:numCache>
                <c:formatCode>General</c:formatCode>
                <c:ptCount val="3"/>
                <c:pt idx="0">
                  <c:v>11.5</c:v>
                </c:pt>
                <c:pt idx="1">
                  <c:v>12.72</c:v>
                </c:pt>
                <c:pt idx="2">
                  <c:v>13.68</c:v>
                </c:pt>
              </c:numCache>
            </c:numRef>
          </c:val>
          <c:extLst>
            <c:ext xmlns:c16="http://schemas.microsoft.com/office/drawing/2014/chart" uri="{C3380CC4-5D6E-409C-BE32-E72D297353CC}">
              <c16:uniqueId val="{00000001-601F-4FCD-9EE7-ACB9FA06875A}"/>
            </c:ext>
          </c:extLst>
        </c:ser>
        <c:ser>
          <c:idx val="2"/>
          <c:order val="2"/>
          <c:tx>
            <c:strRef>
              <c:f>Sheet1!$D$1</c:f>
              <c:strCache>
                <c:ptCount val="1"/>
                <c:pt idx="0">
                  <c:v>Network and Processing</c:v>
                </c:pt>
              </c:strCache>
            </c:strRef>
          </c:tx>
          <c:spPr>
            <a:solidFill>
              <a:schemeClr val="accent3"/>
            </a:solidFill>
            <a:ln>
              <a:noFill/>
            </a:ln>
            <a:effectLst/>
          </c:spPr>
          <c:invertIfNegative val="0"/>
          <c:cat>
            <c:numRef>
              <c:f>Sheet1!$A$2:$A$4</c:f>
              <c:numCache>
                <c:formatCode>General</c:formatCode>
                <c:ptCount val="3"/>
                <c:pt idx="0">
                  <c:v>2023</c:v>
                </c:pt>
                <c:pt idx="1">
                  <c:v>2022</c:v>
                </c:pt>
                <c:pt idx="2">
                  <c:v>2021</c:v>
                </c:pt>
              </c:numCache>
            </c:numRef>
          </c:cat>
          <c:val>
            <c:numRef>
              <c:f>Sheet1!$D$2:$D$4</c:f>
              <c:numCache>
                <c:formatCode>General</c:formatCode>
                <c:ptCount val="3"/>
                <c:pt idx="0">
                  <c:v>6.31</c:v>
                </c:pt>
                <c:pt idx="1">
                  <c:v>7.07</c:v>
                </c:pt>
                <c:pt idx="2">
                  <c:v>8.7899999999999991</c:v>
                </c:pt>
              </c:numCache>
            </c:numRef>
          </c:val>
          <c:extLst>
            <c:ext xmlns:c16="http://schemas.microsoft.com/office/drawing/2014/chart" uri="{C3380CC4-5D6E-409C-BE32-E72D297353CC}">
              <c16:uniqueId val="{00000002-601F-4FCD-9EE7-ACB9FA06875A}"/>
            </c:ext>
          </c:extLst>
        </c:ser>
        <c:ser>
          <c:idx val="3"/>
          <c:order val="3"/>
          <c:tx>
            <c:strRef>
              <c:f>Sheet1!$E$1</c:f>
              <c:strCache>
                <c:ptCount val="1"/>
                <c:pt idx="0">
                  <c:v>Proffessional Fees</c:v>
                </c:pt>
              </c:strCache>
            </c:strRef>
          </c:tx>
          <c:spPr>
            <a:solidFill>
              <a:schemeClr val="accent4"/>
            </a:solidFill>
            <a:ln>
              <a:noFill/>
            </a:ln>
            <a:effectLst/>
          </c:spPr>
          <c:invertIfNegative val="0"/>
          <c:cat>
            <c:numRef>
              <c:f>Sheet1!$A$2:$A$4</c:f>
              <c:numCache>
                <c:formatCode>General</c:formatCode>
                <c:ptCount val="3"/>
                <c:pt idx="0">
                  <c:v>2023</c:v>
                </c:pt>
                <c:pt idx="1">
                  <c:v>2022</c:v>
                </c:pt>
                <c:pt idx="2">
                  <c:v>2021</c:v>
                </c:pt>
              </c:numCache>
            </c:numRef>
          </c:cat>
          <c:val>
            <c:numRef>
              <c:f>Sheet1!$E$2:$E$4</c:f>
              <c:numCache>
                <c:formatCode>General</c:formatCode>
                <c:ptCount val="3"/>
                <c:pt idx="0">
                  <c:v>4.67</c:v>
                </c:pt>
                <c:pt idx="1">
                  <c:v>4.8</c:v>
                </c:pt>
                <c:pt idx="2">
                  <c:v>4.8499999999999996</c:v>
                </c:pt>
              </c:numCache>
            </c:numRef>
          </c:val>
          <c:extLst>
            <c:ext xmlns:c16="http://schemas.microsoft.com/office/drawing/2014/chart" uri="{C3380CC4-5D6E-409C-BE32-E72D297353CC}">
              <c16:uniqueId val="{00000003-601F-4FCD-9EE7-ACB9FA06875A}"/>
            </c:ext>
          </c:extLst>
        </c:ser>
        <c:ser>
          <c:idx val="4"/>
          <c:order val="4"/>
          <c:tx>
            <c:strRef>
              <c:f>Sheet1!$F$1</c:f>
              <c:strCache>
                <c:ptCount val="1"/>
                <c:pt idx="0">
                  <c:v>Depriciation</c:v>
                </c:pt>
              </c:strCache>
            </c:strRef>
          </c:tx>
          <c:spPr>
            <a:solidFill>
              <a:schemeClr val="accent5"/>
            </a:solidFill>
            <a:ln>
              <a:noFill/>
            </a:ln>
            <a:effectLst/>
          </c:spPr>
          <c:invertIfNegative val="0"/>
          <c:cat>
            <c:numRef>
              <c:f>Sheet1!$A$2:$A$4</c:f>
              <c:numCache>
                <c:formatCode>General</c:formatCode>
                <c:ptCount val="3"/>
                <c:pt idx="0">
                  <c:v>2023</c:v>
                </c:pt>
                <c:pt idx="1">
                  <c:v>2022</c:v>
                </c:pt>
                <c:pt idx="2">
                  <c:v>2021</c:v>
                </c:pt>
              </c:numCache>
            </c:numRef>
          </c:cat>
          <c:val>
            <c:numRef>
              <c:f>Sheet1!$F$2:$F$4</c:f>
              <c:numCache>
                <c:formatCode>General</c:formatCode>
                <c:ptCount val="3"/>
                <c:pt idx="0">
                  <c:v>8.09</c:v>
                </c:pt>
                <c:pt idx="1">
                  <c:v>8.1999999999999993</c:v>
                </c:pt>
                <c:pt idx="2">
                  <c:v>9.68</c:v>
                </c:pt>
              </c:numCache>
            </c:numRef>
          </c:val>
          <c:extLst>
            <c:ext xmlns:c16="http://schemas.microsoft.com/office/drawing/2014/chart" uri="{C3380CC4-5D6E-409C-BE32-E72D297353CC}">
              <c16:uniqueId val="{00000004-601F-4FCD-9EE7-ACB9FA06875A}"/>
            </c:ext>
          </c:extLst>
        </c:ser>
        <c:ser>
          <c:idx val="5"/>
          <c:order val="5"/>
          <c:tx>
            <c:strRef>
              <c:f>Sheet1!$G$1</c:f>
              <c:strCache>
                <c:ptCount val="1"/>
                <c:pt idx="0">
                  <c:v>General and Admin</c:v>
                </c:pt>
              </c:strCache>
            </c:strRef>
          </c:tx>
          <c:spPr>
            <a:solidFill>
              <a:schemeClr val="accent6"/>
            </a:solidFill>
            <a:ln>
              <a:noFill/>
            </a:ln>
            <a:effectLst/>
          </c:spPr>
          <c:invertIfNegative val="0"/>
          <c:cat>
            <c:numRef>
              <c:f>Sheet1!$A$2:$A$4</c:f>
              <c:numCache>
                <c:formatCode>General</c:formatCode>
                <c:ptCount val="3"/>
                <c:pt idx="0">
                  <c:v>2023</c:v>
                </c:pt>
                <c:pt idx="1">
                  <c:v>2022</c:v>
                </c:pt>
                <c:pt idx="2">
                  <c:v>2021</c:v>
                </c:pt>
              </c:numCache>
            </c:numRef>
          </c:cat>
          <c:val>
            <c:numRef>
              <c:f>Sheet1!$G$2:$G$4</c:f>
              <c:numCache>
                <c:formatCode>General</c:formatCode>
                <c:ptCount val="3"/>
                <c:pt idx="0">
                  <c:v>11.41</c:v>
                </c:pt>
                <c:pt idx="1">
                  <c:v>11.37</c:v>
                </c:pt>
                <c:pt idx="2">
                  <c:v>11.86</c:v>
                </c:pt>
              </c:numCache>
            </c:numRef>
          </c:val>
          <c:extLst>
            <c:ext xmlns:c16="http://schemas.microsoft.com/office/drawing/2014/chart" uri="{C3380CC4-5D6E-409C-BE32-E72D297353CC}">
              <c16:uniqueId val="{00000005-601F-4FCD-9EE7-ACB9FA06875A}"/>
            </c:ext>
          </c:extLst>
        </c:ser>
        <c:ser>
          <c:idx val="6"/>
          <c:order val="6"/>
          <c:tx>
            <c:strRef>
              <c:f>Sheet1!$H$1</c:f>
              <c:strCache>
                <c:ptCount val="1"/>
                <c:pt idx="0">
                  <c:v>Litigation</c:v>
                </c:pt>
              </c:strCache>
            </c:strRef>
          </c:tx>
          <c:spPr>
            <a:solidFill>
              <a:schemeClr val="accent1">
                <a:lumMod val="60000"/>
              </a:schemeClr>
            </a:solidFill>
            <a:ln>
              <a:noFill/>
            </a:ln>
            <a:effectLst/>
          </c:spPr>
          <c:invertIfNegative val="0"/>
          <c:cat>
            <c:numRef>
              <c:f>Sheet1!$A$2:$A$4</c:f>
              <c:numCache>
                <c:formatCode>General</c:formatCode>
                <c:ptCount val="3"/>
                <c:pt idx="0">
                  <c:v>2023</c:v>
                </c:pt>
                <c:pt idx="1">
                  <c:v>2022</c:v>
                </c:pt>
                <c:pt idx="2">
                  <c:v>2021</c:v>
                </c:pt>
              </c:numCache>
            </c:numRef>
          </c:cat>
          <c:val>
            <c:numRef>
              <c:f>Sheet1!$H$2:$H$4</c:f>
              <c:numCache>
                <c:formatCode>General</c:formatCode>
                <c:ptCount val="3"/>
                <c:pt idx="0">
                  <c:v>7.95</c:v>
                </c:pt>
                <c:pt idx="1">
                  <c:v>8.26</c:v>
                </c:pt>
              </c:numCache>
            </c:numRef>
          </c:val>
          <c:extLst>
            <c:ext xmlns:c16="http://schemas.microsoft.com/office/drawing/2014/chart" uri="{C3380CC4-5D6E-409C-BE32-E72D297353CC}">
              <c16:uniqueId val="{00000006-601F-4FCD-9EE7-ACB9FA06875A}"/>
            </c:ext>
          </c:extLst>
        </c:ser>
        <c:dLbls>
          <c:showLegendKey val="0"/>
          <c:showVal val="0"/>
          <c:showCatName val="0"/>
          <c:showSerName val="0"/>
          <c:showPercent val="0"/>
          <c:showBubbleSize val="0"/>
        </c:dLbls>
        <c:gapWidth val="150"/>
        <c:overlap val="100"/>
        <c:axId val="1707639456"/>
        <c:axId val="1710011232"/>
      </c:barChart>
      <c:catAx>
        <c:axId val="170763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011232"/>
        <c:crosses val="autoZero"/>
        <c:auto val="1"/>
        <c:lblAlgn val="ctr"/>
        <c:lblOffset val="100"/>
        <c:noMultiLvlLbl val="0"/>
      </c:catAx>
      <c:valAx>
        <c:axId val="171001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63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mack</dc:creator>
  <cp:keywords/>
  <dc:description/>
  <cp:lastModifiedBy>Shamla Yoosoof</cp:lastModifiedBy>
  <cp:revision>2</cp:revision>
  <dcterms:created xsi:type="dcterms:W3CDTF">2024-01-03T20:12:00Z</dcterms:created>
  <dcterms:modified xsi:type="dcterms:W3CDTF">2024-01-03T20:12:00Z</dcterms:modified>
</cp:coreProperties>
</file>