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E691" w14:textId="5F87B9AF" w:rsidR="00807843" w:rsidRPr="00725A61" w:rsidRDefault="009122D6">
      <w:pPr>
        <w:pStyle w:val="Heading1"/>
        <w:rPr>
          <w:color w:val="000000" w:themeColor="text1"/>
        </w:rPr>
      </w:pPr>
      <w:r w:rsidRPr="00725A61">
        <w:rPr>
          <w:color w:val="000000" w:themeColor="text1"/>
        </w:rPr>
        <w:t>VISA Inc - Market Research Report</w:t>
      </w:r>
    </w:p>
    <w:p w14:paraId="7B821B08" w14:textId="321D33DD" w:rsidR="00807843" w:rsidRPr="001C394B" w:rsidRDefault="009122D6">
      <w:pPr>
        <w:pStyle w:val="Heading2"/>
        <w:rPr>
          <w:sz w:val="36"/>
          <w:szCs w:val="36"/>
        </w:rPr>
      </w:pPr>
      <w:r w:rsidRPr="001C394B">
        <w:rPr>
          <w:sz w:val="36"/>
          <w:szCs w:val="36"/>
        </w:rPr>
        <w:t>Industry: Business Services (Digital Payment</w:t>
      </w:r>
      <w:r w:rsidR="00833A03" w:rsidRPr="001C394B">
        <w:rPr>
          <w:sz w:val="36"/>
          <w:szCs w:val="36"/>
        </w:rPr>
        <w:t>s</w:t>
      </w:r>
      <w:r w:rsidRPr="001C394B">
        <w:rPr>
          <w:sz w:val="36"/>
          <w:szCs w:val="36"/>
        </w:rPr>
        <w:t>)</w:t>
      </w:r>
    </w:p>
    <w:p w14:paraId="280A8B0B" w14:textId="3784E031" w:rsidR="009122D6" w:rsidRDefault="009122D6" w:rsidP="009122D6"/>
    <w:p w14:paraId="270791B0" w14:textId="0A9F03A9" w:rsidR="004D5512" w:rsidRPr="001C394B" w:rsidRDefault="004D5512" w:rsidP="009122D6">
      <w:pPr>
        <w:rPr>
          <w:b/>
          <w:bCs/>
          <w:color w:val="000000" w:themeColor="text1"/>
          <w:sz w:val="32"/>
          <w:szCs w:val="32"/>
        </w:rPr>
      </w:pPr>
      <w:r w:rsidRPr="001C394B">
        <w:rPr>
          <w:b/>
          <w:bCs/>
          <w:color w:val="000000" w:themeColor="text1"/>
          <w:sz w:val="32"/>
          <w:szCs w:val="32"/>
        </w:rPr>
        <w:t>Overview</w:t>
      </w:r>
    </w:p>
    <w:p w14:paraId="34222CE9" w14:textId="29D29C48" w:rsidR="004D5512" w:rsidRDefault="00754F65" w:rsidP="009122D6">
      <w:pPr>
        <w:rPr>
          <w:sz w:val="28"/>
          <w:szCs w:val="28"/>
        </w:rPr>
      </w:pPr>
      <w:r>
        <w:rPr>
          <w:sz w:val="24"/>
          <w:szCs w:val="24"/>
        </w:rPr>
        <w:t>Most likely, you have encountered VISA in one form or another, with their presence being monumental in</w:t>
      </w:r>
      <w:r w:rsidR="00DB6488">
        <w:rPr>
          <w:sz w:val="24"/>
          <w:szCs w:val="24"/>
        </w:rPr>
        <w:t xml:space="preserve"> their core payment products. </w:t>
      </w:r>
      <w:r>
        <w:rPr>
          <w:sz w:val="24"/>
          <w:szCs w:val="24"/>
        </w:rPr>
        <w:t>However, their business model may be even more extensive than many first envisage. Outlined in their Annual Report (2023), their</w:t>
      </w:r>
      <w:r w:rsidR="00DB6488">
        <w:rPr>
          <w:sz w:val="24"/>
          <w:szCs w:val="24"/>
        </w:rPr>
        <w:t xml:space="preserve"> </w:t>
      </w:r>
      <w:r>
        <w:rPr>
          <w:sz w:val="24"/>
          <w:szCs w:val="24"/>
        </w:rPr>
        <w:t>strate</w:t>
      </w:r>
      <w:r w:rsidR="00DB6488">
        <w:rPr>
          <w:sz w:val="24"/>
          <w:szCs w:val="24"/>
        </w:rPr>
        <w:t>gic segments are</w:t>
      </w:r>
      <w:r>
        <w:rPr>
          <w:sz w:val="24"/>
          <w:szCs w:val="24"/>
        </w:rPr>
        <w:t xml:space="preserve"> split up into “Consumer Payments, New Flows and </w:t>
      </w:r>
      <w:r w:rsidR="00C5657A">
        <w:rPr>
          <w:sz w:val="24"/>
          <w:szCs w:val="24"/>
        </w:rPr>
        <w:t>Value-Added</w:t>
      </w:r>
      <w:r>
        <w:rPr>
          <w:sz w:val="24"/>
          <w:szCs w:val="24"/>
        </w:rPr>
        <w:t xml:space="preserve"> Services</w:t>
      </w:r>
      <w:r w:rsidR="00DB6488">
        <w:rPr>
          <w:sz w:val="24"/>
          <w:szCs w:val="24"/>
        </w:rPr>
        <w:t>”. Targeting these segments enable VISA to “differentiate”, “capture new sources of money movement” and “remain focused on moving trillions of dollars of consumer spending</w:t>
      </w:r>
      <w:r w:rsidR="00E7586A">
        <w:rPr>
          <w:sz w:val="24"/>
          <w:szCs w:val="24"/>
        </w:rPr>
        <w:t xml:space="preserve">”. Notably, there is a degree of risk mitigation through a balance of products in different phases of their lifecycle, with mature products like payment cards being blended with </w:t>
      </w:r>
      <w:r w:rsidR="00FB03EF">
        <w:rPr>
          <w:sz w:val="24"/>
          <w:szCs w:val="24"/>
        </w:rPr>
        <w:t>innovative</w:t>
      </w:r>
      <w:r w:rsidR="00E7586A">
        <w:rPr>
          <w:sz w:val="24"/>
          <w:szCs w:val="24"/>
        </w:rPr>
        <w:t xml:space="preserve"> </w:t>
      </w:r>
      <w:r w:rsidR="00E54D8E">
        <w:rPr>
          <w:sz w:val="24"/>
          <w:szCs w:val="24"/>
        </w:rPr>
        <w:t xml:space="preserve">facets </w:t>
      </w:r>
      <w:r w:rsidR="00C5657A">
        <w:rPr>
          <w:sz w:val="24"/>
          <w:szCs w:val="24"/>
        </w:rPr>
        <w:t>of the</w:t>
      </w:r>
      <w:r w:rsidR="00E7586A">
        <w:rPr>
          <w:sz w:val="24"/>
          <w:szCs w:val="24"/>
        </w:rPr>
        <w:t xml:space="preserve"> financial sector </w:t>
      </w:r>
      <w:r w:rsidR="00757FAB">
        <w:rPr>
          <w:sz w:val="24"/>
          <w:szCs w:val="24"/>
        </w:rPr>
        <w:t>e.g.,</w:t>
      </w:r>
      <w:r w:rsidR="00E7586A">
        <w:rPr>
          <w:sz w:val="24"/>
          <w:szCs w:val="24"/>
        </w:rPr>
        <w:t xml:space="preserve"> tokenization and open banking.</w:t>
      </w:r>
      <w:r w:rsidR="00E54D8E">
        <w:rPr>
          <w:sz w:val="24"/>
          <w:szCs w:val="24"/>
        </w:rPr>
        <w:t xml:space="preserve"> This is intended to serve as a counter-acti</w:t>
      </w:r>
      <w:r w:rsidR="00FB03EF">
        <w:rPr>
          <w:sz w:val="24"/>
          <w:szCs w:val="24"/>
        </w:rPr>
        <w:t>ve</w:t>
      </w:r>
      <w:r w:rsidR="00E54D8E">
        <w:rPr>
          <w:sz w:val="24"/>
          <w:szCs w:val="24"/>
        </w:rPr>
        <w:t xml:space="preserve"> tool to creative destruction in an increasingly dynamic </w:t>
      </w:r>
      <w:r w:rsidR="00FB03EF">
        <w:rPr>
          <w:sz w:val="24"/>
          <w:szCs w:val="24"/>
        </w:rPr>
        <w:t>financial landscape.</w:t>
      </w:r>
    </w:p>
    <w:p w14:paraId="772DFC13" w14:textId="77777777" w:rsidR="007E4B5B" w:rsidRPr="007E4B5B" w:rsidRDefault="007E4B5B" w:rsidP="009122D6">
      <w:pPr>
        <w:rPr>
          <w:sz w:val="28"/>
          <w:szCs w:val="28"/>
        </w:rPr>
      </w:pPr>
    </w:p>
    <w:p w14:paraId="45B0F38B" w14:textId="307BE3A7" w:rsidR="00725A61" w:rsidRPr="001C394B" w:rsidRDefault="00725A61" w:rsidP="009122D6">
      <w:pPr>
        <w:rPr>
          <w:b/>
          <w:bCs/>
          <w:color w:val="000000" w:themeColor="text1"/>
          <w:sz w:val="32"/>
          <w:szCs w:val="32"/>
        </w:rPr>
      </w:pPr>
      <w:r w:rsidRPr="001C394B">
        <w:rPr>
          <w:b/>
          <w:bCs/>
          <w:color w:val="000000" w:themeColor="text1"/>
          <w:sz w:val="32"/>
          <w:szCs w:val="32"/>
        </w:rPr>
        <w:t>Peers/</w:t>
      </w:r>
      <w:r w:rsidR="009122D6" w:rsidRPr="001C394B">
        <w:rPr>
          <w:b/>
          <w:bCs/>
          <w:color w:val="000000" w:themeColor="text1"/>
          <w:sz w:val="32"/>
          <w:szCs w:val="32"/>
        </w:rPr>
        <w:t>Competit</w:t>
      </w:r>
      <w:r w:rsidRPr="001C394B">
        <w:rPr>
          <w:b/>
          <w:bCs/>
          <w:color w:val="000000" w:themeColor="text1"/>
          <w:sz w:val="32"/>
          <w:szCs w:val="32"/>
        </w:rPr>
        <w:t>ors</w:t>
      </w:r>
    </w:p>
    <w:p w14:paraId="6BC94369" w14:textId="3D2778FE" w:rsidR="000C0336" w:rsidRDefault="00C5657A" w:rsidP="009122D6">
      <w:pPr>
        <w:rPr>
          <w:sz w:val="24"/>
          <w:szCs w:val="24"/>
        </w:rPr>
      </w:pPr>
      <w:r>
        <w:rPr>
          <w:sz w:val="24"/>
          <w:szCs w:val="24"/>
        </w:rPr>
        <w:t xml:space="preserve">Using </w:t>
      </w:r>
      <w:r w:rsidR="00F12B33">
        <w:rPr>
          <w:sz w:val="24"/>
          <w:szCs w:val="24"/>
        </w:rPr>
        <w:t>VISA’s core revenue drivers</w:t>
      </w:r>
      <w:r>
        <w:rPr>
          <w:sz w:val="24"/>
          <w:szCs w:val="24"/>
        </w:rPr>
        <w:t xml:space="preserve"> as a starting point</w:t>
      </w:r>
      <w:r w:rsidR="00F12B33">
        <w:rPr>
          <w:sz w:val="24"/>
          <w:szCs w:val="24"/>
        </w:rPr>
        <w:t xml:space="preserve">, it stands to reason that their biggest competitors would consist of the major players in Consumer Payments. MasterCard would be considered a clear competitive force to most, and with good reason, </w:t>
      </w:r>
      <w:r w:rsidR="00D3624F">
        <w:rPr>
          <w:sz w:val="24"/>
          <w:szCs w:val="24"/>
        </w:rPr>
        <w:t>as</w:t>
      </w:r>
      <w:r w:rsidR="00786471">
        <w:rPr>
          <w:sz w:val="24"/>
          <w:szCs w:val="24"/>
        </w:rPr>
        <w:t xml:space="preserve"> </w:t>
      </w:r>
      <w:r w:rsidR="00FB03EF">
        <w:rPr>
          <w:sz w:val="24"/>
          <w:szCs w:val="24"/>
        </w:rPr>
        <w:t xml:space="preserve">these entities continue to shape how we pay </w:t>
      </w:r>
      <w:r w:rsidR="003174B9">
        <w:rPr>
          <w:sz w:val="24"/>
          <w:szCs w:val="24"/>
        </w:rPr>
        <w:t xml:space="preserve">with their </w:t>
      </w:r>
      <w:r w:rsidR="00C45423">
        <w:rPr>
          <w:sz w:val="24"/>
          <w:szCs w:val="24"/>
        </w:rPr>
        <w:t>widely accessible</w:t>
      </w:r>
      <w:r w:rsidR="003174B9">
        <w:rPr>
          <w:sz w:val="24"/>
          <w:szCs w:val="24"/>
        </w:rPr>
        <w:t xml:space="preserve"> payment cards</w:t>
      </w:r>
      <w:r w:rsidR="00FB03EF">
        <w:rPr>
          <w:sz w:val="24"/>
          <w:szCs w:val="24"/>
        </w:rPr>
        <w:t xml:space="preserve">. </w:t>
      </w:r>
      <w:r w:rsidR="00961844">
        <w:rPr>
          <w:sz w:val="24"/>
          <w:szCs w:val="24"/>
        </w:rPr>
        <w:t xml:space="preserve">This is exemplified in the 2022 Network comparison in VISA Inc’s Annual Report (2023) with </w:t>
      </w:r>
      <w:r w:rsidR="00DA24E2">
        <w:rPr>
          <w:sz w:val="24"/>
          <w:szCs w:val="24"/>
        </w:rPr>
        <w:t xml:space="preserve">VISA </w:t>
      </w:r>
      <w:r w:rsidR="00DA24E2" w:rsidRPr="00D4502F">
        <w:rPr>
          <w:sz w:val="24"/>
          <w:szCs w:val="24"/>
          <w:highlight w:val="cyan"/>
        </w:rPr>
        <w:t xml:space="preserve">and Mastercard generating $11.668tn and $6.568tn </w:t>
      </w:r>
      <w:r w:rsidR="00986B98" w:rsidRPr="00D4502F">
        <w:rPr>
          <w:sz w:val="24"/>
          <w:szCs w:val="24"/>
          <w:highlight w:val="cyan"/>
        </w:rPr>
        <w:t xml:space="preserve">in Payments Volume </w:t>
      </w:r>
      <w:r w:rsidR="00DA24E2" w:rsidRPr="00D4502F">
        <w:rPr>
          <w:sz w:val="24"/>
          <w:szCs w:val="24"/>
          <w:highlight w:val="cyan"/>
        </w:rPr>
        <w:t>respectively, and with a staggering 6</w:t>
      </w:r>
      <w:r w:rsidR="00986B98" w:rsidRPr="00D4502F">
        <w:rPr>
          <w:sz w:val="24"/>
          <w:szCs w:val="24"/>
          <w:highlight w:val="cyan"/>
        </w:rPr>
        <w:t>.</w:t>
      </w:r>
      <w:r w:rsidR="00DA24E2" w:rsidRPr="00D4502F">
        <w:rPr>
          <w:sz w:val="24"/>
          <w:szCs w:val="24"/>
          <w:highlight w:val="cyan"/>
        </w:rPr>
        <w:t xml:space="preserve">873 </w:t>
      </w:r>
      <w:r w:rsidR="00986B98" w:rsidRPr="00D4502F">
        <w:rPr>
          <w:sz w:val="24"/>
          <w:szCs w:val="24"/>
          <w:highlight w:val="cyan"/>
        </w:rPr>
        <w:t>b</w:t>
      </w:r>
      <w:r w:rsidR="00DA24E2" w:rsidRPr="00D4502F">
        <w:rPr>
          <w:sz w:val="24"/>
          <w:szCs w:val="24"/>
          <w:highlight w:val="cyan"/>
        </w:rPr>
        <w:t xml:space="preserve">illion </w:t>
      </w:r>
      <w:commentRangeStart w:id="0"/>
      <w:r w:rsidR="00DA24E2" w:rsidRPr="00D4502F">
        <w:rPr>
          <w:sz w:val="24"/>
          <w:szCs w:val="24"/>
          <w:highlight w:val="cyan"/>
        </w:rPr>
        <w:t>cards</w:t>
      </w:r>
      <w:commentRangeEnd w:id="0"/>
      <w:r w:rsidR="00D4502F">
        <w:rPr>
          <w:rStyle w:val="CommentReference"/>
        </w:rPr>
        <w:commentReference w:id="0"/>
      </w:r>
      <w:r w:rsidR="00DA24E2">
        <w:rPr>
          <w:sz w:val="24"/>
          <w:szCs w:val="24"/>
        </w:rPr>
        <w:t xml:space="preserve"> in issue between the two of them. </w:t>
      </w:r>
      <w:r w:rsidR="000C0336">
        <w:rPr>
          <w:sz w:val="24"/>
          <w:szCs w:val="24"/>
        </w:rPr>
        <w:t>Both mature players still have a keen eye on growth however,</w:t>
      </w:r>
      <w:r w:rsidR="00637520">
        <w:rPr>
          <w:sz w:val="24"/>
          <w:szCs w:val="24"/>
        </w:rPr>
        <w:t xml:space="preserve"> </w:t>
      </w:r>
      <w:r w:rsidR="000864B0">
        <w:rPr>
          <w:sz w:val="24"/>
          <w:szCs w:val="24"/>
        </w:rPr>
        <w:t xml:space="preserve">with top-line revenue still </w:t>
      </w:r>
      <w:r w:rsidR="003174B9">
        <w:rPr>
          <w:sz w:val="24"/>
          <w:szCs w:val="24"/>
        </w:rPr>
        <w:t xml:space="preserve">increasing </w:t>
      </w:r>
      <w:r w:rsidR="00B51517">
        <w:rPr>
          <w:sz w:val="24"/>
          <w:szCs w:val="24"/>
        </w:rPr>
        <w:t>over the last few years.</w:t>
      </w:r>
      <w:r w:rsidR="00473B9E">
        <w:rPr>
          <w:sz w:val="24"/>
          <w:szCs w:val="24"/>
        </w:rPr>
        <w:t xml:space="preserve"> </w:t>
      </w:r>
      <w:r w:rsidR="003B53CB">
        <w:rPr>
          <w:sz w:val="24"/>
          <w:szCs w:val="24"/>
        </w:rPr>
        <w:t>In terms of percentage growth, we have seen 23.41%, 17.76% and 12.62% for MasterCard (2021-23), with VISA boasting 10.34%, 21.59% and 11.41% over the same period.</w:t>
      </w:r>
    </w:p>
    <w:p w14:paraId="1DF8D8FA" w14:textId="6EA8B985" w:rsidR="00C5657A" w:rsidRDefault="00C5657A" w:rsidP="009122D6">
      <w:pPr>
        <w:rPr>
          <w:sz w:val="24"/>
          <w:szCs w:val="24"/>
        </w:rPr>
      </w:pPr>
    </w:p>
    <w:p w14:paraId="59E22730" w14:textId="540650A6" w:rsidR="00C5657A" w:rsidRDefault="00C5657A" w:rsidP="009122D6">
      <w:pPr>
        <w:rPr>
          <w:sz w:val="24"/>
          <w:szCs w:val="24"/>
        </w:rPr>
      </w:pPr>
    </w:p>
    <w:p w14:paraId="1150E5F2" w14:textId="17D653E3" w:rsidR="00C5657A" w:rsidRDefault="000A4E0F" w:rsidP="009122D6">
      <w:pPr>
        <w:rPr>
          <w:sz w:val="24"/>
          <w:szCs w:val="24"/>
        </w:rPr>
      </w:pPr>
      <w:r>
        <w:rPr>
          <w:noProof/>
        </w:rPr>
        <w:lastRenderedPageBreak/>
        <w:drawing>
          <wp:inline distT="0" distB="0" distL="0" distR="0" wp14:anchorId="145CDE0C" wp14:editId="7B2E4E52">
            <wp:extent cx="5461000" cy="3124200"/>
            <wp:effectExtent l="0" t="0" r="0" b="0"/>
            <wp:docPr id="1" name="Chart 1">
              <a:extLst xmlns:a="http://schemas.openxmlformats.org/drawingml/2006/main">
                <a:ext uri="{FF2B5EF4-FFF2-40B4-BE49-F238E27FC236}">
                  <a16:creationId xmlns:a16="http://schemas.microsoft.com/office/drawing/2014/main" id="{7DC1A980-0E45-B485-B6B1-442C6935C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270A5C" w14:textId="66EA0E24" w:rsidR="00C5657A" w:rsidRPr="00473B9E" w:rsidRDefault="00473B9E" w:rsidP="009122D6">
      <w:pPr>
        <w:rPr>
          <w:sz w:val="18"/>
          <w:szCs w:val="18"/>
        </w:rPr>
      </w:pPr>
      <w:r>
        <w:rPr>
          <w:sz w:val="18"/>
          <w:szCs w:val="18"/>
        </w:rPr>
        <w:t xml:space="preserve">*2023 includes the </w:t>
      </w:r>
      <w:r w:rsidR="005611F5">
        <w:rPr>
          <w:sz w:val="18"/>
          <w:szCs w:val="18"/>
        </w:rPr>
        <w:t>12-month</w:t>
      </w:r>
      <w:r>
        <w:rPr>
          <w:sz w:val="18"/>
          <w:szCs w:val="18"/>
        </w:rPr>
        <w:t xml:space="preserve"> trailing revenue from September </w:t>
      </w:r>
    </w:p>
    <w:p w14:paraId="2ED657E1" w14:textId="6FF61B7E" w:rsidR="00C5657A" w:rsidRDefault="00C5657A" w:rsidP="009122D6">
      <w:pPr>
        <w:rPr>
          <w:sz w:val="24"/>
          <w:szCs w:val="24"/>
        </w:rPr>
      </w:pPr>
    </w:p>
    <w:p w14:paraId="16785F84" w14:textId="2094A8AF" w:rsidR="00E17CD8" w:rsidRDefault="004C0CA6" w:rsidP="009122D6">
      <w:pPr>
        <w:rPr>
          <w:sz w:val="24"/>
          <w:szCs w:val="24"/>
        </w:rPr>
      </w:pPr>
      <w:r>
        <w:rPr>
          <w:sz w:val="24"/>
          <w:szCs w:val="24"/>
        </w:rPr>
        <w:t>Another large-scale competitor to VISA is PayPal.</w:t>
      </w:r>
      <w:r w:rsidR="003174B9">
        <w:rPr>
          <w:sz w:val="24"/>
          <w:szCs w:val="24"/>
        </w:rPr>
        <w:t xml:space="preserve"> Despite considerable differences in their business models, the presence of PayPal in this market is undeniable, and they show no signs of slow-down.</w:t>
      </w:r>
      <w:r w:rsidR="00C45423">
        <w:rPr>
          <w:sz w:val="24"/>
          <w:szCs w:val="24"/>
        </w:rPr>
        <w:t xml:space="preserve"> </w:t>
      </w:r>
      <w:r w:rsidR="00E17CD8">
        <w:rPr>
          <w:sz w:val="24"/>
          <w:szCs w:val="24"/>
        </w:rPr>
        <w:t xml:space="preserve">Their </w:t>
      </w:r>
      <w:r w:rsidR="00D1653A">
        <w:rPr>
          <w:sz w:val="24"/>
          <w:szCs w:val="24"/>
        </w:rPr>
        <w:t>‘closed-loop payments system’ (The Motley Fool, 2022) operates through market participants joining the network and interacting with one-another using PayPal accounts to conduct the payments process.</w:t>
      </w:r>
      <w:r w:rsidR="002C16BF">
        <w:rPr>
          <w:sz w:val="24"/>
          <w:szCs w:val="24"/>
        </w:rPr>
        <w:t xml:space="preserve"> This can be viewed as a supplementary tool to VISA’s strategic objectives, given the PayPal network uses stored cards to facilitate transaction</w:t>
      </w:r>
      <w:r w:rsidR="005611F5">
        <w:rPr>
          <w:sz w:val="24"/>
          <w:szCs w:val="24"/>
        </w:rPr>
        <w:t>s</w:t>
      </w:r>
      <w:r w:rsidR="002C16BF">
        <w:rPr>
          <w:sz w:val="24"/>
          <w:szCs w:val="24"/>
        </w:rPr>
        <w:t xml:space="preserve">. However, risks arise from this model, as the natural tendency would be for PayPal to promote the use of ‘PayPal </w:t>
      </w:r>
      <w:r w:rsidR="00283CCF">
        <w:rPr>
          <w:sz w:val="24"/>
          <w:szCs w:val="24"/>
        </w:rPr>
        <w:t xml:space="preserve">balances’ </w:t>
      </w:r>
      <w:r w:rsidR="00E34D1B">
        <w:rPr>
          <w:sz w:val="24"/>
          <w:szCs w:val="24"/>
        </w:rPr>
        <w:t xml:space="preserve">and </w:t>
      </w:r>
      <w:r w:rsidR="005611F5">
        <w:rPr>
          <w:sz w:val="24"/>
          <w:szCs w:val="24"/>
        </w:rPr>
        <w:t>relinquishing</w:t>
      </w:r>
      <w:r w:rsidR="00E34D1B">
        <w:rPr>
          <w:sz w:val="24"/>
          <w:szCs w:val="24"/>
        </w:rPr>
        <w:t xml:space="preserve"> control puts them at the mercy of the multinational corporation. </w:t>
      </w:r>
    </w:p>
    <w:p w14:paraId="0217FDE5" w14:textId="6D73F622" w:rsidR="007B42CF" w:rsidRDefault="007B42CF" w:rsidP="009122D6">
      <w:pPr>
        <w:rPr>
          <w:sz w:val="24"/>
          <w:szCs w:val="24"/>
        </w:rPr>
      </w:pPr>
    </w:p>
    <w:p w14:paraId="1BB95B9A" w14:textId="79E92845" w:rsidR="00C024E0" w:rsidRDefault="002E7FD1" w:rsidP="009122D6">
      <w:pPr>
        <w:rPr>
          <w:sz w:val="24"/>
          <w:szCs w:val="24"/>
        </w:rPr>
      </w:pPr>
      <w:r>
        <w:rPr>
          <w:sz w:val="24"/>
          <w:szCs w:val="24"/>
        </w:rPr>
        <w:t>One aspect of the payment industry that would be difficult to ignore</w:t>
      </w:r>
      <w:r w:rsidR="00B36748">
        <w:rPr>
          <w:sz w:val="24"/>
          <w:szCs w:val="24"/>
        </w:rPr>
        <w:t xml:space="preserve"> is the rise in cryptocurrencies. There has been a well-documented introduction of the capability to use the blockchain, a decentralized ledger that can operate with autonomy as a system. Given the mistrust many consumers may have post-financial crisis 2007-09, governmental currency mismanagement and </w:t>
      </w:r>
      <w:r w:rsidR="00B3313D">
        <w:rPr>
          <w:sz w:val="24"/>
          <w:szCs w:val="24"/>
        </w:rPr>
        <w:t>red tape</w:t>
      </w:r>
      <w:r w:rsidR="00B36748">
        <w:rPr>
          <w:sz w:val="24"/>
          <w:szCs w:val="24"/>
        </w:rPr>
        <w:t xml:space="preserve"> from large-scale regulation, there is a discernible hunger amongst much of the global population to adopt this technology. However, full-scale adoption is likely to be limited in the short-term given </w:t>
      </w:r>
      <w:r w:rsidR="00B3313D">
        <w:rPr>
          <w:sz w:val="24"/>
          <w:szCs w:val="24"/>
        </w:rPr>
        <w:t>its</w:t>
      </w:r>
      <w:r w:rsidR="00B36748">
        <w:rPr>
          <w:sz w:val="24"/>
          <w:szCs w:val="24"/>
        </w:rPr>
        <w:t xml:space="preserve"> reputation as a speculative asset, with volatility being counter-productive to </w:t>
      </w:r>
      <w:r w:rsidR="00B3313D">
        <w:rPr>
          <w:sz w:val="24"/>
          <w:szCs w:val="24"/>
        </w:rPr>
        <w:t>its</w:t>
      </w:r>
      <w:r w:rsidR="00B36748">
        <w:rPr>
          <w:sz w:val="24"/>
          <w:szCs w:val="24"/>
        </w:rPr>
        <w:t xml:space="preserve"> </w:t>
      </w:r>
      <w:r w:rsidR="00B3313D">
        <w:rPr>
          <w:sz w:val="24"/>
          <w:szCs w:val="24"/>
        </w:rPr>
        <w:t>purpose as practical application of Bitcoin, for example, are hindered by its inability to act as a viable store of value and medium of exchange.</w:t>
      </w:r>
    </w:p>
    <w:p w14:paraId="16DA0C01" w14:textId="460B4353" w:rsidR="00C5657A" w:rsidRDefault="00C5657A" w:rsidP="009122D6">
      <w:pPr>
        <w:rPr>
          <w:sz w:val="24"/>
          <w:szCs w:val="24"/>
        </w:rPr>
      </w:pPr>
    </w:p>
    <w:p w14:paraId="3922B380" w14:textId="034D0201" w:rsidR="00C5657A" w:rsidRDefault="00C5657A" w:rsidP="009122D6">
      <w:pPr>
        <w:rPr>
          <w:sz w:val="24"/>
          <w:szCs w:val="24"/>
        </w:rPr>
      </w:pPr>
    </w:p>
    <w:p w14:paraId="3C52A54C" w14:textId="499C32A5" w:rsidR="00C5657A" w:rsidRDefault="00C5657A" w:rsidP="009122D6">
      <w:pPr>
        <w:rPr>
          <w:sz w:val="24"/>
          <w:szCs w:val="24"/>
        </w:rPr>
      </w:pPr>
    </w:p>
    <w:p w14:paraId="437D3275" w14:textId="3505902A" w:rsidR="00C5657A" w:rsidRDefault="00C5657A" w:rsidP="009122D6">
      <w:pPr>
        <w:rPr>
          <w:sz w:val="24"/>
          <w:szCs w:val="24"/>
        </w:rPr>
      </w:pPr>
    </w:p>
    <w:p w14:paraId="1CF461BA" w14:textId="77777777" w:rsidR="00B3313D" w:rsidRDefault="00B3313D" w:rsidP="001C394B">
      <w:pPr>
        <w:rPr>
          <w:b/>
          <w:bCs/>
          <w:color w:val="000000" w:themeColor="text1"/>
          <w:sz w:val="32"/>
          <w:szCs w:val="32"/>
        </w:rPr>
      </w:pPr>
    </w:p>
    <w:p w14:paraId="6D3284C6" w14:textId="12BDEEC8" w:rsidR="004F4157" w:rsidRPr="001C394B" w:rsidRDefault="004F4157" w:rsidP="004F4157">
      <w:pPr>
        <w:rPr>
          <w:b/>
          <w:bCs/>
          <w:color w:val="000000" w:themeColor="text1"/>
          <w:sz w:val="32"/>
          <w:szCs w:val="32"/>
        </w:rPr>
      </w:pPr>
      <w:r>
        <w:rPr>
          <w:b/>
          <w:bCs/>
          <w:color w:val="000000" w:themeColor="text1"/>
          <w:sz w:val="32"/>
          <w:szCs w:val="32"/>
        </w:rPr>
        <w:t>Revenue/Cost Drivers</w:t>
      </w:r>
    </w:p>
    <w:p w14:paraId="7DAD99D8" w14:textId="46CCCFA1" w:rsidR="007B42CF" w:rsidRDefault="005611F5" w:rsidP="001C394B">
      <w:pPr>
        <w:rPr>
          <w:b/>
          <w:bCs/>
          <w:color w:val="000000" w:themeColor="text1"/>
          <w:sz w:val="32"/>
          <w:szCs w:val="32"/>
        </w:rPr>
      </w:pPr>
      <w:r>
        <w:rPr>
          <w:b/>
          <w:bCs/>
          <w:color w:val="000000" w:themeColor="text1"/>
          <w:sz w:val="32"/>
          <w:szCs w:val="32"/>
        </w:rPr>
        <w:t xml:space="preserve"> </w:t>
      </w:r>
    </w:p>
    <w:p w14:paraId="3A462BFB" w14:textId="26EA9B72" w:rsidR="007B42CF" w:rsidRPr="007B42CF" w:rsidRDefault="007B42CF" w:rsidP="001C394B">
      <w:pPr>
        <w:rPr>
          <w:color w:val="000000" w:themeColor="text1"/>
          <w:sz w:val="24"/>
          <w:szCs w:val="24"/>
        </w:rPr>
      </w:pPr>
      <w:r>
        <w:rPr>
          <w:sz w:val="24"/>
          <w:szCs w:val="24"/>
        </w:rPr>
        <w:t xml:space="preserve">As touched upon </w:t>
      </w:r>
      <w:r w:rsidR="00D755A9">
        <w:rPr>
          <w:sz w:val="24"/>
          <w:szCs w:val="24"/>
        </w:rPr>
        <w:t xml:space="preserve">in the Overview, the three targeted revenue segments come from Consumer Payments, New Flows and Value-Added Services. VISA’s core business in Consumer Payments is executed primarily via Debit Cards, Credit Cards and Prepaid Cards. </w:t>
      </w:r>
      <w:r w:rsidR="005666E7">
        <w:rPr>
          <w:sz w:val="24"/>
          <w:szCs w:val="24"/>
        </w:rPr>
        <w:t>In contrast to PayPal, VISA utilize an ‘open-loop payment network</w:t>
      </w:r>
      <w:r w:rsidR="005307CF">
        <w:rPr>
          <w:sz w:val="24"/>
          <w:szCs w:val="24"/>
        </w:rPr>
        <w:t>’ (The Motley Fool, 2022)</w:t>
      </w:r>
      <w:r w:rsidR="005666E7">
        <w:rPr>
          <w:sz w:val="24"/>
          <w:szCs w:val="24"/>
        </w:rPr>
        <w:t xml:space="preserve"> which allows them to offer integrated solutions along the end-to-end process of the consumer extending their VISA card to make payment, up until the merchant acquires the funds for the good/service they have provided. Therefore, their success in generating revenue is not only contingent to the reliability of their technological infrastructure, the quality </w:t>
      </w:r>
      <w:r w:rsidR="005307CF">
        <w:rPr>
          <w:sz w:val="24"/>
          <w:szCs w:val="24"/>
        </w:rPr>
        <w:t>&amp;</w:t>
      </w:r>
      <w:r w:rsidR="005666E7">
        <w:rPr>
          <w:sz w:val="24"/>
          <w:szCs w:val="24"/>
        </w:rPr>
        <w:t xml:space="preserve"> delivery of their cards, but also their ability to work and build lasting relationships with partnering financial institutions that strive for a seamless customer experience.</w:t>
      </w:r>
    </w:p>
    <w:p w14:paraId="698BD07F" w14:textId="77777777" w:rsidR="005611F5" w:rsidRDefault="005611F5" w:rsidP="001C394B">
      <w:pPr>
        <w:rPr>
          <w:b/>
          <w:bCs/>
          <w:color w:val="000000" w:themeColor="text1"/>
          <w:sz w:val="32"/>
          <w:szCs w:val="32"/>
        </w:rPr>
      </w:pPr>
    </w:p>
    <w:p w14:paraId="1296100E" w14:textId="46BD56EA" w:rsidR="005666E7" w:rsidRDefault="005666E7" w:rsidP="007B42CF">
      <w:r>
        <w:fldChar w:fldCharType="begin"/>
      </w:r>
      <w:r>
        <w:instrText xml:space="preserve"> INCLUDEPICTURE "https://g.foolcdn.com/image/?url=https%3A%2F%2Fg.foolcdn.com%2Feditorial%2Fimages%2F670564%2Fvisa-core-business-chart.png&amp;op=resize&amp;w=700" \* MERGEFORMATINET </w:instrText>
      </w:r>
      <w:r>
        <w:fldChar w:fldCharType="separate"/>
      </w:r>
      <w:r>
        <w:rPr>
          <w:noProof/>
        </w:rPr>
        <w:drawing>
          <wp:inline distT="0" distB="0" distL="0" distR="0" wp14:anchorId="68BC20AD" wp14:editId="65359CF8">
            <wp:extent cx="5765800" cy="2023110"/>
            <wp:effectExtent l="0" t="0" r="0" b="0"/>
            <wp:docPr id="8" name="Picture 8" descr="A chart from Visa's 2021 annual report shows the flow of money through Visa'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chart from Visa's 2021 annual report shows the flow of money through Visa's syste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3772" cy="2050469"/>
                    </a:xfrm>
                    <a:prstGeom prst="rect">
                      <a:avLst/>
                    </a:prstGeom>
                    <a:noFill/>
                    <a:ln>
                      <a:noFill/>
                    </a:ln>
                  </pic:spPr>
                </pic:pic>
              </a:graphicData>
            </a:graphic>
          </wp:inline>
        </w:drawing>
      </w:r>
      <w:r>
        <w:fldChar w:fldCharType="end"/>
      </w:r>
    </w:p>
    <w:p w14:paraId="51F23079" w14:textId="337A099D" w:rsidR="00B51517" w:rsidRDefault="00D755A9" w:rsidP="001C394B">
      <w:pPr>
        <w:rPr>
          <w:b/>
          <w:bCs/>
          <w:color w:val="000000" w:themeColor="text1"/>
          <w:sz w:val="32"/>
          <w:szCs w:val="32"/>
        </w:rPr>
      </w:pPr>
      <w:r>
        <w:rPr>
          <w:sz w:val="18"/>
          <w:szCs w:val="18"/>
        </w:rPr>
        <w:t>*Image Source: VISA Annual Report (2021)</w:t>
      </w:r>
    </w:p>
    <w:p w14:paraId="74F4372E" w14:textId="77777777" w:rsidR="005307CF" w:rsidRPr="005307CF" w:rsidRDefault="005307CF" w:rsidP="001C394B">
      <w:pPr>
        <w:rPr>
          <w:b/>
          <w:bCs/>
          <w:color w:val="000000" w:themeColor="text1"/>
          <w:sz w:val="24"/>
          <w:szCs w:val="24"/>
        </w:rPr>
      </w:pPr>
    </w:p>
    <w:p w14:paraId="4986E9A9" w14:textId="3EA62DB1" w:rsidR="005307CF" w:rsidRPr="00121DD9" w:rsidRDefault="005307CF" w:rsidP="001C394B">
      <w:pPr>
        <w:rPr>
          <w:sz w:val="24"/>
          <w:szCs w:val="24"/>
        </w:rPr>
      </w:pPr>
      <w:r>
        <w:rPr>
          <w:sz w:val="24"/>
          <w:szCs w:val="24"/>
        </w:rPr>
        <w:t xml:space="preserve">Navigating down to </w:t>
      </w:r>
      <w:r w:rsidR="00611581">
        <w:rPr>
          <w:sz w:val="24"/>
          <w:szCs w:val="24"/>
        </w:rPr>
        <w:t xml:space="preserve">the Consolidated Statement of Operations in VISA’s annual report (2023), we can identify the cost bases that VISA are subject to. Using 2021-23 as a frame of reference, some notable categories of expenses are personnel, marketing, network &amp; processing and general. These all have </w:t>
      </w:r>
      <w:r w:rsidR="00121DD9">
        <w:rPr>
          <w:sz w:val="24"/>
          <w:szCs w:val="24"/>
        </w:rPr>
        <w:t>grown in line with expectations given expansion in revenue over the above period. The real crux to the benefit of this industry is that it provides stable cash flows at high-margin, as there is a large degree of automation once the complex infrastructure has been developed. We can observe this over 2021-23 with chronological operating margins of 65.56%, 64.19% and 64.31% delineating the validity of the business model that has formulated over the years, and the margin of safety VISA have to invest and take risks in an era where comprehensive digitalization and AI take centre stage in shaping the future</w:t>
      </w:r>
      <w:r w:rsidR="002E7FD1">
        <w:rPr>
          <w:sz w:val="24"/>
          <w:szCs w:val="24"/>
        </w:rPr>
        <w:t xml:space="preserve">. </w:t>
      </w:r>
    </w:p>
    <w:p w14:paraId="5D270BB2" w14:textId="77777777" w:rsidR="00D4502F" w:rsidRPr="009A1195" w:rsidRDefault="00D4502F" w:rsidP="00D4502F">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3DF89CCE" w14:textId="77777777" w:rsidR="00D4502F" w:rsidRDefault="00D4502F" w:rsidP="00D4502F">
      <w:pPr>
        <w:ind w:left="360"/>
      </w:pPr>
      <w:r w:rsidRPr="00DC04B7">
        <w:rPr>
          <w:rFonts w:cs="Calibri"/>
          <w:shd w:val="clear" w:color="auto" w:fill="00FF00"/>
        </w:rPr>
        <w:lastRenderedPageBreak/>
        <w:t>Revenue per transaction * transaction volume.</w:t>
      </w:r>
      <w:r w:rsidRPr="00DC04B7">
        <w:rPr>
          <w:rFonts w:cs="Calibri"/>
        </w:rPr>
        <w:t xml:space="preserve"> </w:t>
      </w:r>
    </w:p>
    <w:p w14:paraId="05A46F52" w14:textId="77777777" w:rsidR="00D4502F" w:rsidRPr="00044299" w:rsidRDefault="00D4502F" w:rsidP="00D4502F">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30423848" w14:textId="77777777" w:rsidR="00B51517" w:rsidRDefault="00B51517" w:rsidP="001C394B">
      <w:pPr>
        <w:rPr>
          <w:b/>
          <w:bCs/>
          <w:color w:val="000000" w:themeColor="text1"/>
          <w:sz w:val="32"/>
          <w:szCs w:val="32"/>
        </w:rPr>
      </w:pPr>
    </w:p>
    <w:p w14:paraId="03B03E8E" w14:textId="77777777" w:rsidR="00B51517" w:rsidRDefault="00B51517" w:rsidP="001C394B">
      <w:pPr>
        <w:rPr>
          <w:b/>
          <w:bCs/>
          <w:color w:val="000000" w:themeColor="text1"/>
          <w:sz w:val="32"/>
          <w:szCs w:val="32"/>
        </w:rPr>
      </w:pPr>
    </w:p>
    <w:p w14:paraId="46DB93F8" w14:textId="51E9F7E6" w:rsidR="00B51517" w:rsidRDefault="007B42CF" w:rsidP="001C394B">
      <w:pPr>
        <w:rPr>
          <w:b/>
          <w:bCs/>
          <w:color w:val="000000" w:themeColor="text1"/>
          <w:sz w:val="32"/>
          <w:szCs w:val="32"/>
        </w:rPr>
      </w:pPr>
      <w:r>
        <w:fldChar w:fldCharType="begin"/>
      </w:r>
      <w:r w:rsidR="002830FC">
        <w:instrText xml:space="preserve"> INCLUDEPICTURE "C:\\Users\\sba\\Library\\Group Containers\\UBF8T346G9.ms\\WebArchiveCopyPasteTempFiles\\com.microsoft.Word\\INFOGRAPHIC_TABLET_120423.svg" \* MERGEFORMAT </w:instrText>
      </w:r>
      <w:r>
        <w:fldChar w:fldCharType="separate"/>
      </w:r>
      <w:r>
        <w:rPr>
          <w:noProof/>
        </w:rPr>
        <mc:AlternateContent>
          <mc:Choice Requires="wps">
            <w:drawing>
              <wp:inline distT="0" distB="0" distL="0" distR="0" wp14:anchorId="549CC9B7" wp14:editId="1CE0BD21">
                <wp:extent cx="304800" cy="304800"/>
                <wp:effectExtent l="0" t="0" r="0" b="0"/>
                <wp:docPr id="4" name="Rectangle 4" descr="Business overview - Visa In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66341" id="Rectangle 4" o:spid="_x0000_s1026" alt="Business overview - Visa In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7B42CF">
        <w:t xml:space="preserve"> </w:t>
      </w:r>
    </w:p>
    <w:p w14:paraId="668B3258" w14:textId="116520B3" w:rsidR="001C394B" w:rsidRPr="001C394B" w:rsidRDefault="00B3313D" w:rsidP="001C394B">
      <w:pPr>
        <w:rPr>
          <w:b/>
          <w:bCs/>
          <w:color w:val="000000" w:themeColor="text1"/>
          <w:sz w:val="32"/>
          <w:szCs w:val="32"/>
        </w:rPr>
      </w:pPr>
      <w:r>
        <w:rPr>
          <w:b/>
          <w:bCs/>
          <w:color w:val="000000" w:themeColor="text1"/>
          <w:sz w:val="32"/>
          <w:szCs w:val="32"/>
        </w:rPr>
        <w:t>Grid Analysis</w:t>
      </w:r>
    </w:p>
    <w:p w14:paraId="2EC1B693" w14:textId="649C82B3" w:rsidR="00C5657A" w:rsidRDefault="00C5657A" w:rsidP="009122D6">
      <w:pPr>
        <w:rPr>
          <w:sz w:val="24"/>
          <w:szCs w:val="24"/>
        </w:rPr>
      </w:pPr>
    </w:p>
    <w:p w14:paraId="25255BA6" w14:textId="079C9215" w:rsidR="00C5657A" w:rsidRPr="00833A54" w:rsidRDefault="001C394B" w:rsidP="009122D6">
      <w:pPr>
        <w:rPr>
          <w:sz w:val="28"/>
          <w:szCs w:val="28"/>
        </w:rPr>
      </w:pPr>
      <w:r w:rsidRPr="00833A54">
        <w:rPr>
          <w:b/>
          <w:bCs/>
          <w:color w:val="000000" w:themeColor="text1"/>
          <w:sz w:val="28"/>
          <w:szCs w:val="28"/>
        </w:rPr>
        <w:t xml:space="preserve">SWOT </w:t>
      </w:r>
    </w:p>
    <w:tbl>
      <w:tblPr>
        <w:tblStyle w:val="TableGrid"/>
        <w:tblW w:w="9209" w:type="dxa"/>
        <w:tblLook w:val="04A0" w:firstRow="1" w:lastRow="0" w:firstColumn="1" w:lastColumn="0" w:noHBand="0" w:noVBand="1"/>
      </w:tblPr>
      <w:tblGrid>
        <w:gridCol w:w="4594"/>
        <w:gridCol w:w="4615"/>
      </w:tblGrid>
      <w:tr w:rsidR="00C5657A" w14:paraId="53C765A7" w14:textId="77777777" w:rsidTr="00833A54">
        <w:trPr>
          <w:trHeight w:val="2455"/>
        </w:trPr>
        <w:tc>
          <w:tcPr>
            <w:tcW w:w="4594" w:type="dxa"/>
          </w:tcPr>
          <w:p w14:paraId="33A3B1EC"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 xml:space="preserve">Strengths </w:t>
            </w:r>
          </w:p>
          <w:p w14:paraId="3E4694CB" w14:textId="4263A031" w:rsidR="0016071D" w:rsidRPr="00A85F98" w:rsidRDefault="00A85F98" w:rsidP="009122D6">
            <w:pPr>
              <w:rPr>
                <w:sz w:val="24"/>
                <w:szCs w:val="24"/>
              </w:rPr>
            </w:pPr>
            <w:r w:rsidRPr="00A85F98">
              <w:rPr>
                <w:sz w:val="24"/>
                <w:szCs w:val="24"/>
              </w:rPr>
              <w:t>Market Leader</w:t>
            </w:r>
            <w:r>
              <w:rPr>
                <w:sz w:val="24"/>
                <w:szCs w:val="24"/>
              </w:rPr>
              <w:t>:</w:t>
            </w:r>
            <w:r w:rsidR="004F4157">
              <w:rPr>
                <w:sz w:val="24"/>
                <w:szCs w:val="24"/>
              </w:rPr>
              <w:t xml:space="preserve"> VISA did not reach the status of the biggest player in this market without a robust multi-faceted strategy. </w:t>
            </w:r>
            <w:r w:rsidR="000652B3">
              <w:rPr>
                <w:sz w:val="24"/>
                <w:szCs w:val="24"/>
              </w:rPr>
              <w:t xml:space="preserve">Exceptional </w:t>
            </w:r>
            <w:r w:rsidR="004F4157">
              <w:rPr>
                <w:sz w:val="24"/>
                <w:szCs w:val="24"/>
              </w:rPr>
              <w:t xml:space="preserve">growth, market </w:t>
            </w:r>
            <w:r w:rsidR="009A7F1C">
              <w:rPr>
                <w:sz w:val="24"/>
                <w:szCs w:val="24"/>
              </w:rPr>
              <w:t>share, net</w:t>
            </w:r>
            <w:r w:rsidR="004F4157">
              <w:rPr>
                <w:sz w:val="24"/>
                <w:szCs w:val="24"/>
              </w:rPr>
              <w:t xml:space="preserve"> income, and a diverse product and region portfolio presents vast opportunities for VISA to invest further and effectively expand.</w:t>
            </w:r>
          </w:p>
        </w:tc>
        <w:tc>
          <w:tcPr>
            <w:tcW w:w="4615" w:type="dxa"/>
          </w:tcPr>
          <w:p w14:paraId="54DBB7CD"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Weaknesses</w:t>
            </w:r>
          </w:p>
          <w:p w14:paraId="34C71041" w14:textId="20307ACE" w:rsidR="00920358" w:rsidRPr="00920358" w:rsidRDefault="009A7F1C" w:rsidP="009122D6">
            <w:pPr>
              <w:rPr>
                <w:sz w:val="24"/>
                <w:szCs w:val="24"/>
              </w:rPr>
            </w:pPr>
            <w:r>
              <w:rPr>
                <w:sz w:val="24"/>
                <w:szCs w:val="24"/>
              </w:rPr>
              <w:t xml:space="preserve">R&amp;D: the position of VISA relatively lagging behind </w:t>
            </w:r>
            <w:r w:rsidR="00C67654">
              <w:rPr>
                <w:sz w:val="24"/>
                <w:szCs w:val="24"/>
              </w:rPr>
              <w:t>its</w:t>
            </w:r>
            <w:r>
              <w:rPr>
                <w:sz w:val="24"/>
                <w:szCs w:val="24"/>
              </w:rPr>
              <w:t xml:space="preserve"> peers in R&amp;D investment has been well-stated. Given their stature, it may be advantageous to portion more capital towards innovation to ensure a long-term competitive advantage is maintained.</w:t>
            </w:r>
          </w:p>
        </w:tc>
      </w:tr>
      <w:tr w:rsidR="00C5657A" w14:paraId="27595C00" w14:textId="77777777" w:rsidTr="00833A54">
        <w:trPr>
          <w:trHeight w:val="2455"/>
        </w:trPr>
        <w:tc>
          <w:tcPr>
            <w:tcW w:w="4594" w:type="dxa"/>
          </w:tcPr>
          <w:p w14:paraId="377AB3D4"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Opportunities</w:t>
            </w:r>
          </w:p>
          <w:p w14:paraId="2393A1EB" w14:textId="526356CE" w:rsidR="00A85F98" w:rsidRPr="00A85F98" w:rsidRDefault="00C67654" w:rsidP="009122D6">
            <w:pPr>
              <w:rPr>
                <w:sz w:val="24"/>
                <w:szCs w:val="24"/>
              </w:rPr>
            </w:pPr>
            <w:r w:rsidRPr="00D4502F">
              <w:rPr>
                <w:sz w:val="24"/>
                <w:szCs w:val="24"/>
                <w:highlight w:val="cyan"/>
              </w:rPr>
              <w:t xml:space="preserve">‘New Flows’ and </w:t>
            </w:r>
            <w:commentRangeStart w:id="1"/>
            <w:r w:rsidRPr="00D4502F">
              <w:rPr>
                <w:sz w:val="24"/>
                <w:szCs w:val="24"/>
                <w:highlight w:val="cyan"/>
              </w:rPr>
              <w:t>Tokenization</w:t>
            </w:r>
            <w:commentRangeEnd w:id="1"/>
            <w:r w:rsidR="00D4502F">
              <w:rPr>
                <w:rStyle w:val="CommentReference"/>
              </w:rPr>
              <w:commentReference w:id="1"/>
            </w:r>
            <w:r w:rsidRPr="00D4502F">
              <w:rPr>
                <w:sz w:val="24"/>
                <w:szCs w:val="24"/>
                <w:highlight w:val="cyan"/>
              </w:rPr>
              <w:t>:</w:t>
            </w:r>
            <w:r>
              <w:rPr>
                <w:sz w:val="24"/>
                <w:szCs w:val="24"/>
              </w:rPr>
              <w:t xml:space="preserve"> the foundation to provide a fully flexible service offering is well underway</w:t>
            </w:r>
            <w:r w:rsidR="005611F5">
              <w:rPr>
                <w:sz w:val="24"/>
                <w:szCs w:val="24"/>
              </w:rPr>
              <w:t>, with VISA Token Service (VTS) and Currencycloud platforms meeting the complex demands of the modern consumer who wishes for digital and expansive means of payment services.</w:t>
            </w:r>
          </w:p>
        </w:tc>
        <w:tc>
          <w:tcPr>
            <w:tcW w:w="4615" w:type="dxa"/>
          </w:tcPr>
          <w:p w14:paraId="41FDE41C" w14:textId="77777777" w:rsidR="00C5657A" w:rsidRDefault="00833A54" w:rsidP="009122D6">
            <w:pPr>
              <w:rPr>
                <w:b/>
                <w:bCs/>
                <w:color w:val="000000" w:themeColor="text1"/>
                <w:sz w:val="24"/>
                <w:szCs w:val="24"/>
                <w:u w:val="single"/>
              </w:rPr>
            </w:pPr>
            <w:r w:rsidRPr="00833A54">
              <w:rPr>
                <w:b/>
                <w:bCs/>
                <w:color w:val="000000" w:themeColor="text1"/>
                <w:sz w:val="24"/>
                <w:szCs w:val="24"/>
                <w:u w:val="single"/>
              </w:rPr>
              <w:t>Threats</w:t>
            </w:r>
          </w:p>
          <w:p w14:paraId="71B77D93" w14:textId="07EA109B" w:rsidR="00530244" w:rsidRPr="00530244" w:rsidRDefault="0016071D" w:rsidP="009122D6">
            <w:pPr>
              <w:rPr>
                <w:sz w:val="24"/>
                <w:szCs w:val="24"/>
              </w:rPr>
            </w:pPr>
            <w:r>
              <w:rPr>
                <w:sz w:val="24"/>
                <w:szCs w:val="24"/>
              </w:rPr>
              <w:t xml:space="preserve">Concentration </w:t>
            </w:r>
            <w:r w:rsidR="00C67654">
              <w:rPr>
                <w:sz w:val="24"/>
                <w:szCs w:val="24"/>
              </w:rPr>
              <w:t>Risk:</w:t>
            </w:r>
            <w:r>
              <w:rPr>
                <w:sz w:val="24"/>
                <w:szCs w:val="24"/>
              </w:rPr>
              <w:t xml:space="preserve"> </w:t>
            </w:r>
            <w:r w:rsidR="0062195E">
              <w:rPr>
                <w:sz w:val="24"/>
                <w:szCs w:val="24"/>
              </w:rPr>
              <w:t xml:space="preserve">given </w:t>
            </w:r>
            <w:r>
              <w:rPr>
                <w:sz w:val="24"/>
                <w:szCs w:val="24"/>
              </w:rPr>
              <w:t>VISA’s operating model relies upon B2B sales, it’s growth and prosperity is dependent on the limited actors within the market (financial institutions)</w:t>
            </w:r>
            <w:r w:rsidR="00C16EC8">
              <w:rPr>
                <w:sz w:val="24"/>
                <w:szCs w:val="24"/>
              </w:rPr>
              <w:t>. They may opt to develop unique technologies or switch to competitors at relatively low fees.</w:t>
            </w:r>
          </w:p>
        </w:tc>
      </w:tr>
    </w:tbl>
    <w:p w14:paraId="1D300185" w14:textId="38B62A85" w:rsidR="00E54D8E" w:rsidRDefault="00E54D8E" w:rsidP="009122D6">
      <w:pPr>
        <w:rPr>
          <w:sz w:val="24"/>
          <w:szCs w:val="24"/>
        </w:rPr>
      </w:pPr>
    </w:p>
    <w:p w14:paraId="2C880AD4" w14:textId="77777777" w:rsidR="00D4502F" w:rsidRPr="00DC04B7" w:rsidRDefault="00D4502F" w:rsidP="00D4502F">
      <w:pPr>
        <w:pStyle w:val="CommentText"/>
        <w:rPr>
          <w:b/>
          <w:bCs/>
          <w:highlight w:val="green"/>
          <w:u w:val="single"/>
        </w:rPr>
      </w:pPr>
      <w:r w:rsidRPr="00DC04B7">
        <w:rPr>
          <w:b/>
          <w:bCs/>
          <w:highlight w:val="green"/>
          <w:u w:val="single"/>
        </w:rPr>
        <w:t>Strengths</w:t>
      </w:r>
    </w:p>
    <w:p w14:paraId="7A143264" w14:textId="77777777" w:rsidR="00D4502F" w:rsidRPr="00DC04B7" w:rsidRDefault="00D4502F" w:rsidP="00D4502F">
      <w:pPr>
        <w:pStyle w:val="CommentText"/>
        <w:numPr>
          <w:ilvl w:val="0"/>
          <w:numId w:val="5"/>
        </w:numPr>
        <w:spacing w:after="160"/>
        <w:rPr>
          <w:highlight w:val="green"/>
        </w:rPr>
      </w:pPr>
      <w:r w:rsidRPr="00DC04B7">
        <w:rPr>
          <w:highlight w:val="green"/>
        </w:rPr>
        <w:t>Strong and secure payment infrastructure</w:t>
      </w:r>
    </w:p>
    <w:p w14:paraId="73DE1C30" w14:textId="77777777" w:rsidR="00D4502F" w:rsidRPr="00DC04B7" w:rsidRDefault="00D4502F" w:rsidP="00D4502F">
      <w:pPr>
        <w:pStyle w:val="TableStyle2"/>
        <w:numPr>
          <w:ilvl w:val="0"/>
          <w:numId w:val="5"/>
        </w:numPr>
        <w:rPr>
          <w:rFonts w:ascii="Times New Roman" w:hAnsi="Times New Roman"/>
          <w:highlight w:val="green"/>
          <w:lang w:val="en-US"/>
        </w:rPr>
      </w:pPr>
      <w:r w:rsidRPr="00DC04B7">
        <w:rPr>
          <w:rFonts w:ascii="Times New Roman" w:hAnsi="Times New Roman"/>
          <w:highlight w:val="green"/>
          <w:lang w:val="en-US"/>
        </w:rPr>
        <w:t>Strong distribution network</w:t>
      </w:r>
    </w:p>
    <w:p w14:paraId="2AEC5300" w14:textId="77777777" w:rsidR="00D4502F" w:rsidRPr="00DC04B7" w:rsidRDefault="00D4502F" w:rsidP="00D4502F">
      <w:pPr>
        <w:pStyle w:val="CommentText"/>
        <w:numPr>
          <w:ilvl w:val="0"/>
          <w:numId w:val="5"/>
        </w:numPr>
        <w:spacing w:after="160"/>
        <w:rPr>
          <w:highlight w:val="green"/>
        </w:rPr>
      </w:pPr>
      <w:r w:rsidRPr="00DC04B7">
        <w:rPr>
          <w:highlight w:val="green"/>
        </w:rPr>
        <w:t>Market leadership and strong brand value</w:t>
      </w:r>
    </w:p>
    <w:p w14:paraId="473900B0" w14:textId="77777777" w:rsidR="00D4502F" w:rsidRPr="00DC04B7" w:rsidRDefault="00D4502F" w:rsidP="00D4502F">
      <w:pPr>
        <w:pStyle w:val="CommentText"/>
        <w:numPr>
          <w:ilvl w:val="0"/>
          <w:numId w:val="5"/>
        </w:numPr>
        <w:spacing w:after="160"/>
        <w:rPr>
          <w:highlight w:val="green"/>
        </w:rPr>
      </w:pPr>
      <w:r w:rsidRPr="00DC04B7">
        <w:rPr>
          <w:highlight w:val="green"/>
        </w:rPr>
        <w:t>Strong strategic partnerships with card issuers and merchants</w:t>
      </w:r>
    </w:p>
    <w:p w14:paraId="70DC4A09" w14:textId="77777777" w:rsidR="00D4502F" w:rsidRPr="00DC04B7" w:rsidRDefault="00D4502F" w:rsidP="00D4502F">
      <w:pPr>
        <w:pStyle w:val="CommentText"/>
        <w:numPr>
          <w:ilvl w:val="0"/>
          <w:numId w:val="5"/>
        </w:numPr>
        <w:spacing w:after="160"/>
        <w:rPr>
          <w:highlight w:val="green"/>
        </w:rPr>
      </w:pPr>
      <w:r w:rsidRPr="00DC04B7">
        <w:rPr>
          <w:highlight w:val="green"/>
        </w:rPr>
        <w:t>Resilient business model that protects against inflation</w:t>
      </w:r>
    </w:p>
    <w:p w14:paraId="4E111CE7" w14:textId="77777777" w:rsidR="00D4502F" w:rsidRPr="00DC04B7" w:rsidRDefault="00D4502F" w:rsidP="00D4502F">
      <w:pPr>
        <w:pStyle w:val="CommentText"/>
        <w:rPr>
          <w:b/>
          <w:bCs/>
          <w:highlight w:val="green"/>
          <w:u w:val="single"/>
        </w:rPr>
      </w:pPr>
      <w:r w:rsidRPr="00DC04B7">
        <w:rPr>
          <w:b/>
          <w:bCs/>
          <w:highlight w:val="green"/>
          <w:u w:val="single"/>
        </w:rPr>
        <w:t>Weakness</w:t>
      </w:r>
    </w:p>
    <w:p w14:paraId="018E9779" w14:textId="77777777" w:rsidR="00D4502F" w:rsidRPr="00DC04B7" w:rsidRDefault="00D4502F" w:rsidP="00D4502F">
      <w:pPr>
        <w:pStyle w:val="CommentText"/>
        <w:numPr>
          <w:ilvl w:val="0"/>
          <w:numId w:val="6"/>
        </w:numPr>
        <w:spacing w:after="160"/>
        <w:rPr>
          <w:highlight w:val="green"/>
        </w:rPr>
      </w:pPr>
      <w:r w:rsidRPr="00DC04B7">
        <w:rPr>
          <w:highlight w:val="green"/>
        </w:rPr>
        <w:t>Lack diversification in business model</w:t>
      </w:r>
    </w:p>
    <w:p w14:paraId="5655B05B" w14:textId="77777777" w:rsidR="00D4502F" w:rsidRPr="00DC04B7" w:rsidRDefault="00D4502F" w:rsidP="00D4502F">
      <w:pPr>
        <w:pStyle w:val="CommentText"/>
        <w:numPr>
          <w:ilvl w:val="0"/>
          <w:numId w:val="6"/>
        </w:numPr>
        <w:spacing w:after="160"/>
        <w:rPr>
          <w:highlight w:val="green"/>
        </w:rPr>
      </w:pPr>
      <w:r w:rsidRPr="00DC04B7">
        <w:rPr>
          <w:highlight w:val="green"/>
        </w:rPr>
        <w:t>Lack of product development to combat new and emerging payment methods</w:t>
      </w:r>
    </w:p>
    <w:p w14:paraId="305B8421" w14:textId="77777777" w:rsidR="00D4502F" w:rsidRPr="00DC04B7" w:rsidRDefault="00D4502F" w:rsidP="00D4502F">
      <w:pPr>
        <w:pStyle w:val="CommentText"/>
        <w:numPr>
          <w:ilvl w:val="0"/>
          <w:numId w:val="6"/>
        </w:numPr>
        <w:spacing w:after="160"/>
        <w:rPr>
          <w:highlight w:val="green"/>
        </w:rPr>
      </w:pPr>
      <w:r w:rsidRPr="00DC04B7">
        <w:rPr>
          <w:highlight w:val="green"/>
        </w:rPr>
        <w:t>Lack of innovation</w:t>
      </w:r>
    </w:p>
    <w:p w14:paraId="41E8A89A" w14:textId="77777777" w:rsidR="00D4502F" w:rsidRPr="00DC04B7" w:rsidRDefault="00D4502F" w:rsidP="00D4502F">
      <w:pPr>
        <w:pStyle w:val="CommentText"/>
        <w:rPr>
          <w:b/>
          <w:bCs/>
          <w:highlight w:val="green"/>
          <w:u w:val="single"/>
        </w:rPr>
      </w:pPr>
      <w:r w:rsidRPr="00DC04B7">
        <w:rPr>
          <w:b/>
          <w:bCs/>
          <w:highlight w:val="green"/>
          <w:u w:val="single"/>
        </w:rPr>
        <w:t>Opportunities</w:t>
      </w:r>
    </w:p>
    <w:p w14:paraId="1598E1C8" w14:textId="77777777" w:rsidR="00D4502F" w:rsidRPr="00DC04B7" w:rsidRDefault="00D4502F" w:rsidP="00D4502F">
      <w:pPr>
        <w:pStyle w:val="CommentText"/>
        <w:numPr>
          <w:ilvl w:val="0"/>
          <w:numId w:val="7"/>
        </w:numPr>
        <w:spacing w:after="160"/>
        <w:rPr>
          <w:highlight w:val="green"/>
        </w:rPr>
      </w:pPr>
      <w:r w:rsidRPr="00DC04B7">
        <w:rPr>
          <w:highlight w:val="green"/>
        </w:rPr>
        <w:lastRenderedPageBreak/>
        <w:t>Increasing preference for online shopping and cash-less transactions due to the pandemic</w:t>
      </w:r>
    </w:p>
    <w:p w14:paraId="251A7439" w14:textId="77777777" w:rsidR="00D4502F" w:rsidRPr="00DC04B7" w:rsidRDefault="00D4502F" w:rsidP="00D4502F">
      <w:pPr>
        <w:pStyle w:val="CommentText"/>
        <w:numPr>
          <w:ilvl w:val="0"/>
          <w:numId w:val="7"/>
        </w:numPr>
        <w:spacing w:after="160"/>
        <w:rPr>
          <w:highlight w:val="green"/>
        </w:rPr>
      </w:pPr>
      <w:r w:rsidRPr="00DC04B7">
        <w:rPr>
          <w:highlight w:val="green"/>
        </w:rPr>
        <w:t>Opportunities to collaborate with emerging competitors like PayPal and mobile wallets</w:t>
      </w:r>
    </w:p>
    <w:p w14:paraId="02E97BE3" w14:textId="77777777" w:rsidR="00D4502F" w:rsidRPr="00DC04B7" w:rsidRDefault="00D4502F" w:rsidP="00D4502F">
      <w:pPr>
        <w:pStyle w:val="CommentText"/>
        <w:numPr>
          <w:ilvl w:val="0"/>
          <w:numId w:val="7"/>
        </w:numPr>
        <w:spacing w:after="160"/>
        <w:rPr>
          <w:highlight w:val="green"/>
        </w:rPr>
      </w:pPr>
      <w:r w:rsidRPr="00DC04B7">
        <w:rPr>
          <w:highlight w:val="green"/>
        </w:rPr>
        <w:t xml:space="preserve">Loyal and large customer base that can be introduces with new or add on products </w:t>
      </w:r>
    </w:p>
    <w:p w14:paraId="52426A63" w14:textId="77777777" w:rsidR="00D4502F" w:rsidRPr="00DC04B7" w:rsidRDefault="00D4502F" w:rsidP="00D4502F">
      <w:pPr>
        <w:pStyle w:val="CommentText"/>
        <w:numPr>
          <w:ilvl w:val="0"/>
          <w:numId w:val="7"/>
        </w:numPr>
        <w:spacing w:after="160"/>
        <w:rPr>
          <w:highlight w:val="green"/>
        </w:rPr>
      </w:pPr>
      <w:r w:rsidRPr="00DC04B7">
        <w:rPr>
          <w:highlight w:val="green"/>
        </w:rPr>
        <w:t>Availability of vast data that can be researched for product development</w:t>
      </w:r>
    </w:p>
    <w:p w14:paraId="58F83746" w14:textId="77777777" w:rsidR="00D4502F" w:rsidRPr="00DC04B7" w:rsidRDefault="00D4502F" w:rsidP="00D4502F">
      <w:pPr>
        <w:pStyle w:val="CommentText"/>
        <w:rPr>
          <w:b/>
          <w:bCs/>
          <w:highlight w:val="green"/>
          <w:u w:val="single"/>
        </w:rPr>
      </w:pPr>
      <w:r w:rsidRPr="00DC04B7">
        <w:rPr>
          <w:b/>
          <w:bCs/>
          <w:highlight w:val="green"/>
          <w:u w:val="single"/>
        </w:rPr>
        <w:t>Threats</w:t>
      </w:r>
    </w:p>
    <w:p w14:paraId="456D6B12" w14:textId="77777777" w:rsidR="00D4502F" w:rsidRPr="00DC04B7" w:rsidRDefault="00D4502F" w:rsidP="00D4502F">
      <w:pPr>
        <w:pStyle w:val="CommentText"/>
        <w:numPr>
          <w:ilvl w:val="0"/>
          <w:numId w:val="8"/>
        </w:numPr>
        <w:spacing w:after="160"/>
        <w:rPr>
          <w:highlight w:val="green"/>
        </w:rPr>
      </w:pPr>
      <w:r w:rsidRPr="00DC04B7">
        <w:rPr>
          <w:highlight w:val="green"/>
        </w:rPr>
        <w:t xml:space="preserve">Threat of becoming obsolete due to new and emerging payment technologies </w:t>
      </w:r>
    </w:p>
    <w:p w14:paraId="11B167EF" w14:textId="77777777" w:rsidR="00D4502F" w:rsidRPr="00DC04B7" w:rsidRDefault="00D4502F" w:rsidP="00D4502F">
      <w:pPr>
        <w:pStyle w:val="CommentText"/>
        <w:numPr>
          <w:ilvl w:val="0"/>
          <w:numId w:val="8"/>
        </w:numPr>
        <w:spacing w:after="160"/>
        <w:rPr>
          <w:highlight w:val="green"/>
        </w:rPr>
      </w:pPr>
      <w:r w:rsidRPr="00DC04B7">
        <w:rPr>
          <w:highlight w:val="green"/>
        </w:rPr>
        <w:t>Increased competition owing to duopoly market</w:t>
      </w:r>
    </w:p>
    <w:p w14:paraId="5DECFFDC" w14:textId="77777777" w:rsidR="00D4502F" w:rsidRPr="00DC04B7" w:rsidRDefault="00D4502F" w:rsidP="00D4502F">
      <w:pPr>
        <w:pStyle w:val="CommentText"/>
        <w:numPr>
          <w:ilvl w:val="0"/>
          <w:numId w:val="8"/>
        </w:numPr>
        <w:spacing w:after="160"/>
        <w:rPr>
          <w:highlight w:val="green"/>
        </w:rPr>
      </w:pPr>
      <w:r w:rsidRPr="00DC04B7">
        <w:rPr>
          <w:highlight w:val="green"/>
        </w:rPr>
        <w:t>Lack of differentiation from competitor</w:t>
      </w:r>
    </w:p>
    <w:p w14:paraId="68207210" w14:textId="77777777" w:rsidR="00D4502F" w:rsidRPr="00DC04B7" w:rsidRDefault="00D4502F" w:rsidP="00D4502F">
      <w:pPr>
        <w:pStyle w:val="CommentText"/>
        <w:numPr>
          <w:ilvl w:val="0"/>
          <w:numId w:val="8"/>
        </w:numPr>
        <w:spacing w:after="160"/>
        <w:rPr>
          <w:highlight w:val="green"/>
        </w:rPr>
      </w:pPr>
      <w:r w:rsidRPr="00DC04B7">
        <w:rPr>
          <w:highlight w:val="green"/>
        </w:rPr>
        <w:t>Large amount of personal data that needs to be secured for privacy</w:t>
      </w:r>
    </w:p>
    <w:p w14:paraId="3FC4B32B" w14:textId="77777777" w:rsidR="00D4502F" w:rsidRPr="00DC04B7" w:rsidRDefault="00D4502F" w:rsidP="00D4502F">
      <w:pPr>
        <w:pStyle w:val="CommentText"/>
        <w:numPr>
          <w:ilvl w:val="0"/>
          <w:numId w:val="8"/>
        </w:numPr>
        <w:spacing w:after="160"/>
        <w:rPr>
          <w:highlight w:val="green"/>
        </w:rPr>
      </w:pPr>
      <w:r w:rsidRPr="00DC04B7">
        <w:rPr>
          <w:highlight w:val="green"/>
        </w:rPr>
        <w:t>Threat of fraudulent activities</w:t>
      </w:r>
    </w:p>
    <w:p w14:paraId="781A4CEA" w14:textId="77777777" w:rsidR="00D4502F" w:rsidRPr="00DC04B7" w:rsidRDefault="00D4502F" w:rsidP="00D4502F">
      <w:pPr>
        <w:pStyle w:val="CommentText"/>
        <w:numPr>
          <w:ilvl w:val="0"/>
          <w:numId w:val="8"/>
        </w:numPr>
        <w:spacing w:after="160"/>
        <w:rPr>
          <w:highlight w:val="green"/>
        </w:rPr>
      </w:pPr>
      <w:r w:rsidRPr="00DC04B7">
        <w:rPr>
          <w:highlight w:val="green"/>
        </w:rPr>
        <w:t>Threat of money laundering and terrorism financing</w:t>
      </w:r>
    </w:p>
    <w:p w14:paraId="57EC61DE" w14:textId="77777777" w:rsidR="00D4502F" w:rsidRDefault="00D4502F" w:rsidP="009122D6">
      <w:pPr>
        <w:rPr>
          <w:sz w:val="24"/>
          <w:szCs w:val="24"/>
        </w:rPr>
      </w:pPr>
    </w:p>
    <w:p w14:paraId="3F89FD45" w14:textId="34C5EE36" w:rsidR="001C394B" w:rsidRPr="00833A54" w:rsidRDefault="001C394B" w:rsidP="009122D6">
      <w:pPr>
        <w:rPr>
          <w:sz w:val="28"/>
          <w:szCs w:val="28"/>
        </w:rPr>
      </w:pPr>
      <w:r w:rsidRPr="00833A54">
        <w:rPr>
          <w:b/>
          <w:bCs/>
          <w:color w:val="000000" w:themeColor="text1"/>
          <w:sz w:val="28"/>
          <w:szCs w:val="28"/>
        </w:rPr>
        <w:t>PESTLE</w:t>
      </w:r>
    </w:p>
    <w:tbl>
      <w:tblPr>
        <w:tblStyle w:val="TableGrid"/>
        <w:tblW w:w="9255" w:type="dxa"/>
        <w:tblLook w:val="04A0" w:firstRow="1" w:lastRow="0" w:firstColumn="1" w:lastColumn="0" w:noHBand="0" w:noVBand="1"/>
      </w:tblPr>
      <w:tblGrid>
        <w:gridCol w:w="4627"/>
        <w:gridCol w:w="4628"/>
      </w:tblGrid>
      <w:tr w:rsidR="001C394B" w14:paraId="252395F5" w14:textId="77777777" w:rsidTr="00833A54">
        <w:trPr>
          <w:trHeight w:val="1863"/>
        </w:trPr>
        <w:tc>
          <w:tcPr>
            <w:tcW w:w="4627" w:type="dxa"/>
          </w:tcPr>
          <w:p w14:paraId="63459C8E"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Political</w:t>
            </w:r>
          </w:p>
          <w:p w14:paraId="7A17C833" w14:textId="184F10DA" w:rsidR="00986B98" w:rsidRPr="0016071D" w:rsidRDefault="0016071D" w:rsidP="009122D6">
            <w:pPr>
              <w:rPr>
                <w:sz w:val="24"/>
                <w:szCs w:val="24"/>
              </w:rPr>
            </w:pPr>
            <w:r w:rsidRPr="0016071D">
              <w:rPr>
                <w:sz w:val="24"/>
                <w:szCs w:val="24"/>
              </w:rPr>
              <w:t>Conflict</w:t>
            </w:r>
            <w:r>
              <w:rPr>
                <w:sz w:val="24"/>
                <w:szCs w:val="24"/>
              </w:rPr>
              <w:t>:</w:t>
            </w:r>
            <w:r w:rsidR="00C024E0">
              <w:rPr>
                <w:sz w:val="24"/>
                <w:szCs w:val="24"/>
              </w:rPr>
              <w:t xml:space="preserve"> </w:t>
            </w:r>
            <w:r w:rsidR="00E24292">
              <w:rPr>
                <w:sz w:val="24"/>
                <w:szCs w:val="24"/>
              </w:rPr>
              <w:t>exposure to countries with geo-political tensions - large losses due to Russia-Ukraine war with revenue in Russia making up 2% &amp; 4% of consolidated net revenues respectively.</w:t>
            </w:r>
          </w:p>
        </w:tc>
        <w:tc>
          <w:tcPr>
            <w:tcW w:w="4628" w:type="dxa"/>
          </w:tcPr>
          <w:p w14:paraId="4B6E9E93"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Economic</w:t>
            </w:r>
          </w:p>
          <w:p w14:paraId="7D684B74" w14:textId="0C6496CA" w:rsidR="00A85F98" w:rsidRPr="00A85F98" w:rsidRDefault="00A85F98" w:rsidP="009122D6">
            <w:pPr>
              <w:rPr>
                <w:sz w:val="24"/>
                <w:szCs w:val="24"/>
              </w:rPr>
            </w:pPr>
            <w:r>
              <w:rPr>
                <w:sz w:val="24"/>
                <w:szCs w:val="24"/>
              </w:rPr>
              <w:t>Debt Servicing:</w:t>
            </w:r>
            <w:r w:rsidR="00A03990">
              <w:rPr>
                <w:sz w:val="24"/>
                <w:szCs w:val="24"/>
              </w:rPr>
              <w:t xml:space="preserve"> global tightening cycle - Fed Funds rate= 5.25-5.5%, UK base rate= 5.25%, EU deposit rate= 4% - means cost of servicing debt and cost of capital will be high for an unspecified period.</w:t>
            </w:r>
          </w:p>
        </w:tc>
      </w:tr>
      <w:tr w:rsidR="001C394B" w14:paraId="7A6AED63" w14:textId="77777777" w:rsidTr="00833A54">
        <w:trPr>
          <w:trHeight w:val="1863"/>
        </w:trPr>
        <w:tc>
          <w:tcPr>
            <w:tcW w:w="4627" w:type="dxa"/>
          </w:tcPr>
          <w:p w14:paraId="0F0F7EA4"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Social</w:t>
            </w:r>
          </w:p>
          <w:p w14:paraId="613C925F" w14:textId="39728D7B" w:rsidR="0016071D" w:rsidRPr="00833A54" w:rsidRDefault="0016071D" w:rsidP="009122D6">
            <w:pPr>
              <w:rPr>
                <w:b/>
                <w:bCs/>
                <w:sz w:val="24"/>
                <w:szCs w:val="24"/>
                <w:u w:val="single"/>
              </w:rPr>
            </w:pPr>
            <w:r>
              <w:rPr>
                <w:sz w:val="24"/>
                <w:szCs w:val="24"/>
              </w:rPr>
              <w:t>De-Globalization:</w:t>
            </w:r>
            <w:r w:rsidR="00A06FD8">
              <w:rPr>
                <w:sz w:val="24"/>
                <w:szCs w:val="24"/>
              </w:rPr>
              <w:t xml:space="preserve"> </w:t>
            </w:r>
            <w:r w:rsidR="00682FCA">
              <w:rPr>
                <w:sz w:val="24"/>
                <w:szCs w:val="24"/>
              </w:rPr>
              <w:t>prevalence of protectionist policies ‘promoting domestic networks, switches and RTP systems’ on a global scale threatens VISA’s current operations and future expansion prospects.</w:t>
            </w:r>
          </w:p>
        </w:tc>
        <w:tc>
          <w:tcPr>
            <w:tcW w:w="4628" w:type="dxa"/>
          </w:tcPr>
          <w:p w14:paraId="6F0FCA22"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Technological</w:t>
            </w:r>
          </w:p>
          <w:p w14:paraId="6BC83375" w14:textId="6E15B651" w:rsidR="00E069B3" w:rsidRPr="00833A54" w:rsidRDefault="00E069B3" w:rsidP="009122D6">
            <w:pPr>
              <w:rPr>
                <w:b/>
                <w:bCs/>
                <w:sz w:val="24"/>
                <w:szCs w:val="24"/>
                <w:u w:val="single"/>
              </w:rPr>
            </w:pPr>
            <w:r>
              <w:rPr>
                <w:sz w:val="24"/>
                <w:szCs w:val="24"/>
              </w:rPr>
              <w:t>Online Retailers:</w:t>
            </w:r>
            <w:r w:rsidR="00682FCA">
              <w:rPr>
                <w:sz w:val="24"/>
                <w:szCs w:val="24"/>
              </w:rPr>
              <w:t xml:space="preserve"> </w:t>
            </w:r>
            <w:r w:rsidR="006203EE">
              <w:rPr>
                <w:sz w:val="24"/>
                <w:szCs w:val="24"/>
              </w:rPr>
              <w:t>large-scale online transition, scan payment facility integration and new FinTech applications provides significant further scope for revenue growth.</w:t>
            </w:r>
          </w:p>
        </w:tc>
      </w:tr>
      <w:tr w:rsidR="001C394B" w14:paraId="547ABF1B" w14:textId="77777777" w:rsidTr="00833A54">
        <w:trPr>
          <w:trHeight w:val="1863"/>
        </w:trPr>
        <w:tc>
          <w:tcPr>
            <w:tcW w:w="4627" w:type="dxa"/>
          </w:tcPr>
          <w:p w14:paraId="1DED1C12"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Legal</w:t>
            </w:r>
            <w:r w:rsidR="0062195E">
              <w:rPr>
                <w:b/>
                <w:bCs/>
                <w:color w:val="000000" w:themeColor="text1"/>
                <w:sz w:val="24"/>
                <w:szCs w:val="24"/>
                <w:u w:val="single"/>
              </w:rPr>
              <w:t xml:space="preserve"> </w:t>
            </w:r>
          </w:p>
          <w:p w14:paraId="7321DFBB" w14:textId="20C65349" w:rsidR="0062195E" w:rsidRPr="0062195E" w:rsidRDefault="0062195E" w:rsidP="009122D6">
            <w:pPr>
              <w:rPr>
                <w:sz w:val="24"/>
                <w:szCs w:val="24"/>
              </w:rPr>
            </w:pPr>
            <w:r w:rsidRPr="0062195E">
              <w:rPr>
                <w:sz w:val="24"/>
                <w:szCs w:val="24"/>
              </w:rPr>
              <w:t xml:space="preserve">Regulatory </w:t>
            </w:r>
            <w:r>
              <w:rPr>
                <w:sz w:val="24"/>
                <w:szCs w:val="24"/>
              </w:rPr>
              <w:t>Sc</w:t>
            </w:r>
            <w:r w:rsidRPr="0062195E">
              <w:rPr>
                <w:sz w:val="24"/>
                <w:szCs w:val="24"/>
              </w:rPr>
              <w:t>rutiny:</w:t>
            </w:r>
            <w:r>
              <w:rPr>
                <w:sz w:val="24"/>
                <w:szCs w:val="24"/>
              </w:rPr>
              <w:t xml:space="preserve"> increased limits on fees/rates with EU IFR, US Fed and MDR regulation amongst others containing restriction on expansion</w:t>
            </w:r>
          </w:p>
        </w:tc>
        <w:tc>
          <w:tcPr>
            <w:tcW w:w="4628" w:type="dxa"/>
          </w:tcPr>
          <w:p w14:paraId="672CC02D" w14:textId="77777777" w:rsidR="001C394B" w:rsidRDefault="00833A54" w:rsidP="009122D6">
            <w:pPr>
              <w:rPr>
                <w:b/>
                <w:bCs/>
                <w:color w:val="000000" w:themeColor="text1"/>
                <w:sz w:val="24"/>
                <w:szCs w:val="24"/>
                <w:u w:val="single"/>
              </w:rPr>
            </w:pPr>
            <w:r w:rsidRPr="00833A54">
              <w:rPr>
                <w:b/>
                <w:bCs/>
                <w:color w:val="000000" w:themeColor="text1"/>
                <w:sz w:val="24"/>
                <w:szCs w:val="24"/>
                <w:u w:val="single"/>
              </w:rPr>
              <w:t>Environmental</w:t>
            </w:r>
          </w:p>
          <w:p w14:paraId="7590F102" w14:textId="2F23A7EF" w:rsidR="0062195E" w:rsidRPr="0062195E" w:rsidRDefault="00A06FD8" w:rsidP="009122D6">
            <w:pPr>
              <w:rPr>
                <w:sz w:val="24"/>
                <w:szCs w:val="24"/>
              </w:rPr>
            </w:pPr>
            <w:r>
              <w:rPr>
                <w:sz w:val="24"/>
                <w:szCs w:val="24"/>
              </w:rPr>
              <w:t>CRS:</w:t>
            </w:r>
            <w:r w:rsidR="006632C5">
              <w:rPr>
                <w:sz w:val="24"/>
                <w:szCs w:val="24"/>
              </w:rPr>
              <w:t xml:space="preserve"> increased emphasis from stakeholders regarding matters ‘that touch upon sustainability, climate change, human capital, inclusion </w:t>
            </w:r>
            <w:r>
              <w:rPr>
                <w:sz w:val="24"/>
                <w:szCs w:val="24"/>
              </w:rPr>
              <w:t>&amp;</w:t>
            </w:r>
            <w:r w:rsidR="006632C5">
              <w:rPr>
                <w:sz w:val="24"/>
                <w:szCs w:val="24"/>
              </w:rPr>
              <w:t xml:space="preserve"> diversity, and human rights.’</w:t>
            </w:r>
          </w:p>
        </w:tc>
      </w:tr>
    </w:tbl>
    <w:p w14:paraId="34DDEFCC" w14:textId="4145362F" w:rsidR="009122D6" w:rsidRDefault="009122D6" w:rsidP="009122D6">
      <w:pPr>
        <w:rPr>
          <w:b/>
          <w:bCs/>
          <w:sz w:val="28"/>
          <w:szCs w:val="28"/>
        </w:rPr>
      </w:pPr>
    </w:p>
    <w:p w14:paraId="3FD7811B" w14:textId="77777777" w:rsidR="00D4502F" w:rsidRPr="00DC04B7" w:rsidRDefault="00D4502F" w:rsidP="00D4502F">
      <w:pPr>
        <w:pStyle w:val="CommentText"/>
        <w:autoSpaceDN w:val="0"/>
        <w:rPr>
          <w:b/>
          <w:bCs/>
          <w:highlight w:val="green"/>
          <w:u w:val="single"/>
        </w:rPr>
      </w:pPr>
      <w:r w:rsidRPr="00DC04B7">
        <w:rPr>
          <w:b/>
          <w:bCs/>
          <w:highlight w:val="green"/>
          <w:u w:val="single"/>
        </w:rPr>
        <w:t>Political</w:t>
      </w:r>
    </w:p>
    <w:p w14:paraId="4980C618" w14:textId="77777777" w:rsidR="00D4502F" w:rsidRPr="00DC04B7" w:rsidRDefault="00D4502F" w:rsidP="00D4502F">
      <w:pPr>
        <w:pStyle w:val="CommentText"/>
        <w:numPr>
          <w:ilvl w:val="0"/>
          <w:numId w:val="9"/>
        </w:numPr>
        <w:autoSpaceDN w:val="0"/>
        <w:spacing w:after="160"/>
        <w:rPr>
          <w:highlight w:val="green"/>
        </w:rPr>
      </w:pPr>
      <w:r w:rsidRPr="00DC04B7">
        <w:rPr>
          <w:highlight w:val="green"/>
        </w:rPr>
        <w:t>Demonetization (India)</w:t>
      </w:r>
    </w:p>
    <w:p w14:paraId="6C3C717D" w14:textId="77777777" w:rsidR="00D4502F" w:rsidRPr="00DC04B7" w:rsidRDefault="00D4502F" w:rsidP="00D4502F">
      <w:pPr>
        <w:pStyle w:val="CommentText"/>
        <w:numPr>
          <w:ilvl w:val="0"/>
          <w:numId w:val="9"/>
        </w:numPr>
        <w:autoSpaceDN w:val="0"/>
        <w:spacing w:after="160"/>
        <w:rPr>
          <w:highlight w:val="green"/>
        </w:rPr>
      </w:pPr>
      <w:r w:rsidRPr="00DC04B7">
        <w:rPr>
          <w:highlight w:val="green"/>
        </w:rPr>
        <w:t>Attitude of ruling party about cards instead of cash</w:t>
      </w:r>
    </w:p>
    <w:p w14:paraId="65DAC264" w14:textId="77777777" w:rsidR="00D4502F" w:rsidRPr="00DC04B7" w:rsidRDefault="00D4502F" w:rsidP="00D4502F">
      <w:pPr>
        <w:pStyle w:val="CommentText"/>
        <w:numPr>
          <w:ilvl w:val="0"/>
          <w:numId w:val="9"/>
        </w:numPr>
        <w:autoSpaceDN w:val="0"/>
        <w:spacing w:after="160"/>
        <w:rPr>
          <w:highlight w:val="green"/>
        </w:rPr>
      </w:pPr>
      <w:r w:rsidRPr="00DC04B7">
        <w:rPr>
          <w:highlight w:val="green"/>
        </w:rPr>
        <w:t>Government backed local competitors</w:t>
      </w:r>
    </w:p>
    <w:p w14:paraId="14606B72" w14:textId="77777777" w:rsidR="00D4502F" w:rsidRPr="00DC04B7" w:rsidRDefault="00D4502F" w:rsidP="00D4502F">
      <w:pPr>
        <w:pStyle w:val="CommentText"/>
        <w:numPr>
          <w:ilvl w:val="0"/>
          <w:numId w:val="9"/>
        </w:numPr>
        <w:autoSpaceDN w:val="0"/>
        <w:spacing w:after="160"/>
        <w:rPr>
          <w:highlight w:val="green"/>
        </w:rPr>
      </w:pPr>
      <w:r w:rsidRPr="00DC04B7">
        <w:rPr>
          <w:highlight w:val="green"/>
        </w:rPr>
        <w:t>Tax legislations</w:t>
      </w:r>
    </w:p>
    <w:p w14:paraId="5206A438" w14:textId="77777777" w:rsidR="00D4502F" w:rsidRPr="00DC04B7" w:rsidRDefault="00D4502F" w:rsidP="00D4502F">
      <w:pPr>
        <w:pStyle w:val="CommentText"/>
        <w:rPr>
          <w:highlight w:val="green"/>
        </w:rPr>
      </w:pPr>
    </w:p>
    <w:p w14:paraId="63D6CDD6" w14:textId="77777777" w:rsidR="00D4502F" w:rsidRPr="00DC04B7" w:rsidRDefault="00D4502F" w:rsidP="00D4502F">
      <w:pPr>
        <w:pStyle w:val="CommentText"/>
        <w:rPr>
          <w:b/>
          <w:bCs/>
          <w:highlight w:val="green"/>
          <w:u w:val="single"/>
        </w:rPr>
      </w:pPr>
      <w:r w:rsidRPr="00DC04B7">
        <w:rPr>
          <w:b/>
          <w:bCs/>
          <w:highlight w:val="green"/>
          <w:u w:val="single"/>
        </w:rPr>
        <w:t>Social</w:t>
      </w:r>
    </w:p>
    <w:p w14:paraId="42A36E3F" w14:textId="77777777" w:rsidR="00D4502F" w:rsidRPr="00DC04B7" w:rsidRDefault="00D4502F" w:rsidP="00D4502F">
      <w:pPr>
        <w:pStyle w:val="CommentText"/>
        <w:numPr>
          <w:ilvl w:val="0"/>
          <w:numId w:val="10"/>
        </w:numPr>
        <w:autoSpaceDN w:val="0"/>
        <w:spacing w:after="160"/>
        <w:rPr>
          <w:highlight w:val="green"/>
        </w:rPr>
      </w:pPr>
      <w:r w:rsidRPr="00DC04B7">
        <w:rPr>
          <w:highlight w:val="green"/>
        </w:rPr>
        <w:lastRenderedPageBreak/>
        <w:t>Attitude towards credit cards/savings</w:t>
      </w:r>
    </w:p>
    <w:p w14:paraId="12C9491F" w14:textId="77777777" w:rsidR="00D4502F" w:rsidRPr="00DC04B7" w:rsidRDefault="00D4502F" w:rsidP="00D4502F">
      <w:pPr>
        <w:pStyle w:val="CommentText"/>
        <w:numPr>
          <w:ilvl w:val="0"/>
          <w:numId w:val="10"/>
        </w:numPr>
        <w:autoSpaceDN w:val="0"/>
        <w:spacing w:after="160"/>
        <w:rPr>
          <w:highlight w:val="green"/>
        </w:rPr>
      </w:pPr>
      <w:r w:rsidRPr="00DC04B7">
        <w:rPr>
          <w:highlight w:val="green"/>
        </w:rPr>
        <w:t>Card penetration in developing countries</w:t>
      </w:r>
    </w:p>
    <w:p w14:paraId="4F06E2C2" w14:textId="77777777" w:rsidR="00D4502F" w:rsidRPr="00DC04B7" w:rsidRDefault="00D4502F" w:rsidP="00D4502F">
      <w:pPr>
        <w:pStyle w:val="CommentText"/>
        <w:numPr>
          <w:ilvl w:val="0"/>
          <w:numId w:val="10"/>
        </w:numPr>
        <w:autoSpaceDN w:val="0"/>
        <w:spacing w:after="160"/>
        <w:rPr>
          <w:highlight w:val="green"/>
        </w:rPr>
      </w:pPr>
      <w:r w:rsidRPr="00DC04B7">
        <w:rPr>
          <w:highlight w:val="green"/>
        </w:rPr>
        <w:t>Increasing number of elderly people becoming digitally literate</w:t>
      </w:r>
    </w:p>
    <w:p w14:paraId="563604AB" w14:textId="77777777" w:rsidR="00D4502F" w:rsidRPr="00DC04B7" w:rsidRDefault="00D4502F" w:rsidP="00D4502F">
      <w:pPr>
        <w:pStyle w:val="CommentText"/>
        <w:rPr>
          <w:highlight w:val="green"/>
        </w:rPr>
      </w:pPr>
    </w:p>
    <w:p w14:paraId="715DE5F1" w14:textId="77777777" w:rsidR="00D4502F" w:rsidRPr="00DC04B7" w:rsidRDefault="00D4502F" w:rsidP="00D4502F">
      <w:pPr>
        <w:pStyle w:val="CommentText"/>
        <w:rPr>
          <w:b/>
          <w:bCs/>
          <w:highlight w:val="green"/>
          <w:u w:val="single"/>
        </w:rPr>
      </w:pPr>
      <w:r w:rsidRPr="00DC04B7">
        <w:rPr>
          <w:b/>
          <w:bCs/>
          <w:highlight w:val="green"/>
          <w:u w:val="single"/>
        </w:rPr>
        <w:t>Technological</w:t>
      </w:r>
    </w:p>
    <w:p w14:paraId="3A4B35E1"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Impact of technology helping competitors and new entrants</w:t>
      </w:r>
    </w:p>
    <w:p w14:paraId="725EBECB"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 xml:space="preserve">Costs for new technology adoption and prevention of fraud and crime </w:t>
      </w:r>
    </w:p>
    <w:p w14:paraId="37CA6B95"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Crypto currency gaining market share</w:t>
      </w:r>
    </w:p>
    <w:p w14:paraId="6B8DF417"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Emerging mobile wallets like paypal</w:t>
      </w:r>
    </w:p>
    <w:p w14:paraId="3FDA02B4"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Penetration of ATMs and Point of sale</w:t>
      </w:r>
    </w:p>
    <w:p w14:paraId="29A6800B"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Tokenization, Biometrics, Machine learning</w:t>
      </w:r>
    </w:p>
    <w:p w14:paraId="738AF8DD" w14:textId="77777777" w:rsidR="00D4502F" w:rsidRPr="00DC04B7" w:rsidRDefault="00D4502F" w:rsidP="00D4502F">
      <w:pPr>
        <w:pStyle w:val="CommentText"/>
        <w:numPr>
          <w:ilvl w:val="0"/>
          <w:numId w:val="11"/>
        </w:numPr>
        <w:autoSpaceDN w:val="0"/>
        <w:spacing w:after="160"/>
        <w:rPr>
          <w:highlight w:val="green"/>
        </w:rPr>
      </w:pPr>
      <w:r w:rsidRPr="00DC04B7">
        <w:rPr>
          <w:highlight w:val="green"/>
        </w:rPr>
        <w:t>Tap to pay, Scan to pay</w:t>
      </w:r>
    </w:p>
    <w:p w14:paraId="357A3271" w14:textId="77777777" w:rsidR="00D4502F" w:rsidRPr="00DC04B7" w:rsidRDefault="00D4502F" w:rsidP="00D4502F">
      <w:pPr>
        <w:pStyle w:val="CommentText"/>
        <w:rPr>
          <w:highlight w:val="green"/>
        </w:rPr>
      </w:pPr>
    </w:p>
    <w:p w14:paraId="2BEDF224" w14:textId="77777777" w:rsidR="00D4502F" w:rsidRPr="00DC04B7" w:rsidRDefault="00D4502F" w:rsidP="00D4502F">
      <w:pPr>
        <w:pStyle w:val="CommentText"/>
        <w:rPr>
          <w:b/>
          <w:bCs/>
          <w:highlight w:val="green"/>
          <w:u w:val="single"/>
        </w:rPr>
      </w:pPr>
      <w:r w:rsidRPr="00DC04B7">
        <w:rPr>
          <w:b/>
          <w:bCs/>
          <w:highlight w:val="green"/>
          <w:u w:val="single"/>
        </w:rPr>
        <w:t>Environmental</w:t>
      </w:r>
    </w:p>
    <w:p w14:paraId="626F27CB" w14:textId="77777777" w:rsidR="00D4502F" w:rsidRPr="00DC04B7" w:rsidRDefault="00D4502F" w:rsidP="00D4502F">
      <w:pPr>
        <w:pStyle w:val="CommentText"/>
        <w:numPr>
          <w:ilvl w:val="0"/>
          <w:numId w:val="12"/>
        </w:numPr>
        <w:autoSpaceDN w:val="0"/>
        <w:spacing w:after="160"/>
        <w:rPr>
          <w:highlight w:val="green"/>
        </w:rPr>
      </w:pPr>
      <w:r w:rsidRPr="00DC04B7">
        <w:rPr>
          <w:highlight w:val="green"/>
        </w:rPr>
        <w:t>Global warming impact on weather issues which affect spending patterns</w:t>
      </w:r>
    </w:p>
    <w:p w14:paraId="5D5672FB" w14:textId="77777777" w:rsidR="00D4502F" w:rsidRPr="00DC04B7" w:rsidRDefault="00D4502F" w:rsidP="00D4502F">
      <w:pPr>
        <w:pStyle w:val="CommentText"/>
        <w:numPr>
          <w:ilvl w:val="0"/>
          <w:numId w:val="12"/>
        </w:numPr>
        <w:autoSpaceDN w:val="0"/>
        <w:spacing w:after="160"/>
        <w:rPr>
          <w:highlight w:val="green"/>
        </w:rPr>
      </w:pPr>
      <w:r w:rsidRPr="00DC04B7">
        <w:rPr>
          <w:highlight w:val="green"/>
        </w:rPr>
        <w:t>Seasonality impact on spending patterns</w:t>
      </w:r>
    </w:p>
    <w:p w14:paraId="5885F806" w14:textId="77777777" w:rsidR="00D4502F" w:rsidRPr="00DC04B7" w:rsidRDefault="00D4502F" w:rsidP="00D4502F">
      <w:pPr>
        <w:pStyle w:val="CommentText"/>
        <w:numPr>
          <w:ilvl w:val="0"/>
          <w:numId w:val="12"/>
        </w:numPr>
        <w:autoSpaceDN w:val="0"/>
        <w:spacing w:after="160"/>
        <w:rPr>
          <w:highlight w:val="green"/>
        </w:rPr>
      </w:pPr>
      <w:r w:rsidRPr="00DC04B7">
        <w:rPr>
          <w:highlight w:val="green"/>
        </w:rPr>
        <w:t>Covid and work from home culture increasing the use of cards in e-commerce compared to cash</w:t>
      </w:r>
    </w:p>
    <w:p w14:paraId="2688ED26" w14:textId="77777777" w:rsidR="00D4502F" w:rsidRPr="00DC04B7" w:rsidRDefault="00D4502F" w:rsidP="00D4502F">
      <w:pPr>
        <w:pStyle w:val="CommentText"/>
        <w:rPr>
          <w:b/>
          <w:bCs/>
          <w:highlight w:val="green"/>
          <w:u w:val="single"/>
        </w:rPr>
      </w:pPr>
      <w:r w:rsidRPr="00DC04B7">
        <w:rPr>
          <w:b/>
          <w:bCs/>
          <w:highlight w:val="green"/>
          <w:u w:val="single"/>
        </w:rPr>
        <w:t>Legal</w:t>
      </w:r>
    </w:p>
    <w:p w14:paraId="6DFEA504" w14:textId="77777777" w:rsidR="00D4502F" w:rsidRPr="00DC04B7" w:rsidRDefault="00D4502F" w:rsidP="00D4502F">
      <w:pPr>
        <w:pStyle w:val="CommentText"/>
        <w:numPr>
          <w:ilvl w:val="0"/>
          <w:numId w:val="13"/>
        </w:numPr>
        <w:autoSpaceDN w:val="0"/>
        <w:spacing w:after="160"/>
        <w:rPr>
          <w:highlight w:val="green"/>
        </w:rPr>
      </w:pPr>
      <w:r w:rsidRPr="00DC04B7">
        <w:rPr>
          <w:highlight w:val="green"/>
        </w:rPr>
        <w:t>KYC and privacy laws in various countries</w:t>
      </w:r>
    </w:p>
    <w:p w14:paraId="5D0D7EF7" w14:textId="77777777" w:rsidR="00D4502F" w:rsidRPr="00DC04B7" w:rsidRDefault="00D4502F" w:rsidP="00D4502F">
      <w:pPr>
        <w:pStyle w:val="CommentText"/>
        <w:numPr>
          <w:ilvl w:val="0"/>
          <w:numId w:val="13"/>
        </w:numPr>
        <w:autoSpaceDN w:val="0"/>
        <w:spacing w:after="160"/>
        <w:rPr>
          <w:highlight w:val="green"/>
        </w:rPr>
      </w:pPr>
      <w:r w:rsidRPr="00DC04B7">
        <w:rPr>
          <w:highlight w:val="green"/>
        </w:rPr>
        <w:t>Anti money-laundering laws</w:t>
      </w:r>
    </w:p>
    <w:p w14:paraId="69CCB4F3" w14:textId="77777777" w:rsidR="00D4502F" w:rsidRPr="00DC04B7" w:rsidRDefault="00D4502F" w:rsidP="00D4502F">
      <w:pPr>
        <w:pStyle w:val="CommentText"/>
        <w:numPr>
          <w:ilvl w:val="0"/>
          <w:numId w:val="13"/>
        </w:numPr>
        <w:autoSpaceDN w:val="0"/>
        <w:spacing w:after="160"/>
        <w:rPr>
          <w:highlight w:val="green"/>
        </w:rPr>
      </w:pPr>
      <w:r w:rsidRPr="00DC04B7">
        <w:rPr>
          <w:highlight w:val="green"/>
        </w:rPr>
        <w:t>Privacy and data protection laws</w:t>
      </w:r>
    </w:p>
    <w:p w14:paraId="364EC6AD" w14:textId="77777777" w:rsidR="00961844" w:rsidRDefault="00961844" w:rsidP="009122D6">
      <w:pPr>
        <w:rPr>
          <w:b/>
          <w:bCs/>
          <w:sz w:val="28"/>
          <w:szCs w:val="28"/>
        </w:rPr>
      </w:pPr>
    </w:p>
    <w:p w14:paraId="5795F037" w14:textId="77777777" w:rsidR="002830FC" w:rsidRPr="00AA4E7B" w:rsidRDefault="002830FC" w:rsidP="002830FC">
      <w:pPr>
        <w:rPr>
          <w:b/>
        </w:rPr>
      </w:pPr>
      <w:r w:rsidRPr="00AA4E7B">
        <w:rPr>
          <w:b/>
          <w:highlight w:val="green"/>
        </w:rPr>
        <w:t>Industry Analysis/Key strategies</w:t>
      </w:r>
    </w:p>
    <w:p w14:paraId="2E2D4533" w14:textId="77777777" w:rsidR="002830FC" w:rsidRDefault="002830FC" w:rsidP="002830FC">
      <w:pPr>
        <w:rPr>
          <w:rFonts w:cs="Calibri"/>
          <w:shd w:val="clear" w:color="auto" w:fill="00FF00"/>
        </w:rPr>
      </w:pPr>
    </w:p>
    <w:p w14:paraId="19C4797D" w14:textId="77777777" w:rsidR="002830FC" w:rsidRDefault="002830FC" w:rsidP="002830FC">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21758096" w14:textId="77777777" w:rsidR="002830FC" w:rsidRDefault="002830FC" w:rsidP="002830FC">
      <w:pPr>
        <w:rPr>
          <w:rFonts w:cs="Calibri"/>
          <w:shd w:val="clear" w:color="auto" w:fill="00FF00"/>
        </w:rPr>
      </w:pPr>
    </w:p>
    <w:p w14:paraId="33D2BB9B" w14:textId="77777777" w:rsidR="002830FC" w:rsidRDefault="002830FC" w:rsidP="002830FC">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fintech development) and Ventures (strategic investments to enrich broader payment systems). In 2019 Visa acquired earth por </w:t>
      </w:r>
      <w:r>
        <w:rPr>
          <w:rFonts w:cs="Calibri"/>
          <w:shd w:val="clear" w:color="auto" w:fill="00FF00"/>
        </w:rPr>
        <w:lastRenderedPageBreak/>
        <w:t>EarthPort that allows Visa to reach 99 percent of the world’s banked population in 88 countries, including the top 50.</w:t>
      </w:r>
    </w:p>
    <w:p w14:paraId="3673FD3B" w14:textId="77777777" w:rsidR="002830FC" w:rsidRDefault="002830FC" w:rsidP="002830FC">
      <w:pPr>
        <w:rPr>
          <w:rFonts w:cs="Calibri"/>
          <w:shd w:val="clear" w:color="auto" w:fill="00FF00"/>
        </w:rPr>
      </w:pPr>
    </w:p>
    <w:p w14:paraId="1AC684B2" w14:textId="77777777" w:rsidR="002830FC" w:rsidRDefault="002830FC" w:rsidP="002830FC">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4CDD6659" w14:textId="77777777" w:rsidR="002830FC" w:rsidRDefault="002830FC" w:rsidP="002830FC">
      <w:pPr>
        <w:rPr>
          <w:rFonts w:cs="Calibri"/>
          <w:shd w:val="clear" w:color="auto" w:fill="00FF00"/>
        </w:rPr>
      </w:pPr>
    </w:p>
    <w:p w14:paraId="64AC3B52" w14:textId="77777777" w:rsidR="002830FC" w:rsidRDefault="002830FC" w:rsidP="002830FC">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3C02EEF5" w14:textId="77777777" w:rsidR="002830FC" w:rsidRDefault="002830FC" w:rsidP="009122D6">
      <w:pPr>
        <w:rPr>
          <w:b/>
          <w:bCs/>
          <w:sz w:val="28"/>
          <w:szCs w:val="28"/>
        </w:rPr>
      </w:pPr>
    </w:p>
    <w:p w14:paraId="1E21D403" w14:textId="77777777" w:rsidR="005B194C" w:rsidRDefault="005B194C" w:rsidP="009122D6">
      <w:pPr>
        <w:rPr>
          <w:b/>
          <w:bCs/>
          <w:sz w:val="28"/>
          <w:szCs w:val="28"/>
        </w:rPr>
      </w:pPr>
    </w:p>
    <w:p w14:paraId="173C7115" w14:textId="2FA66949" w:rsidR="009122D6" w:rsidRPr="005B194C" w:rsidRDefault="00754F65" w:rsidP="009122D6">
      <w:pPr>
        <w:rPr>
          <w:b/>
          <w:bCs/>
          <w:sz w:val="24"/>
          <w:szCs w:val="24"/>
        </w:rPr>
      </w:pPr>
      <w:r w:rsidRPr="005B194C">
        <w:rPr>
          <w:b/>
          <w:bCs/>
          <w:sz w:val="24"/>
          <w:szCs w:val="24"/>
        </w:rPr>
        <w:t>Reference List:</w:t>
      </w:r>
    </w:p>
    <w:p w14:paraId="7D383D75" w14:textId="719AB3A7" w:rsidR="00754F65" w:rsidRPr="005B194C" w:rsidRDefault="00754F65" w:rsidP="009122D6">
      <w:pPr>
        <w:rPr>
          <w:b/>
          <w:bCs/>
          <w:sz w:val="24"/>
          <w:szCs w:val="24"/>
        </w:rPr>
      </w:pPr>
    </w:p>
    <w:p w14:paraId="56EAFB23" w14:textId="2AF95D66" w:rsidR="00754F65" w:rsidRPr="005B194C" w:rsidRDefault="005B194C" w:rsidP="009122D6">
      <w:pPr>
        <w:rPr>
          <w:b/>
          <w:bCs/>
          <w:sz w:val="24"/>
          <w:szCs w:val="24"/>
        </w:rPr>
      </w:pPr>
      <w:r w:rsidRPr="005B194C">
        <w:rPr>
          <w:b/>
          <w:bCs/>
          <w:sz w:val="24"/>
          <w:szCs w:val="24"/>
        </w:rPr>
        <w:t xml:space="preserve">Ryan McInerny, </w:t>
      </w:r>
      <w:r w:rsidR="00B3313D" w:rsidRPr="005B194C">
        <w:rPr>
          <w:b/>
          <w:bCs/>
          <w:sz w:val="24"/>
          <w:szCs w:val="24"/>
        </w:rPr>
        <w:t xml:space="preserve">VISA Annual Report (2023), </w:t>
      </w:r>
      <w:hyperlink r:id="rId13" w:history="1">
        <w:r w:rsidR="00B3313D" w:rsidRPr="005B194C">
          <w:rPr>
            <w:rStyle w:val="Hyperlink"/>
            <w:b/>
            <w:bCs/>
            <w:sz w:val="24"/>
            <w:szCs w:val="24"/>
          </w:rPr>
          <w:t>https://annualreport.visa.com/business-overview/default.aspx</w:t>
        </w:r>
      </w:hyperlink>
      <w:r w:rsidRPr="005B194C">
        <w:rPr>
          <w:rStyle w:val="Hyperlink"/>
          <w:b/>
          <w:bCs/>
          <w:sz w:val="24"/>
          <w:szCs w:val="24"/>
        </w:rPr>
        <w:t xml:space="preserve">, </w:t>
      </w:r>
      <w:r w:rsidRPr="005B194C">
        <w:rPr>
          <w:rStyle w:val="Hyperlink"/>
          <w:b/>
          <w:bCs/>
          <w:sz w:val="24"/>
          <w:szCs w:val="24"/>
          <w:u w:val="none"/>
        </w:rPr>
        <w:t>(Accessed</w:t>
      </w:r>
      <w:r>
        <w:rPr>
          <w:rStyle w:val="Hyperlink"/>
          <w:b/>
          <w:bCs/>
          <w:sz w:val="24"/>
          <w:szCs w:val="24"/>
          <w:u w:val="none"/>
        </w:rPr>
        <w:t xml:space="preserve"> 02/01/2024)</w:t>
      </w:r>
    </w:p>
    <w:p w14:paraId="230A2F51" w14:textId="49C9C051" w:rsidR="00754F65" w:rsidRPr="005B194C" w:rsidRDefault="005B194C" w:rsidP="009122D6">
      <w:pPr>
        <w:rPr>
          <w:b/>
          <w:bCs/>
          <w:sz w:val="24"/>
          <w:szCs w:val="24"/>
        </w:rPr>
      </w:pPr>
      <w:r>
        <w:rPr>
          <w:sz w:val="24"/>
          <w:szCs w:val="24"/>
        </w:rPr>
        <w:t xml:space="preserve">Macrotrends, 2023, </w:t>
      </w:r>
      <w:hyperlink r:id="rId14" w:anchor=":~:text=Visa%20annual%20revenue%20for%202023,a%2010.34%25%20increase%20from%202020" w:history="1">
        <w:r w:rsidRPr="00C53F70">
          <w:rPr>
            <w:rStyle w:val="Hyperlink"/>
            <w:b/>
            <w:bCs/>
            <w:sz w:val="24"/>
            <w:szCs w:val="24"/>
          </w:rPr>
          <w:t>https://www.macrotrends.net/stocks/charts/V/visa/revenue#:~:text=Visa%20annual%20revenue%20for%202023,a%2010.34%25%20increase%20from%202020</w:t>
        </w:r>
      </w:hyperlink>
      <w:r w:rsidR="003B53CB" w:rsidRPr="005B194C">
        <w:rPr>
          <w:b/>
          <w:bCs/>
          <w:sz w:val="24"/>
          <w:szCs w:val="24"/>
        </w:rPr>
        <w:t>.</w:t>
      </w:r>
      <w:r>
        <w:rPr>
          <w:b/>
          <w:bCs/>
          <w:sz w:val="24"/>
          <w:szCs w:val="24"/>
        </w:rPr>
        <w:t xml:space="preserve"> </w:t>
      </w:r>
      <w:r w:rsidRPr="005B194C">
        <w:rPr>
          <w:rStyle w:val="Hyperlink"/>
          <w:b/>
          <w:bCs/>
          <w:sz w:val="24"/>
          <w:szCs w:val="24"/>
          <w:u w:val="none"/>
        </w:rPr>
        <w:t>(Accessed</w:t>
      </w:r>
      <w:r>
        <w:rPr>
          <w:rStyle w:val="Hyperlink"/>
          <w:b/>
          <w:bCs/>
          <w:sz w:val="24"/>
          <w:szCs w:val="24"/>
          <w:u w:val="none"/>
        </w:rPr>
        <w:t xml:space="preserve"> 03/01/2024)</w:t>
      </w:r>
    </w:p>
    <w:p w14:paraId="3E584E2E" w14:textId="718B8A43" w:rsidR="003B53CB" w:rsidRPr="005B194C" w:rsidRDefault="005B194C" w:rsidP="009122D6">
      <w:pPr>
        <w:rPr>
          <w:b/>
          <w:bCs/>
          <w:sz w:val="24"/>
          <w:szCs w:val="24"/>
        </w:rPr>
      </w:pPr>
      <w:r>
        <w:rPr>
          <w:sz w:val="24"/>
          <w:szCs w:val="24"/>
        </w:rPr>
        <w:t xml:space="preserve">Macrotrends, 2023, </w:t>
      </w:r>
      <w:hyperlink r:id="rId15" w:anchor=":~:text=Mastercard%20revenue%20for%20the%20twelve,a%2017.76%25%20increase%20from%202021" w:history="1">
        <w:r w:rsidRPr="00C53F70">
          <w:rPr>
            <w:rStyle w:val="Hyperlink"/>
            <w:b/>
            <w:bCs/>
            <w:sz w:val="24"/>
            <w:szCs w:val="24"/>
          </w:rPr>
          <w:t>https://www.macrotrends.net/stocks/charts/MA/mastercard/revenue#:~:text=Mastercard%20revenue%20for%20the%20twelve,a%2017.76%25%20increase%20from%202021</w:t>
        </w:r>
      </w:hyperlink>
      <w:r w:rsidR="003B53CB" w:rsidRPr="005B194C">
        <w:rPr>
          <w:b/>
          <w:bCs/>
          <w:sz w:val="24"/>
          <w:szCs w:val="24"/>
        </w:rPr>
        <w:t>.</w:t>
      </w:r>
      <w:r>
        <w:rPr>
          <w:b/>
          <w:bCs/>
          <w:sz w:val="24"/>
          <w:szCs w:val="24"/>
        </w:rPr>
        <w:t xml:space="preserve"> (</w:t>
      </w:r>
      <w:r w:rsidRPr="005B194C">
        <w:rPr>
          <w:rStyle w:val="Hyperlink"/>
          <w:b/>
          <w:bCs/>
          <w:sz w:val="24"/>
          <w:szCs w:val="24"/>
          <w:u w:val="none"/>
        </w:rPr>
        <w:t>Accessed</w:t>
      </w:r>
      <w:r>
        <w:rPr>
          <w:rStyle w:val="Hyperlink"/>
          <w:b/>
          <w:bCs/>
          <w:sz w:val="24"/>
          <w:szCs w:val="24"/>
          <w:u w:val="none"/>
        </w:rPr>
        <w:t xml:space="preserve"> 03/01/2024)</w:t>
      </w:r>
    </w:p>
    <w:p w14:paraId="165C0230" w14:textId="260BC44F" w:rsidR="003B53CB" w:rsidRPr="005B194C" w:rsidRDefault="005B194C" w:rsidP="009122D6">
      <w:pPr>
        <w:rPr>
          <w:b/>
          <w:bCs/>
          <w:sz w:val="24"/>
          <w:szCs w:val="24"/>
        </w:rPr>
      </w:pPr>
      <w:r>
        <w:rPr>
          <w:sz w:val="24"/>
          <w:szCs w:val="24"/>
        </w:rPr>
        <w:t xml:space="preserve">Aditya Shastri, (21/12/2021), IIDE, </w:t>
      </w:r>
      <w:hyperlink r:id="rId16" w:history="1">
        <w:r w:rsidRPr="00C53F70">
          <w:rPr>
            <w:rStyle w:val="Hyperlink"/>
            <w:b/>
            <w:bCs/>
            <w:sz w:val="24"/>
            <w:szCs w:val="24"/>
          </w:rPr>
          <w:t>https://iide.co/case-studies/swot-analysis-of-visa/</w:t>
        </w:r>
      </w:hyperlink>
    </w:p>
    <w:p w14:paraId="72533D55" w14:textId="2529BD6E" w:rsidR="003174B9" w:rsidRPr="005B194C" w:rsidRDefault="005B194C" w:rsidP="009122D6">
      <w:pPr>
        <w:rPr>
          <w:b/>
          <w:bCs/>
          <w:sz w:val="24"/>
          <w:szCs w:val="24"/>
        </w:rPr>
      </w:pPr>
      <w:r>
        <w:rPr>
          <w:sz w:val="24"/>
          <w:szCs w:val="24"/>
        </w:rPr>
        <w:t xml:space="preserve">Bram Berkowitz, (18/03/2022), The Motley Fool, </w:t>
      </w:r>
      <w:hyperlink r:id="rId17" w:anchor=":~:text=Visa%20and%20Mastercard%20are%20the,networks%20also%20help%20one%20another" w:history="1">
        <w:r w:rsidRPr="00C53F70">
          <w:rPr>
            <w:rStyle w:val="Hyperlink"/>
            <w:b/>
            <w:bCs/>
            <w:sz w:val="24"/>
            <w:szCs w:val="24"/>
          </w:rPr>
          <w:t>https://www.fool.com/investing/2022/03/18/how-paypal-competes-with-visa-mastercard/#:~:text=Visa%20and%20Mastercard%20are%20the,networks%20also%20help%20one%20another</w:t>
        </w:r>
      </w:hyperlink>
      <w:r w:rsidR="003174B9" w:rsidRPr="005B194C">
        <w:rPr>
          <w:b/>
          <w:bCs/>
          <w:sz w:val="24"/>
          <w:szCs w:val="24"/>
        </w:rPr>
        <w:t>.</w:t>
      </w:r>
    </w:p>
    <w:p w14:paraId="769C9A2E" w14:textId="77777777" w:rsidR="003174B9" w:rsidRPr="009122D6" w:rsidRDefault="003174B9" w:rsidP="009122D6">
      <w:pPr>
        <w:rPr>
          <w:b/>
          <w:bCs/>
          <w:sz w:val="28"/>
          <w:szCs w:val="28"/>
        </w:rPr>
      </w:pPr>
    </w:p>
    <w:sectPr w:rsidR="003174B9" w:rsidRPr="009122D6">
      <w:footerReference w:type="default" r:id="rId18"/>
      <w:pgSz w:w="11907" w:h="16839" w:code="9"/>
      <w:pgMar w:top="720" w:right="1440" w:bottom="180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1-08T20:06:00Z" w:initials="SY">
    <w:p w14:paraId="4D91A54D" w14:textId="77777777" w:rsidR="00D4502F" w:rsidRDefault="00D4502F" w:rsidP="00D4502F">
      <w:pPr>
        <w:pStyle w:val="CommentText"/>
      </w:pPr>
      <w:r>
        <w:rPr>
          <w:rStyle w:val="CommentReference"/>
        </w:rPr>
        <w:annotationRef/>
      </w:r>
      <w:r>
        <w:t>Good observation</w:t>
      </w:r>
    </w:p>
  </w:comment>
  <w:comment w:id="1" w:author="Shamla Yoosoof" w:date="2024-01-08T20:15:00Z" w:initials="SY">
    <w:p w14:paraId="223120EF" w14:textId="77777777" w:rsidR="00D4502F" w:rsidRDefault="00D4502F" w:rsidP="00D4502F">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1A54D" w15:done="0"/>
  <w15:commentEx w15:paraId="22312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3281A9" w16cex:dateUtc="2024-01-08T16:06:00Z"/>
  <w16cex:commentExtensible w16cex:durableId="579E9D3C" w16cex:dateUtc="2024-01-08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1A54D" w16cid:durableId="4D3281A9"/>
  <w16cid:commentId w16cid:paraId="223120EF" w16cid:durableId="579E9D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986D" w14:textId="77777777" w:rsidR="00E40981" w:rsidRDefault="00E40981">
      <w:r>
        <w:separator/>
      </w:r>
    </w:p>
    <w:p w14:paraId="3E315BD3" w14:textId="77777777" w:rsidR="00E40981" w:rsidRDefault="00E40981"/>
  </w:endnote>
  <w:endnote w:type="continuationSeparator" w:id="0">
    <w:p w14:paraId="3BEA56C2" w14:textId="77777777" w:rsidR="00E40981" w:rsidRDefault="00E40981">
      <w:r>
        <w:continuationSeparator/>
      </w:r>
    </w:p>
    <w:p w14:paraId="280F315C" w14:textId="77777777" w:rsidR="00E40981" w:rsidRDefault="00E4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8332B66"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9F7D" w14:textId="77777777" w:rsidR="00E40981" w:rsidRDefault="00E40981">
      <w:r>
        <w:separator/>
      </w:r>
    </w:p>
    <w:p w14:paraId="4DB04B36" w14:textId="77777777" w:rsidR="00E40981" w:rsidRDefault="00E40981"/>
  </w:footnote>
  <w:footnote w:type="continuationSeparator" w:id="0">
    <w:p w14:paraId="2A551E26" w14:textId="77777777" w:rsidR="00E40981" w:rsidRDefault="00E40981">
      <w:r>
        <w:continuationSeparator/>
      </w:r>
    </w:p>
    <w:p w14:paraId="1E7271A5" w14:textId="77777777" w:rsidR="00E40981" w:rsidRDefault="00E40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5642652">
    <w:abstractNumId w:val="1"/>
  </w:num>
  <w:num w:numId="2" w16cid:durableId="1340081506">
    <w:abstractNumId w:val="0"/>
  </w:num>
  <w:num w:numId="3" w16cid:durableId="2119789602">
    <w:abstractNumId w:val="5"/>
  </w:num>
  <w:num w:numId="4" w16cid:durableId="1466702720">
    <w:abstractNumId w:val="12"/>
  </w:num>
  <w:num w:numId="5" w16cid:durableId="1582256106">
    <w:abstractNumId w:val="3"/>
  </w:num>
  <w:num w:numId="6" w16cid:durableId="678970981">
    <w:abstractNumId w:val="8"/>
  </w:num>
  <w:num w:numId="7" w16cid:durableId="1052191988">
    <w:abstractNumId w:val="9"/>
  </w:num>
  <w:num w:numId="8" w16cid:durableId="1902905287">
    <w:abstractNumId w:val="4"/>
  </w:num>
  <w:num w:numId="9" w16cid:durableId="1945114747">
    <w:abstractNumId w:val="11"/>
  </w:num>
  <w:num w:numId="10" w16cid:durableId="1959751595">
    <w:abstractNumId w:val="10"/>
  </w:num>
  <w:num w:numId="11" w16cid:durableId="443547723">
    <w:abstractNumId w:val="2"/>
  </w:num>
  <w:num w:numId="12" w16cid:durableId="1533155878">
    <w:abstractNumId w:val="6"/>
  </w:num>
  <w:num w:numId="13" w16cid:durableId="78291836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D6"/>
    <w:rsid w:val="000652B3"/>
    <w:rsid w:val="00066704"/>
    <w:rsid w:val="000864B0"/>
    <w:rsid w:val="000A4E0F"/>
    <w:rsid w:val="000C0336"/>
    <w:rsid w:val="000F312B"/>
    <w:rsid w:val="00121DD9"/>
    <w:rsid w:val="00125E40"/>
    <w:rsid w:val="0016071D"/>
    <w:rsid w:val="001C394B"/>
    <w:rsid w:val="002830FC"/>
    <w:rsid w:val="00283CCF"/>
    <w:rsid w:val="002A2770"/>
    <w:rsid w:val="002A2DFB"/>
    <w:rsid w:val="002C16BF"/>
    <w:rsid w:val="002E7FD1"/>
    <w:rsid w:val="003174B9"/>
    <w:rsid w:val="003177F5"/>
    <w:rsid w:val="003B53CB"/>
    <w:rsid w:val="00422BA6"/>
    <w:rsid w:val="00441FDF"/>
    <w:rsid w:val="00473B9E"/>
    <w:rsid w:val="004C0CA6"/>
    <w:rsid w:val="004D5512"/>
    <w:rsid w:val="004F4157"/>
    <w:rsid w:val="00530244"/>
    <w:rsid w:val="005307CF"/>
    <w:rsid w:val="005611F5"/>
    <w:rsid w:val="005666E7"/>
    <w:rsid w:val="005B194C"/>
    <w:rsid w:val="005D4B96"/>
    <w:rsid w:val="005F6FD8"/>
    <w:rsid w:val="00611581"/>
    <w:rsid w:val="006203EE"/>
    <w:rsid w:val="0062195E"/>
    <w:rsid w:val="00637520"/>
    <w:rsid w:val="006632C5"/>
    <w:rsid w:val="00682FCA"/>
    <w:rsid w:val="006A63B5"/>
    <w:rsid w:val="00725A61"/>
    <w:rsid w:val="00733E78"/>
    <w:rsid w:val="00754F65"/>
    <w:rsid w:val="00757FAB"/>
    <w:rsid w:val="00786471"/>
    <w:rsid w:val="007B42CF"/>
    <w:rsid w:val="007C749B"/>
    <w:rsid w:val="007E4B5B"/>
    <w:rsid w:val="00807843"/>
    <w:rsid w:val="00833A03"/>
    <w:rsid w:val="00833A54"/>
    <w:rsid w:val="009021B1"/>
    <w:rsid w:val="009122D6"/>
    <w:rsid w:val="00920358"/>
    <w:rsid w:val="00961844"/>
    <w:rsid w:val="00986B98"/>
    <w:rsid w:val="009A7F1C"/>
    <w:rsid w:val="00A03990"/>
    <w:rsid w:val="00A06FD8"/>
    <w:rsid w:val="00A85F98"/>
    <w:rsid w:val="00B3313D"/>
    <w:rsid w:val="00B36748"/>
    <w:rsid w:val="00B51517"/>
    <w:rsid w:val="00C024E0"/>
    <w:rsid w:val="00C0731A"/>
    <w:rsid w:val="00C16EC8"/>
    <w:rsid w:val="00C45423"/>
    <w:rsid w:val="00C5657A"/>
    <w:rsid w:val="00C67654"/>
    <w:rsid w:val="00D1653A"/>
    <w:rsid w:val="00D3624F"/>
    <w:rsid w:val="00D4502F"/>
    <w:rsid w:val="00D755A9"/>
    <w:rsid w:val="00D757A7"/>
    <w:rsid w:val="00DA24E2"/>
    <w:rsid w:val="00DB6488"/>
    <w:rsid w:val="00E069B3"/>
    <w:rsid w:val="00E17CD8"/>
    <w:rsid w:val="00E24292"/>
    <w:rsid w:val="00E34D1B"/>
    <w:rsid w:val="00E40981"/>
    <w:rsid w:val="00E54D8E"/>
    <w:rsid w:val="00E7586A"/>
    <w:rsid w:val="00F12B33"/>
    <w:rsid w:val="00FB03E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05A5B"/>
  <w15:chartTrackingRefBased/>
  <w15:docId w15:val="{B8E43F73-0946-1942-9309-B3E87C82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754F65"/>
    <w:rPr>
      <w:color w:val="605E5C"/>
      <w:shd w:val="clear" w:color="auto" w:fill="E1DFDD"/>
    </w:rPr>
  </w:style>
  <w:style w:type="character" w:styleId="FollowedHyperlink">
    <w:name w:val="FollowedHyperlink"/>
    <w:basedOn w:val="DefaultParagraphFont"/>
    <w:uiPriority w:val="99"/>
    <w:semiHidden/>
    <w:unhideWhenUsed/>
    <w:rsid w:val="00786471"/>
    <w:rPr>
      <w:color w:val="214C5E" w:themeColor="followedHyperlink"/>
      <w:u w:val="single"/>
    </w:rPr>
  </w:style>
  <w:style w:type="table" w:styleId="TableGrid">
    <w:name w:val="Table Grid"/>
    <w:basedOn w:val="TableNormal"/>
    <w:uiPriority w:val="39"/>
    <w:rsid w:val="00C56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502F"/>
    <w:rPr>
      <w:sz w:val="16"/>
      <w:szCs w:val="16"/>
    </w:rPr>
  </w:style>
  <w:style w:type="paragraph" w:styleId="CommentText">
    <w:name w:val="annotation text"/>
    <w:basedOn w:val="Normal"/>
    <w:link w:val="CommentTextChar"/>
    <w:unhideWhenUsed/>
    <w:rsid w:val="00D4502F"/>
    <w:pPr>
      <w:spacing w:line="240" w:lineRule="auto"/>
    </w:pPr>
    <w:rPr>
      <w:sz w:val="20"/>
      <w:szCs w:val="20"/>
    </w:rPr>
  </w:style>
  <w:style w:type="character" w:customStyle="1" w:styleId="CommentTextChar">
    <w:name w:val="Comment Text Char"/>
    <w:basedOn w:val="DefaultParagraphFont"/>
    <w:link w:val="CommentText"/>
    <w:uiPriority w:val="99"/>
    <w:rsid w:val="00D4502F"/>
    <w:rPr>
      <w:sz w:val="20"/>
      <w:szCs w:val="20"/>
    </w:rPr>
  </w:style>
  <w:style w:type="paragraph" w:styleId="CommentSubject">
    <w:name w:val="annotation subject"/>
    <w:basedOn w:val="CommentText"/>
    <w:next w:val="CommentText"/>
    <w:link w:val="CommentSubjectChar"/>
    <w:uiPriority w:val="99"/>
    <w:semiHidden/>
    <w:unhideWhenUsed/>
    <w:rsid w:val="00D4502F"/>
    <w:rPr>
      <w:b/>
      <w:bCs/>
    </w:rPr>
  </w:style>
  <w:style w:type="character" w:customStyle="1" w:styleId="CommentSubjectChar">
    <w:name w:val="Comment Subject Char"/>
    <w:basedOn w:val="CommentTextChar"/>
    <w:link w:val="CommentSubject"/>
    <w:uiPriority w:val="99"/>
    <w:semiHidden/>
    <w:rsid w:val="00D4502F"/>
    <w:rPr>
      <w:b/>
      <w:bCs/>
      <w:sz w:val="20"/>
      <w:szCs w:val="20"/>
    </w:rPr>
  </w:style>
  <w:style w:type="paragraph" w:customStyle="1" w:styleId="TableStyle2">
    <w:name w:val="Table Style 2"/>
    <w:rsid w:val="00D4502F"/>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82711">
      <w:bodyDiv w:val="1"/>
      <w:marLeft w:val="0"/>
      <w:marRight w:val="0"/>
      <w:marTop w:val="0"/>
      <w:marBottom w:val="0"/>
      <w:divBdr>
        <w:top w:val="none" w:sz="0" w:space="0" w:color="auto"/>
        <w:left w:val="none" w:sz="0" w:space="0" w:color="auto"/>
        <w:bottom w:val="none" w:sz="0" w:space="0" w:color="auto"/>
        <w:right w:val="none" w:sz="0" w:space="0" w:color="auto"/>
      </w:divBdr>
      <w:divsChild>
        <w:div w:id="1834368687">
          <w:marLeft w:val="0"/>
          <w:marRight w:val="0"/>
          <w:marTop w:val="0"/>
          <w:marBottom w:val="0"/>
          <w:divBdr>
            <w:top w:val="none" w:sz="0" w:space="0" w:color="auto"/>
            <w:left w:val="none" w:sz="0" w:space="0" w:color="auto"/>
            <w:bottom w:val="none" w:sz="0" w:space="0" w:color="auto"/>
            <w:right w:val="none" w:sz="0" w:space="0" w:color="auto"/>
          </w:divBdr>
          <w:divsChild>
            <w:div w:id="164709700">
              <w:marLeft w:val="0"/>
              <w:marRight w:val="0"/>
              <w:marTop w:val="0"/>
              <w:marBottom w:val="0"/>
              <w:divBdr>
                <w:top w:val="none" w:sz="0" w:space="0" w:color="auto"/>
                <w:left w:val="none" w:sz="0" w:space="0" w:color="auto"/>
                <w:bottom w:val="none" w:sz="0" w:space="0" w:color="auto"/>
                <w:right w:val="none" w:sz="0" w:space="0" w:color="auto"/>
              </w:divBdr>
              <w:divsChild>
                <w:div w:id="21183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nnualreport.visa.com/business-overview/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yperlink" Target="https://www.fool.com/investing/2022/03/18/how-paypal-competes-with-visa-mastercard/" TargetMode="External"/><Relationship Id="rId2" Type="http://schemas.openxmlformats.org/officeDocument/2006/relationships/styles" Target="styles.xml"/><Relationship Id="rId16" Type="http://schemas.openxmlformats.org/officeDocument/2006/relationships/hyperlink" Target="https://iide.co/case-studies/swot-analysis-of-visa/"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s://www.macrotrends.net/stocks/charts/MA/mastercard/revenue"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macrotrends.net/stocks/charts/V/visa/revenu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sba\Documents\QCP%20Investment%20Analysis%20Program\1701169362_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 Revenue ($bn)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'Revenue Comparison'!$B$2</c:f>
              <c:strCache>
                <c:ptCount val="1"/>
                <c:pt idx="0">
                  <c:v>MasterCard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'Revenue Comparison'!$A$3:$A$5</c:f>
              <c:numCache>
                <c:formatCode>General</c:formatCode>
                <c:ptCount val="3"/>
                <c:pt idx="0">
                  <c:v>2023</c:v>
                </c:pt>
                <c:pt idx="1">
                  <c:v>2022</c:v>
                </c:pt>
                <c:pt idx="2">
                  <c:v>2021</c:v>
                </c:pt>
              </c:numCache>
            </c:numRef>
          </c:cat>
          <c:val>
            <c:numRef>
              <c:f>'Revenue Comparison'!$B$3:$B$5</c:f>
              <c:numCache>
                <c:formatCode>General</c:formatCode>
                <c:ptCount val="3"/>
                <c:pt idx="0">
                  <c:v>24.367000000000001</c:v>
                </c:pt>
                <c:pt idx="1">
                  <c:v>22.236999999999998</c:v>
                </c:pt>
                <c:pt idx="2">
                  <c:v>18.884</c:v>
                </c:pt>
              </c:numCache>
            </c:numRef>
          </c:val>
          <c:extLst>
            <c:ext xmlns:c16="http://schemas.microsoft.com/office/drawing/2014/chart" uri="{C3380CC4-5D6E-409C-BE32-E72D297353CC}">
              <c16:uniqueId val="{00000000-A28D-6446-99BC-C71CEF51956B}"/>
            </c:ext>
          </c:extLst>
        </c:ser>
        <c:ser>
          <c:idx val="1"/>
          <c:order val="1"/>
          <c:tx>
            <c:strRef>
              <c:f>'Revenue Comparison'!$C$2</c:f>
              <c:strCache>
                <c:ptCount val="1"/>
                <c:pt idx="0">
                  <c:v>VISA Inc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'Revenue Comparison'!$A$3:$A$5</c:f>
              <c:numCache>
                <c:formatCode>General</c:formatCode>
                <c:ptCount val="3"/>
                <c:pt idx="0">
                  <c:v>2023</c:v>
                </c:pt>
                <c:pt idx="1">
                  <c:v>2022</c:v>
                </c:pt>
                <c:pt idx="2">
                  <c:v>2021</c:v>
                </c:pt>
              </c:numCache>
            </c:numRef>
          </c:cat>
          <c:val>
            <c:numRef>
              <c:f>'Revenue Comparison'!$C$3:$C$5</c:f>
              <c:numCache>
                <c:formatCode>General</c:formatCode>
                <c:ptCount val="3"/>
                <c:pt idx="0">
                  <c:v>32.652999999999999</c:v>
                </c:pt>
                <c:pt idx="1">
                  <c:v>29.31</c:v>
                </c:pt>
                <c:pt idx="2">
                  <c:v>24.105</c:v>
                </c:pt>
              </c:numCache>
            </c:numRef>
          </c:val>
          <c:extLst>
            <c:ext xmlns:c16="http://schemas.microsoft.com/office/drawing/2014/chart" uri="{C3380CC4-5D6E-409C-BE32-E72D297353CC}">
              <c16:uniqueId val="{00000001-A28D-6446-99BC-C71CEF51956B}"/>
            </c:ext>
          </c:extLst>
        </c:ser>
        <c:dLbls>
          <c:showLegendKey val="0"/>
          <c:showVal val="0"/>
          <c:showCatName val="0"/>
          <c:showSerName val="0"/>
          <c:showPercent val="0"/>
          <c:showBubbleSize val="0"/>
        </c:dLbls>
        <c:gapWidth val="100"/>
        <c:overlap val="-24"/>
        <c:axId val="218195664"/>
        <c:axId val="248325664"/>
      </c:barChart>
      <c:catAx>
        <c:axId val="21819566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48325664"/>
        <c:crosses val="autoZero"/>
        <c:auto val="1"/>
        <c:lblAlgn val="ctr"/>
        <c:lblOffset val="100"/>
        <c:noMultiLvlLbl val="0"/>
      </c:catAx>
      <c:valAx>
        <c:axId val="24832566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819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Ansari</dc:creator>
  <cp:keywords/>
  <dc:description/>
  <cp:lastModifiedBy>Shamla Yoosoof</cp:lastModifiedBy>
  <cp:revision>2</cp:revision>
  <dcterms:created xsi:type="dcterms:W3CDTF">2024-01-08T16:17:00Z</dcterms:created>
  <dcterms:modified xsi:type="dcterms:W3CDTF">2024-01-08T16:17:00Z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