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68" w:type="dxa"/>
        <w:tblLayout w:type="fixed"/>
        <w:tblLook w:val="0600" w:firstRow="0" w:lastRow="0" w:firstColumn="0" w:lastColumn="0" w:noHBand="1" w:noVBand="1"/>
      </w:tblPr>
      <w:tblGrid>
        <w:gridCol w:w="5434"/>
        <w:gridCol w:w="5434"/>
      </w:tblGrid>
      <w:tr w:rsidR="005F1DA5" w:rsidRPr="00207C54" w14:paraId="240C27B2" w14:textId="77777777" w:rsidTr="00A81E3F">
        <w:trPr>
          <w:trHeight w:val="107"/>
        </w:trPr>
        <w:tc>
          <w:tcPr>
            <w:tcW w:w="5434" w:type="dxa"/>
          </w:tcPr>
          <w:p w14:paraId="552BC11C" w14:textId="77777777" w:rsidR="005F1DA5" w:rsidRPr="00207C54" w:rsidRDefault="005F1DA5" w:rsidP="00A81E3F">
            <w:pPr>
              <w:pStyle w:val="GraphicAnchor"/>
              <w:rPr>
                <w:rFonts w:ascii="Times New Roman" w:hAnsi="Times New Roman" w:cs="Times New Roman"/>
                <w:sz w:val="21"/>
                <w:szCs w:val="21"/>
              </w:rPr>
            </w:pPr>
            <w:r w:rsidRPr="00207C54">
              <w:rPr>
                <w:rFonts w:ascii="Times New Roman" w:hAnsi="Times New Roman" w:cs="Times New Roman"/>
                <w:noProof/>
                <w:sz w:val="21"/>
                <w:szCs w:val="21"/>
                <w:lang w:eastAsia="en-AU"/>
              </w:rPr>
              <mc:AlternateContent>
                <mc:Choice Requires="wpg">
                  <w:drawing>
                    <wp:anchor distT="0" distB="0" distL="114300" distR="114300" simplePos="0" relativeHeight="251667456" behindDoc="1" locked="0" layoutInCell="1" allowOverlap="1" wp14:anchorId="72A3F22B" wp14:editId="7AE784B4">
                      <wp:simplePos x="0" y="0"/>
                      <wp:positionH relativeFrom="page">
                        <wp:posOffset>-685800</wp:posOffset>
                      </wp:positionH>
                      <wp:positionV relativeFrom="paragraph">
                        <wp:posOffset>-914400</wp:posOffset>
                      </wp:positionV>
                      <wp:extent cx="8102757" cy="10353950"/>
                      <wp:effectExtent l="0" t="0" r="0" b="9525"/>
                      <wp:wrapNone/>
                      <wp:docPr id="2" name="Group 1">
                        <a:extLst xmlns:a="http://schemas.openxmlformats.org/drawingml/2006/main">
                          <a:ext uri="{FF2B5EF4-FFF2-40B4-BE49-F238E27FC236}">
                            <a16:creationId xmlns:a16="http://schemas.microsoft.com/office/drawing/2014/main" id="{405C8564-9AA1-3741-A518-06A1556F88BC}"/>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102757" cy="10353950"/>
                                <a:chOff x="0" y="0"/>
                                <a:chExt cx="7794574" cy="10053322"/>
                              </a:xfrm>
                              <a:solidFill>
                                <a:schemeClr val="accent1">
                                  <a:lumMod val="75000"/>
                                </a:schemeClr>
                              </a:solidFill>
                            </wpg:grpSpPr>
                            <wps:wsp>
                              <wps:cNvPr id="3" name="Shape"/>
                              <wps:cNvSpPr/>
                              <wps:spPr>
                                <a:xfrm>
                                  <a:off x="0" y="2552701"/>
                                  <a:ext cx="5845812" cy="7500621"/>
                                </a:xfrm>
                                <a:custGeom>
                                  <a:avLst/>
                                  <a:gdLst/>
                                  <a:ahLst/>
                                  <a:cxnLst>
                                    <a:cxn ang="0">
                                      <a:pos x="wd2" y="hd2"/>
                                    </a:cxn>
                                    <a:cxn ang="5400000">
                                      <a:pos x="wd2" y="hd2"/>
                                    </a:cxn>
                                    <a:cxn ang="10800000">
                                      <a:pos x="wd2" y="hd2"/>
                                    </a:cxn>
                                    <a:cxn ang="16200000">
                                      <a:pos x="wd2" y="hd2"/>
                                    </a:cxn>
                                  </a:cxnLst>
                                  <a:rect l="0" t="0" r="r" b="b"/>
                                  <a:pathLst>
                                    <a:path w="21600" h="21600" extrusionOk="0">
                                      <a:moveTo>
                                        <a:pt x="0" y="10687"/>
                                      </a:moveTo>
                                      <a:lnTo>
                                        <a:pt x="0" y="21600"/>
                                      </a:lnTo>
                                      <a:lnTo>
                                        <a:pt x="1769" y="21600"/>
                                      </a:lnTo>
                                      <a:lnTo>
                                        <a:pt x="21600" y="6148"/>
                                      </a:lnTo>
                                      <a:lnTo>
                                        <a:pt x="13712" y="0"/>
                                      </a:lnTo>
                                      <a:close/>
                                    </a:path>
                                  </a:pathLst>
                                </a:custGeom>
                                <a:grpFill/>
                                <a:ln w="12700">
                                  <a:miter lim="400000"/>
                                </a:ln>
                              </wps:spPr>
                              <wps:bodyPr lIns="38100" tIns="38100" rIns="38100" bIns="38100" anchor="ctr"/>
                            </wps:wsp>
                            <wps:wsp>
                              <wps:cNvPr id="4" name="Triangle"/>
                              <wps:cNvSpPr/>
                              <wps:spPr>
                                <a:xfrm>
                                  <a:off x="0" y="2044700"/>
                                  <a:ext cx="3907791" cy="7816851"/>
                                </a:xfrm>
                                <a:custGeom>
                                  <a:avLst/>
                                  <a:gdLst/>
                                  <a:ahLst/>
                                  <a:cxnLst>
                                    <a:cxn ang="0">
                                      <a:pos x="wd2" y="hd2"/>
                                    </a:cxn>
                                    <a:cxn ang="5400000">
                                      <a:pos x="wd2" y="hd2"/>
                                    </a:cxn>
                                    <a:cxn ang="10800000">
                                      <a:pos x="wd2" y="hd2"/>
                                    </a:cxn>
                                    <a:cxn ang="16200000">
                                      <a:pos x="wd2" y="hd2"/>
                                    </a:cxn>
                                  </a:cxnLst>
                                  <a:rect l="0" t="0" r="r" b="b"/>
                                  <a:pathLst>
                                    <a:path w="21600" h="21600" extrusionOk="0">
                                      <a:moveTo>
                                        <a:pt x="0" y="21600"/>
                                      </a:moveTo>
                                      <a:lnTo>
                                        <a:pt x="21600" y="10802"/>
                                      </a:lnTo>
                                      <a:lnTo>
                                        <a:pt x="0" y="0"/>
                                      </a:lnTo>
                                      <a:close/>
                                    </a:path>
                                  </a:pathLst>
                                </a:custGeom>
                                <a:grpFill/>
                                <a:ln w="12700">
                                  <a:miter lim="400000"/>
                                </a:ln>
                              </wps:spPr>
                              <wps:bodyPr lIns="38100" tIns="38100" rIns="38100" bIns="38100" anchor="ctr"/>
                            </wps:wsp>
                            <wps:wsp>
                              <wps:cNvPr id="5" name="Shape"/>
                              <wps:cNvSpPr/>
                              <wps:spPr>
                                <a:xfrm>
                                  <a:off x="23442" y="0"/>
                                  <a:ext cx="7771132" cy="9039861"/>
                                </a:xfrm>
                                <a:custGeom>
                                  <a:avLst/>
                                  <a:gdLst/>
                                  <a:ahLst/>
                                  <a:cxnLst>
                                    <a:cxn ang="0">
                                      <a:pos x="wd2" y="hd2"/>
                                    </a:cxn>
                                    <a:cxn ang="5400000">
                                      <a:pos x="wd2" y="hd2"/>
                                    </a:cxn>
                                    <a:cxn ang="10800000">
                                      <a:pos x="wd2" y="hd2"/>
                                    </a:cxn>
                                    <a:cxn ang="16200000">
                                      <a:pos x="wd2" y="hd2"/>
                                    </a:cxn>
                                  </a:cxnLst>
                                  <a:rect l="0" t="0" r="r" b="b"/>
                                  <a:pathLst>
                                    <a:path w="21600" h="21600" extrusionOk="0">
                                      <a:moveTo>
                                        <a:pt x="0" y="14678"/>
                                      </a:moveTo>
                                      <a:lnTo>
                                        <a:pt x="0" y="21600"/>
                                      </a:lnTo>
                                      <a:lnTo>
                                        <a:pt x="21600" y="3032"/>
                                      </a:lnTo>
                                      <a:lnTo>
                                        <a:pt x="21600" y="0"/>
                                      </a:lnTo>
                                      <a:lnTo>
                                        <a:pt x="17075" y="0"/>
                                      </a:lnTo>
                                      <a:close/>
                                    </a:path>
                                  </a:pathLst>
                                </a:custGeom>
                                <a:grpFill/>
                                <a:ln w="12700">
                                  <a:miter lim="400000"/>
                                </a:ln>
                              </wps:spPr>
                              <wps:bodyPr lIns="38100" tIns="38100" rIns="38100" bIns="38100" anchor="ctr"/>
                            </wps:wsp>
                          </wpg:wgp>
                        </a:graphicData>
                      </a:graphic>
                      <wp14:sizeRelH relativeFrom="margin">
                        <wp14:pctWidth>0</wp14:pctWidth>
                      </wp14:sizeRelH>
                      <wp14:sizeRelV relativeFrom="margin">
                        <wp14:pctHeight>0</wp14:pctHeight>
                      </wp14:sizeRelV>
                    </wp:anchor>
                  </w:drawing>
                </mc:Choice>
                <mc:Fallback>
                  <w:pict>
                    <v:group w14:anchorId="1F8AF5CF" id="Group 1" o:spid="_x0000_s1026" alt="&quot;&quot;" style="position:absolute;margin-left:-54pt;margin-top:-1in;width:638pt;height:815.25pt;z-index:-251649024;mso-position-horizontal-relative:page;mso-width-relative:margin;mso-height-relative:margin" coordsize="77945,100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">
                      <v:shape id="Shape" o:spid="_x0000_s1027" style="position:absolute;top:25527;width:58458;height:75006;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" path="m,10687l,21600r1769,l21600,6148,13712,,,10687xe" filled="f" stroked="f" strokeweight="1pt">
                        <v:stroke miterlimit="4" joinstyle="miter"/>
                        <v:path arrowok="t" o:extrusionok="f" o:connecttype="custom" o:connectlocs="2922906,3750311;2922906,3750311;2922906,3750311;2922906,3750311" o:connectangles="0,90,180,270"/>
                      </v:shape>
                      <v:shape id="Triangle" o:spid="_x0000_s1028" style="position:absolute;top:20447;width:39077;height:78168;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" path="m,21600l21600,10802,,,,21600xe" filled="f" stroked="f" strokeweight="1pt">
                        <v:stroke miterlimit="4" joinstyle="miter"/>
                        <v:path arrowok="t" o:extrusionok="f" o:connecttype="custom" o:connectlocs="1953896,3908426;1953896,3908426;1953896,3908426;1953896,3908426" o:connectangles="0,90,180,270"/>
                      </v:shape>
                      <v:shape id="Shape" o:spid="_x0000_s1029" style="position:absolute;left:234;width:77711;height:90398;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" path="m,14678r,6922l21600,3032,21600,,17075,,,14678xe" filled="f" stroked="f" strokeweight="1pt">
                        <v:stroke miterlimit="4" joinstyle="miter"/>
                        <v:path arrowok="t" o:extrusionok="f" o:connecttype="custom" o:connectlocs="3885566,4519931;3885566,4519931;3885566,4519931;3885566,4519931" o:connectangles="0,90,180,270"/>
                      </v:shape>
                      <w10:wrap anchorx="page"/>
                    </v:group>
                  </w:pict>
                </mc:Fallback>
              </mc:AlternateContent>
            </w:r>
          </w:p>
        </w:tc>
        <w:tc>
          <w:tcPr>
            <w:tcW w:w="5434" w:type="dxa"/>
          </w:tcPr>
          <w:p w14:paraId="0A9C2A37" w14:textId="77777777" w:rsidR="005F1DA5" w:rsidRPr="00207C54" w:rsidRDefault="005F1DA5" w:rsidP="00A81E3F">
            <w:pPr>
              <w:pStyle w:val="GraphicAnchor"/>
              <w:rPr>
                <w:rFonts w:ascii="Times New Roman" w:hAnsi="Times New Roman" w:cs="Times New Roman"/>
                <w:sz w:val="21"/>
                <w:szCs w:val="21"/>
              </w:rPr>
            </w:pPr>
          </w:p>
        </w:tc>
      </w:tr>
      <w:tr w:rsidR="005F1DA5" w:rsidRPr="00207C54" w14:paraId="3DED35FD" w14:textId="77777777" w:rsidTr="00A81E3F">
        <w:trPr>
          <w:trHeight w:val="2519"/>
        </w:trPr>
        <w:tc>
          <w:tcPr>
            <w:tcW w:w="5434" w:type="dxa"/>
          </w:tcPr>
          <w:p w14:paraId="015B957C" w14:textId="5C687EF4" w:rsidR="005F1DA5" w:rsidRPr="00207C54" w:rsidRDefault="005F1DA5" w:rsidP="00A81E3F">
            <w:pPr>
              <w:pStyle w:val="Text"/>
              <w:rPr>
                <w:rFonts w:ascii="Times New Roman" w:hAnsi="Times New Roman" w:cs="Times New Roman"/>
                <w:b/>
                <w:i w:val="0"/>
                <w:color w:val="002060"/>
                <w:sz w:val="60"/>
                <w:szCs w:val="60"/>
              </w:rPr>
            </w:pPr>
            <w:r w:rsidRPr="00207C54">
              <w:rPr>
                <w:rFonts w:ascii="Times New Roman" w:hAnsi="Times New Roman" w:cs="Times New Roman"/>
                <w:b/>
                <w:i w:val="0"/>
                <w:color w:val="002060"/>
                <w:sz w:val="60"/>
                <w:szCs w:val="60"/>
              </w:rPr>
              <w:t>MANAGEMENT REPORT</w:t>
            </w:r>
          </w:p>
          <w:p w14:paraId="318263E7" w14:textId="77777777" w:rsidR="005F1DA5" w:rsidRPr="00207C54" w:rsidRDefault="005F1DA5" w:rsidP="00A81E3F">
            <w:pPr>
              <w:rPr>
                <w:rFonts w:ascii="Times New Roman" w:hAnsi="Times New Roman" w:cs="Times New Roman"/>
                <w:color w:val="4472C4" w:themeColor="accent1"/>
                <w:sz w:val="60"/>
                <w:szCs w:val="60"/>
              </w:rPr>
            </w:pPr>
          </w:p>
          <w:p w14:paraId="077A5ACA" w14:textId="77777777" w:rsidR="005F1DA5" w:rsidRPr="00207C54" w:rsidRDefault="005F1DA5" w:rsidP="00A81E3F">
            <w:pPr>
              <w:rPr>
                <w:rFonts w:ascii="Times New Roman" w:hAnsi="Times New Roman" w:cs="Times New Roman"/>
                <w:sz w:val="60"/>
                <w:szCs w:val="60"/>
              </w:rPr>
            </w:pPr>
          </w:p>
          <w:p w14:paraId="7BF9B831" w14:textId="77777777" w:rsidR="005F1DA5" w:rsidRPr="00207C54" w:rsidRDefault="005F1DA5" w:rsidP="00A81E3F">
            <w:pPr>
              <w:rPr>
                <w:rFonts w:ascii="Times New Roman" w:hAnsi="Times New Roman" w:cs="Times New Roman"/>
                <w:sz w:val="60"/>
                <w:szCs w:val="60"/>
              </w:rPr>
            </w:pPr>
          </w:p>
          <w:p w14:paraId="361C3493" w14:textId="77777777" w:rsidR="005F1DA5" w:rsidRPr="00207C54" w:rsidRDefault="005F1DA5" w:rsidP="00A81E3F">
            <w:pPr>
              <w:rPr>
                <w:rFonts w:ascii="Times New Roman" w:hAnsi="Times New Roman" w:cs="Times New Roman"/>
                <w:sz w:val="60"/>
                <w:szCs w:val="60"/>
              </w:rPr>
            </w:pPr>
          </w:p>
        </w:tc>
        <w:tc>
          <w:tcPr>
            <w:tcW w:w="5434" w:type="dxa"/>
          </w:tcPr>
          <w:p w14:paraId="7319C025" w14:textId="77777777" w:rsidR="005F1DA5" w:rsidRPr="00207C54" w:rsidRDefault="005F1DA5" w:rsidP="00A81E3F">
            <w:pPr>
              <w:rPr>
                <w:rFonts w:ascii="Times New Roman" w:hAnsi="Times New Roman" w:cs="Times New Roman"/>
                <w:sz w:val="60"/>
                <w:szCs w:val="60"/>
              </w:rPr>
            </w:pPr>
          </w:p>
        </w:tc>
      </w:tr>
      <w:tr w:rsidR="005F1DA5" w:rsidRPr="00207C54" w14:paraId="274DE702" w14:textId="77777777" w:rsidTr="00A81E3F">
        <w:trPr>
          <w:trHeight w:val="7468"/>
        </w:trPr>
        <w:tc>
          <w:tcPr>
            <w:tcW w:w="5434" w:type="dxa"/>
          </w:tcPr>
          <w:p w14:paraId="503D1023" w14:textId="77777777" w:rsidR="005F1DA5" w:rsidRPr="00207C54" w:rsidRDefault="005F1DA5" w:rsidP="00A81E3F">
            <w:pPr>
              <w:rPr>
                <w:rFonts w:ascii="Times New Roman" w:hAnsi="Times New Roman" w:cs="Times New Roman"/>
                <w:sz w:val="21"/>
                <w:szCs w:val="21"/>
              </w:rPr>
            </w:pPr>
            <w:r w:rsidRPr="00207C54">
              <w:rPr>
                <w:rFonts w:ascii="Times New Roman" w:hAnsi="Times New Roman" w:cs="Times New Roman"/>
                <w:noProof/>
                <w:sz w:val="21"/>
                <w:szCs w:val="21"/>
              </w:rPr>
              <mc:AlternateContent>
                <mc:Choice Requires="wps">
                  <w:drawing>
                    <wp:anchor distT="0" distB="0" distL="114300" distR="114300" simplePos="0" relativeHeight="251668480" behindDoc="0" locked="0" layoutInCell="1" allowOverlap="1" wp14:anchorId="6C8E149B" wp14:editId="21B97659">
                      <wp:simplePos x="0" y="0"/>
                      <wp:positionH relativeFrom="column">
                        <wp:posOffset>949178</wp:posOffset>
                      </wp:positionH>
                      <wp:positionV relativeFrom="paragraph">
                        <wp:posOffset>1779270</wp:posOffset>
                      </wp:positionV>
                      <wp:extent cx="2680676" cy="1926590"/>
                      <wp:effectExtent l="0" t="0" r="0" b="0"/>
                      <wp:wrapNone/>
                      <wp:docPr id="6" name="Text Box 6"/>
                      <wp:cNvGraphicFramePr/>
                      <a:graphic xmlns:a="http://schemas.openxmlformats.org/drawingml/2006/main">
                        <a:graphicData uri="http://schemas.microsoft.com/office/word/2010/wordprocessingShape">
                          <wps:wsp>
                            <wps:cNvSpPr txBox="1"/>
                            <wps:spPr>
                              <a:xfrm>
                                <a:off x="0" y="0"/>
                                <a:ext cx="2680676" cy="1926590"/>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782F99CA" w14:textId="793DEE3C" w:rsidR="005F1DA5" w:rsidRPr="00207C54" w:rsidRDefault="005F1DA5" w:rsidP="005F1DA5">
                                  <w:pPr>
                                    <w:pStyle w:val="Text"/>
                                    <w:rPr>
                                      <w:rFonts w:ascii="Times New Roman" w:hAnsi="Times New Roman" w:cs="Times New Roman"/>
                                      <w:b/>
                                      <w:i w:val="0"/>
                                      <w:color w:val="FFFFFF" w:themeColor="background1"/>
                                      <w:sz w:val="58"/>
                                      <w:szCs w:val="58"/>
                                      <w:lang w:val="en-GB"/>
                                    </w:rPr>
                                  </w:pPr>
                                  <w:r w:rsidRPr="00207C54">
                                    <w:rPr>
                                      <w:rFonts w:ascii="Times New Roman" w:hAnsi="Times New Roman" w:cs="Times New Roman"/>
                                      <w:b/>
                                      <w:i w:val="0"/>
                                      <w:color w:val="FFFFFF" w:themeColor="background1"/>
                                      <w:sz w:val="58"/>
                                      <w:szCs w:val="58"/>
                                      <w:lang w:val="en-GB"/>
                                    </w:rPr>
                                    <w:t>AMAZON INC.</w:t>
                                  </w:r>
                                </w:p>
                              </w:txbxContent>
                            </wps:txbx>
                            <wps:bodyPr rot="0" spcFirstLastPara="1" vertOverflow="overflow" horzOverflow="overflow" vert="horz" wrap="square" lIns="50800" tIns="50800" rIns="50800" bIns="50800" numCol="1" spcCol="3810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type w14:anchorId="6C8E149B" id="_x0000_t202" coordsize="21600,21600" o:spt="202" path="m,l,21600r21600,l21600,xe">
                      <v:stroke joinstyle="miter"/>
                      <v:path gradientshapeok="t" o:connecttype="rect"/>
                    </v:shapetype>
                    <v:shape id="Text Box 6" o:spid="_x0000_s1026" type="#_x0000_t202" style="position:absolute;margin-left:74.75pt;margin-top:140.1pt;width:211.1pt;height:151.7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" filled="f" stroked="f" strokeweight="1pt">
                      <v:stroke miterlimit="4"/>
                      <v:textbox style="mso-fit-shape-to-text:t" inset="4pt,4pt,4pt,4pt">
                        <w:txbxContent>
                          <w:p w14:paraId="782F99CA" w14:textId="793DEE3C" w:rsidR="005F1DA5" w:rsidRPr="00207C54" w:rsidRDefault="005F1DA5" w:rsidP="005F1DA5">
                            <w:pPr>
                              <w:pStyle w:val="Text"/>
                              <w:rPr>
                                <w:rFonts w:ascii="Times New Roman" w:hAnsi="Times New Roman" w:cs="Times New Roman"/>
                                <w:b/>
                                <w:i w:val="0"/>
                                <w:color w:val="FFFFFF" w:themeColor="background1"/>
                                <w:sz w:val="58"/>
                                <w:szCs w:val="58"/>
                                <w:lang w:val="en-GB"/>
                              </w:rPr>
                            </w:pPr>
                            <w:r w:rsidRPr="00207C54">
                              <w:rPr>
                                <w:rFonts w:ascii="Times New Roman" w:hAnsi="Times New Roman" w:cs="Times New Roman"/>
                                <w:b/>
                                <w:i w:val="0"/>
                                <w:color w:val="FFFFFF" w:themeColor="background1"/>
                                <w:sz w:val="58"/>
                                <w:szCs w:val="58"/>
                                <w:lang w:val="en-GB"/>
                              </w:rPr>
                              <w:t>AMAZON INC.</w:t>
                            </w:r>
                          </w:p>
                        </w:txbxContent>
                      </v:textbox>
                    </v:shape>
                  </w:pict>
                </mc:Fallback>
              </mc:AlternateContent>
            </w:r>
          </w:p>
        </w:tc>
        <w:tc>
          <w:tcPr>
            <w:tcW w:w="5434" w:type="dxa"/>
          </w:tcPr>
          <w:p w14:paraId="51A0F7C3" w14:textId="77777777" w:rsidR="005F1DA5" w:rsidRPr="00207C54" w:rsidRDefault="005F1DA5" w:rsidP="00A81E3F">
            <w:pPr>
              <w:rPr>
                <w:rFonts w:ascii="Times New Roman" w:hAnsi="Times New Roman" w:cs="Times New Roman"/>
                <w:sz w:val="21"/>
                <w:szCs w:val="21"/>
              </w:rPr>
            </w:pPr>
          </w:p>
        </w:tc>
      </w:tr>
    </w:tbl>
    <w:p w14:paraId="42E4C873" w14:textId="77777777" w:rsidR="005F1DA5" w:rsidRPr="00207C54" w:rsidRDefault="005F1DA5" w:rsidP="0099151C">
      <w:pPr>
        <w:jc w:val="both"/>
        <w:rPr>
          <w:rFonts w:ascii="Times New Roman" w:hAnsi="Times New Roman" w:cs="Times New Roman"/>
          <w:b/>
          <w:bCs/>
          <w:sz w:val="21"/>
          <w:szCs w:val="21"/>
          <w:u w:val="single"/>
        </w:rPr>
      </w:pPr>
    </w:p>
    <w:p w14:paraId="10D82F51" w14:textId="77777777" w:rsidR="005F1DA5" w:rsidRPr="00207C54" w:rsidRDefault="005F1DA5" w:rsidP="0099151C">
      <w:pPr>
        <w:jc w:val="both"/>
        <w:rPr>
          <w:rFonts w:ascii="Times New Roman" w:hAnsi="Times New Roman" w:cs="Times New Roman"/>
          <w:b/>
          <w:bCs/>
          <w:sz w:val="21"/>
          <w:szCs w:val="21"/>
          <w:u w:val="single"/>
        </w:rPr>
      </w:pPr>
    </w:p>
    <w:p w14:paraId="086ED456" w14:textId="77777777" w:rsidR="005F1DA5" w:rsidRPr="00207C54" w:rsidRDefault="005F1DA5" w:rsidP="0099151C">
      <w:pPr>
        <w:jc w:val="both"/>
        <w:rPr>
          <w:rFonts w:ascii="Times New Roman" w:hAnsi="Times New Roman" w:cs="Times New Roman"/>
          <w:b/>
          <w:bCs/>
          <w:sz w:val="21"/>
          <w:szCs w:val="21"/>
          <w:u w:val="single"/>
        </w:rPr>
      </w:pPr>
    </w:p>
    <w:p w14:paraId="5BF2E584" w14:textId="77777777" w:rsidR="005F1DA5" w:rsidRPr="00207C54" w:rsidRDefault="005F1DA5" w:rsidP="0099151C">
      <w:pPr>
        <w:jc w:val="both"/>
        <w:rPr>
          <w:rFonts w:ascii="Times New Roman" w:hAnsi="Times New Roman" w:cs="Times New Roman"/>
          <w:b/>
          <w:bCs/>
          <w:sz w:val="21"/>
          <w:szCs w:val="21"/>
          <w:u w:val="single"/>
        </w:rPr>
      </w:pPr>
    </w:p>
    <w:p w14:paraId="3047A9AD" w14:textId="77777777" w:rsidR="005F1DA5" w:rsidRPr="00207C54" w:rsidRDefault="005F1DA5" w:rsidP="0099151C">
      <w:pPr>
        <w:jc w:val="both"/>
        <w:rPr>
          <w:rFonts w:ascii="Times New Roman" w:hAnsi="Times New Roman" w:cs="Times New Roman"/>
          <w:b/>
          <w:bCs/>
          <w:sz w:val="21"/>
          <w:szCs w:val="21"/>
          <w:u w:val="single"/>
        </w:rPr>
      </w:pPr>
    </w:p>
    <w:p w14:paraId="1C880034" w14:textId="77777777" w:rsidR="005F1DA5" w:rsidRPr="00207C54" w:rsidRDefault="005F1DA5" w:rsidP="0099151C">
      <w:pPr>
        <w:jc w:val="both"/>
        <w:rPr>
          <w:rFonts w:ascii="Times New Roman" w:hAnsi="Times New Roman" w:cs="Times New Roman"/>
          <w:b/>
          <w:bCs/>
          <w:sz w:val="21"/>
          <w:szCs w:val="21"/>
          <w:u w:val="single"/>
        </w:rPr>
      </w:pPr>
    </w:p>
    <w:p w14:paraId="4E054B6B" w14:textId="77777777" w:rsidR="005F1DA5" w:rsidRPr="00207C54" w:rsidRDefault="005F1DA5" w:rsidP="0099151C">
      <w:pPr>
        <w:jc w:val="both"/>
        <w:rPr>
          <w:rFonts w:ascii="Times New Roman" w:hAnsi="Times New Roman" w:cs="Times New Roman"/>
          <w:b/>
          <w:bCs/>
          <w:sz w:val="21"/>
          <w:szCs w:val="21"/>
          <w:u w:val="single"/>
        </w:rPr>
      </w:pPr>
    </w:p>
    <w:p w14:paraId="601A795F" w14:textId="77777777" w:rsidR="005F1DA5" w:rsidRPr="00207C54" w:rsidRDefault="005F1DA5" w:rsidP="0099151C">
      <w:pPr>
        <w:jc w:val="both"/>
        <w:rPr>
          <w:rFonts w:ascii="Times New Roman" w:hAnsi="Times New Roman" w:cs="Times New Roman"/>
          <w:b/>
          <w:bCs/>
          <w:sz w:val="21"/>
          <w:szCs w:val="21"/>
          <w:u w:val="single"/>
        </w:rPr>
      </w:pPr>
    </w:p>
    <w:p w14:paraId="6A9FEF3B" w14:textId="77777777" w:rsidR="00207C54" w:rsidRPr="00207C54" w:rsidRDefault="00207C54" w:rsidP="0099151C">
      <w:pPr>
        <w:jc w:val="both"/>
        <w:rPr>
          <w:rFonts w:ascii="Times New Roman" w:hAnsi="Times New Roman" w:cs="Times New Roman"/>
          <w:b/>
          <w:bCs/>
          <w:sz w:val="21"/>
          <w:szCs w:val="21"/>
          <w:u w:val="single"/>
        </w:rPr>
      </w:pPr>
    </w:p>
    <w:p w14:paraId="010BC3E4" w14:textId="2997603B" w:rsidR="00594010" w:rsidRPr="00207C54" w:rsidRDefault="005F1DA5" w:rsidP="0099151C">
      <w:pPr>
        <w:jc w:val="both"/>
        <w:rPr>
          <w:rFonts w:ascii="Times New Roman" w:hAnsi="Times New Roman" w:cs="Times New Roman"/>
          <w:b/>
          <w:bCs/>
          <w:sz w:val="21"/>
          <w:szCs w:val="21"/>
          <w:u w:val="single"/>
        </w:rPr>
      </w:pPr>
      <w:r w:rsidRPr="00207C54">
        <w:rPr>
          <w:rFonts w:ascii="Times New Roman" w:hAnsi="Times New Roman" w:cs="Times New Roman"/>
          <w:b/>
          <w:bCs/>
          <w:sz w:val="21"/>
          <w:szCs w:val="21"/>
          <w:u w:val="single"/>
        </w:rPr>
        <w:lastRenderedPageBreak/>
        <w:t>Objective</w:t>
      </w:r>
    </w:p>
    <w:p w14:paraId="139E420D" w14:textId="5E7C9517" w:rsidR="00CB3BFD" w:rsidRPr="00207C54" w:rsidRDefault="00CB3BFD" w:rsidP="0099151C">
      <w:pPr>
        <w:jc w:val="both"/>
        <w:rPr>
          <w:rFonts w:ascii="Times New Roman" w:hAnsi="Times New Roman" w:cs="Times New Roman"/>
          <w:sz w:val="21"/>
          <w:szCs w:val="21"/>
        </w:rPr>
      </w:pPr>
      <w:r w:rsidRPr="00207C54">
        <w:rPr>
          <w:rFonts w:ascii="Times New Roman" w:hAnsi="Times New Roman" w:cs="Times New Roman"/>
          <w:sz w:val="21"/>
          <w:szCs w:val="21"/>
        </w:rPr>
        <w:t xml:space="preserve">The objectives of this report are to lay out the key financial ratios of the company over and last few years and assess the financial health of the company for the FY 2021 and 2022 based on </w:t>
      </w:r>
      <w:r w:rsidR="0099151C" w:rsidRPr="00207C54">
        <w:rPr>
          <w:rFonts w:ascii="Times New Roman" w:hAnsi="Times New Roman" w:cs="Times New Roman"/>
          <w:sz w:val="21"/>
          <w:szCs w:val="21"/>
        </w:rPr>
        <w:t>its</w:t>
      </w:r>
      <w:r w:rsidRPr="00207C54">
        <w:rPr>
          <w:rFonts w:ascii="Times New Roman" w:hAnsi="Times New Roman" w:cs="Times New Roman"/>
          <w:sz w:val="21"/>
          <w:szCs w:val="21"/>
        </w:rPr>
        <w:t xml:space="preserve"> annual report.</w:t>
      </w:r>
    </w:p>
    <w:p w14:paraId="183A53E0" w14:textId="2508DB58" w:rsidR="00CB3BFD" w:rsidRPr="00207C54" w:rsidRDefault="00CB3BFD" w:rsidP="0099151C">
      <w:pPr>
        <w:jc w:val="both"/>
        <w:rPr>
          <w:rFonts w:ascii="Times New Roman" w:hAnsi="Times New Roman" w:cs="Times New Roman"/>
          <w:b/>
          <w:bCs/>
          <w:sz w:val="21"/>
          <w:szCs w:val="21"/>
          <w:u w:val="single"/>
        </w:rPr>
      </w:pPr>
      <w:r w:rsidRPr="00207C54">
        <w:rPr>
          <w:rFonts w:ascii="Times New Roman" w:hAnsi="Times New Roman" w:cs="Times New Roman"/>
          <w:b/>
          <w:bCs/>
          <w:sz w:val="21"/>
          <w:szCs w:val="21"/>
          <w:u w:val="single"/>
        </w:rPr>
        <w:t>Company description</w:t>
      </w:r>
    </w:p>
    <w:p w14:paraId="2B6A50D1" w14:textId="10A19E43" w:rsidR="00CB3BFD" w:rsidRPr="00207C54" w:rsidRDefault="00CB3BFD" w:rsidP="0099151C">
      <w:pPr>
        <w:jc w:val="both"/>
        <w:rPr>
          <w:rFonts w:ascii="Times New Roman" w:hAnsi="Times New Roman" w:cs="Times New Roman"/>
          <w:sz w:val="21"/>
          <w:szCs w:val="21"/>
        </w:rPr>
      </w:pPr>
      <w:r w:rsidRPr="00207C54">
        <w:rPr>
          <w:rFonts w:ascii="Times New Roman" w:hAnsi="Times New Roman" w:cs="Times New Roman"/>
          <w:sz w:val="21"/>
          <w:szCs w:val="21"/>
        </w:rPr>
        <w:t>Amazon.com, Inc.</w:t>
      </w:r>
      <w:r w:rsidR="0099151C" w:rsidRPr="00207C54">
        <w:rPr>
          <w:rFonts w:ascii="Times New Roman" w:hAnsi="Times New Roman" w:cs="Times New Roman"/>
          <w:sz w:val="21"/>
          <w:szCs w:val="21"/>
        </w:rPr>
        <w:t xml:space="preserve"> (The Company)</w:t>
      </w:r>
      <w:r w:rsidR="00971BBA" w:rsidRPr="00207C54">
        <w:rPr>
          <w:rFonts w:ascii="Times New Roman" w:hAnsi="Times New Roman" w:cs="Times New Roman"/>
          <w:sz w:val="21"/>
          <w:szCs w:val="21"/>
        </w:rPr>
        <w:t>, founded on July 5, 1994, by Jeff Bezos,</w:t>
      </w:r>
      <w:r w:rsidRPr="00207C54">
        <w:rPr>
          <w:rFonts w:ascii="Times New Roman" w:hAnsi="Times New Roman" w:cs="Times New Roman"/>
          <w:sz w:val="21"/>
          <w:szCs w:val="21"/>
        </w:rPr>
        <w:t xml:space="preserve"> is an American multinational technology company focusing on e-commerce, cloud computing, online advertising, digital streaming, and artificial intelligence. It is considered one of the Big Five American technology companies; the other four are Alphabet (parent company of Google), Apple, Meta (parent company of Facebook), and Microsoft.</w:t>
      </w:r>
    </w:p>
    <w:p w14:paraId="0C1F01D6" w14:textId="1F00E596" w:rsidR="00CB3BFD" w:rsidRPr="00207C54" w:rsidRDefault="0099151C" w:rsidP="0099151C">
      <w:pPr>
        <w:jc w:val="both"/>
        <w:rPr>
          <w:rFonts w:ascii="Times New Roman" w:hAnsi="Times New Roman" w:cs="Times New Roman"/>
          <w:b/>
          <w:bCs/>
          <w:sz w:val="21"/>
          <w:szCs w:val="21"/>
          <w:u w:val="single"/>
        </w:rPr>
      </w:pPr>
      <w:r w:rsidRPr="00207C54">
        <w:rPr>
          <w:rFonts w:ascii="Times New Roman" w:hAnsi="Times New Roman" w:cs="Times New Roman"/>
          <w:b/>
          <w:bCs/>
          <w:sz w:val="21"/>
          <w:szCs w:val="21"/>
          <w:u w:val="single"/>
        </w:rPr>
        <w:t>Financial health analysis</w:t>
      </w:r>
    </w:p>
    <w:p w14:paraId="0BF05BD2" w14:textId="2A57C6FA" w:rsidR="0099151C" w:rsidRPr="00207C54" w:rsidRDefault="0099151C" w:rsidP="0099151C">
      <w:pPr>
        <w:jc w:val="both"/>
        <w:rPr>
          <w:rFonts w:ascii="Times New Roman" w:hAnsi="Times New Roman" w:cs="Times New Roman"/>
          <w:sz w:val="21"/>
          <w:szCs w:val="21"/>
        </w:rPr>
      </w:pPr>
      <w:r w:rsidRPr="00207C54">
        <w:rPr>
          <w:rFonts w:ascii="Times New Roman" w:hAnsi="Times New Roman" w:cs="Times New Roman"/>
          <w:sz w:val="21"/>
          <w:szCs w:val="21"/>
        </w:rPr>
        <w:t>In this report we will analysing the financial health of Amazon based on its performance in the year 2021 and 2022. We will be using the following categories of ratios to understand the health of the Company: Liquidity, Solvency, Profitability, Asset turnover and Market Ratios. The ratios for the two years under assessment are compared to an average calculated by using the data of FY 2017- FY 2019.</w:t>
      </w:r>
    </w:p>
    <w:p w14:paraId="6104A34C" w14:textId="5994E5CE" w:rsidR="0099151C" w:rsidRPr="00207C54" w:rsidRDefault="002720D3" w:rsidP="002720D3">
      <w:pPr>
        <w:pStyle w:val="ListParagraph"/>
        <w:numPr>
          <w:ilvl w:val="0"/>
          <w:numId w:val="2"/>
        </w:numPr>
        <w:jc w:val="both"/>
        <w:rPr>
          <w:rFonts w:ascii="Times New Roman" w:hAnsi="Times New Roman" w:cs="Times New Roman"/>
          <w:b/>
          <w:bCs/>
          <w:sz w:val="21"/>
          <w:szCs w:val="21"/>
        </w:rPr>
      </w:pPr>
      <w:r w:rsidRPr="00207C54">
        <w:rPr>
          <w:rFonts w:ascii="Times New Roman" w:hAnsi="Times New Roman" w:cs="Times New Roman"/>
          <w:noProof/>
          <w:sz w:val="21"/>
          <w:szCs w:val="21"/>
        </w:rPr>
        <mc:AlternateContent>
          <mc:Choice Requires="wps">
            <w:drawing>
              <wp:anchor distT="45720" distB="45720" distL="114300" distR="114300" simplePos="0" relativeHeight="251659264" behindDoc="0" locked="0" layoutInCell="1" allowOverlap="1" wp14:anchorId="4D679056" wp14:editId="2DAA2F74">
                <wp:simplePos x="0" y="0"/>
                <wp:positionH relativeFrom="column">
                  <wp:posOffset>2800350</wp:posOffset>
                </wp:positionH>
                <wp:positionV relativeFrom="paragraph">
                  <wp:posOffset>181610</wp:posOffset>
                </wp:positionV>
                <wp:extent cx="3200400" cy="16478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647825"/>
                        </a:xfrm>
                        <a:prstGeom prst="rect">
                          <a:avLst/>
                        </a:prstGeom>
                        <a:solidFill>
                          <a:srgbClr val="FFFFFF"/>
                        </a:solidFill>
                        <a:ln w="9525">
                          <a:noFill/>
                          <a:miter lim="800000"/>
                          <a:headEnd/>
                          <a:tailEnd/>
                        </a:ln>
                      </wps:spPr>
                      <wps:txbx>
                        <w:txbxContent>
                          <w:p w14:paraId="016043DE" w14:textId="6701332A" w:rsidR="002720D3" w:rsidRPr="00BA3E74" w:rsidRDefault="00BA3E74" w:rsidP="00BA3E74">
                            <w:pPr>
                              <w:jc w:val="both"/>
                              <w:rPr>
                                <w:rFonts w:ascii="Times New Roman" w:hAnsi="Times New Roman" w:cs="Times New Roman"/>
                              </w:rPr>
                            </w:pPr>
                            <w:r w:rsidRPr="00BA3E74">
                              <w:rPr>
                                <w:rFonts w:ascii="Times New Roman" w:hAnsi="Times New Roman" w:cs="Times New Roman"/>
                              </w:rPr>
                              <w:t xml:space="preserve">The liquidity ratios presented in the chart indicate that the company's liquidity has generally remained around </w:t>
                            </w:r>
                            <w:r>
                              <w:rPr>
                                <w:rFonts w:ascii="Times New Roman" w:hAnsi="Times New Roman" w:cs="Times New Roman"/>
                              </w:rPr>
                              <w:t>its</w:t>
                            </w:r>
                            <w:r w:rsidRPr="00BA3E74">
                              <w:rPr>
                                <w:rFonts w:ascii="Times New Roman" w:hAnsi="Times New Roman" w:cs="Times New Roman"/>
                              </w:rPr>
                              <w:t xml:space="preserve"> average. However, a slight decrease is observed in the ratios for FY 2022. This decline can be attributed to the </w:t>
                            </w:r>
                            <w:r w:rsidR="007D75B0">
                              <w:rPr>
                                <w:rFonts w:ascii="Times New Roman" w:hAnsi="Times New Roman" w:cs="Times New Roman"/>
                              </w:rPr>
                              <w:t xml:space="preserve">valuation loss </w:t>
                            </w:r>
                            <w:r w:rsidR="00370380" w:rsidRPr="00370380">
                              <w:rPr>
                                <w:rFonts w:ascii="Times New Roman" w:hAnsi="Times New Roman" w:cs="Times New Roman"/>
                              </w:rPr>
                              <w:t>in Rivian Automotive, Inc and sale of other securities</w:t>
                            </w:r>
                            <w:r w:rsidRPr="00BA3E74">
                              <w:rPr>
                                <w:rFonts w:ascii="Times New Roman" w:hAnsi="Times New Roman" w:cs="Times New Roman"/>
                              </w:rPr>
                              <w:t xml:space="preserve"> during that year</w:t>
                            </w:r>
                            <w:r w:rsidR="00370380">
                              <w:rPr>
                                <w:rFonts w:ascii="Times New Roman" w:hAnsi="Times New Roman" w:cs="Times New Roman"/>
                              </w:rPr>
                              <w:t>.</w:t>
                            </w:r>
                            <w:r w:rsidRPr="00BA3E74">
                              <w:rPr>
                                <w:rFonts w:ascii="Times New Roman" w:hAnsi="Times New Roman" w:cs="Times New Roman"/>
                              </w:rPr>
                              <w:t xml:space="preserve"> </w:t>
                            </w:r>
                            <w:r w:rsidR="009F2BAE">
                              <w:rPr>
                                <w:rFonts w:ascii="Times New Roman" w:hAnsi="Times New Roman" w:cs="Times New Roman"/>
                              </w:rPr>
                              <w:t>We can also interpret that The Company has adequate liquidity and should be able to meet its short-term obligations.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679056" id="Text Box 2" o:spid="_x0000_s1027" type="#_x0000_t202" style="position:absolute;left:0;text-align:left;margin-left:220.5pt;margin-top:14.3pt;width:252pt;height:129.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" stroked="f">
                <v:textbox>
                  <w:txbxContent>
                    <w:p w14:paraId="016043DE" w14:textId="6701332A" w:rsidR="002720D3" w:rsidRPr="00BA3E74" w:rsidRDefault="00BA3E74" w:rsidP="00BA3E74">
                      <w:pPr>
                        <w:jc w:val="both"/>
                        <w:rPr>
                          <w:rFonts w:ascii="Times New Roman" w:hAnsi="Times New Roman" w:cs="Times New Roman"/>
                        </w:rPr>
                      </w:pPr>
                      <w:r w:rsidRPr="00BA3E74">
                        <w:rPr>
                          <w:rFonts w:ascii="Times New Roman" w:hAnsi="Times New Roman" w:cs="Times New Roman"/>
                        </w:rPr>
                        <w:t xml:space="preserve">The liquidity ratios presented in the chart indicate that the company's liquidity has generally remained around </w:t>
                      </w:r>
                      <w:r>
                        <w:rPr>
                          <w:rFonts w:ascii="Times New Roman" w:hAnsi="Times New Roman" w:cs="Times New Roman"/>
                        </w:rPr>
                        <w:t>its</w:t>
                      </w:r>
                      <w:r w:rsidRPr="00BA3E74">
                        <w:rPr>
                          <w:rFonts w:ascii="Times New Roman" w:hAnsi="Times New Roman" w:cs="Times New Roman"/>
                        </w:rPr>
                        <w:t xml:space="preserve"> average. However, a slight decrease is observed in the ratios for FY 2022. This decline can be attributed to the </w:t>
                      </w:r>
                      <w:r w:rsidR="007D75B0">
                        <w:rPr>
                          <w:rFonts w:ascii="Times New Roman" w:hAnsi="Times New Roman" w:cs="Times New Roman"/>
                        </w:rPr>
                        <w:t xml:space="preserve">valuation loss </w:t>
                      </w:r>
                      <w:r w:rsidR="00370380" w:rsidRPr="00370380">
                        <w:rPr>
                          <w:rFonts w:ascii="Times New Roman" w:hAnsi="Times New Roman" w:cs="Times New Roman"/>
                        </w:rPr>
                        <w:t>in Rivian Automotive, Inc and sale of other securities</w:t>
                      </w:r>
                      <w:r w:rsidRPr="00BA3E74">
                        <w:rPr>
                          <w:rFonts w:ascii="Times New Roman" w:hAnsi="Times New Roman" w:cs="Times New Roman"/>
                        </w:rPr>
                        <w:t xml:space="preserve"> during that year</w:t>
                      </w:r>
                      <w:r w:rsidR="00370380">
                        <w:rPr>
                          <w:rFonts w:ascii="Times New Roman" w:hAnsi="Times New Roman" w:cs="Times New Roman"/>
                        </w:rPr>
                        <w:t>.</w:t>
                      </w:r>
                      <w:r w:rsidRPr="00BA3E74">
                        <w:rPr>
                          <w:rFonts w:ascii="Times New Roman" w:hAnsi="Times New Roman" w:cs="Times New Roman"/>
                        </w:rPr>
                        <w:t xml:space="preserve"> </w:t>
                      </w:r>
                      <w:r w:rsidR="009F2BAE">
                        <w:rPr>
                          <w:rFonts w:ascii="Times New Roman" w:hAnsi="Times New Roman" w:cs="Times New Roman"/>
                        </w:rPr>
                        <w:t>We can also interpret that The Company has adequate liquidity and should be able to meet its short-term obligations.</w:t>
                      </w:r>
                    </w:p>
                  </w:txbxContent>
                </v:textbox>
                <w10:wrap type="square"/>
              </v:shape>
            </w:pict>
          </mc:Fallback>
        </mc:AlternateContent>
      </w:r>
      <w:r w:rsidRPr="00207C54">
        <w:rPr>
          <w:rFonts w:ascii="Times New Roman" w:hAnsi="Times New Roman" w:cs="Times New Roman"/>
          <w:b/>
          <w:bCs/>
          <w:sz w:val="21"/>
          <w:szCs w:val="21"/>
        </w:rPr>
        <w:t>Liquidity</w:t>
      </w:r>
    </w:p>
    <w:p w14:paraId="450E8DC1" w14:textId="7670724F" w:rsidR="0099151C" w:rsidRPr="00207C54" w:rsidRDefault="0099151C" w:rsidP="0099151C">
      <w:pPr>
        <w:jc w:val="both"/>
        <w:rPr>
          <w:rFonts w:ascii="Times New Roman" w:hAnsi="Times New Roman" w:cs="Times New Roman"/>
          <w:sz w:val="21"/>
          <w:szCs w:val="21"/>
        </w:rPr>
      </w:pPr>
      <w:r w:rsidRPr="00207C54">
        <w:rPr>
          <w:rFonts w:ascii="Times New Roman" w:hAnsi="Times New Roman" w:cs="Times New Roman"/>
          <w:noProof/>
          <w:sz w:val="21"/>
          <w:szCs w:val="21"/>
        </w:rPr>
        <w:drawing>
          <wp:inline distT="0" distB="0" distL="0" distR="0" wp14:anchorId="45BCAC8A" wp14:editId="5710C948">
            <wp:extent cx="2547938" cy="1543050"/>
            <wp:effectExtent l="0" t="0" r="5080" b="0"/>
            <wp:docPr id="1700525772" name="Chart 1">
              <a:extLst xmlns:a="http://schemas.openxmlformats.org/drawingml/2006/main">
                <a:ext uri="{FF2B5EF4-FFF2-40B4-BE49-F238E27FC236}">
                  <a16:creationId xmlns:a16="http://schemas.microsoft.com/office/drawing/2014/main" id="{6C68183A-239B-4636-C800-0FEA972D3F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0D69894" w14:textId="77777777" w:rsidR="00971BBA" w:rsidRPr="00207C54" w:rsidRDefault="003B0FB6" w:rsidP="0099151C">
      <w:pPr>
        <w:jc w:val="both"/>
        <w:rPr>
          <w:rFonts w:ascii="Times New Roman" w:hAnsi="Times New Roman" w:cs="Times New Roman"/>
          <w:sz w:val="21"/>
          <w:szCs w:val="21"/>
        </w:rPr>
      </w:pPr>
      <w:r w:rsidRPr="00207C54">
        <w:rPr>
          <w:rFonts w:ascii="Times New Roman" w:hAnsi="Times New Roman" w:cs="Times New Roman"/>
          <w:noProof/>
          <w:sz w:val="21"/>
          <w:szCs w:val="21"/>
        </w:rPr>
        <mc:AlternateContent>
          <mc:Choice Requires="wps">
            <w:drawing>
              <wp:anchor distT="45720" distB="45720" distL="114300" distR="114300" simplePos="0" relativeHeight="251661312" behindDoc="0" locked="0" layoutInCell="1" allowOverlap="1" wp14:anchorId="5AA1920A" wp14:editId="6E410A39">
                <wp:simplePos x="0" y="0"/>
                <wp:positionH relativeFrom="margin">
                  <wp:align>left</wp:align>
                </wp:positionH>
                <wp:positionV relativeFrom="paragraph">
                  <wp:posOffset>101600</wp:posOffset>
                </wp:positionV>
                <wp:extent cx="2880995" cy="2626360"/>
                <wp:effectExtent l="0" t="0" r="0" b="2540"/>
                <wp:wrapSquare wrapText="bothSides"/>
                <wp:docPr id="1259334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995" cy="2626659"/>
                        </a:xfrm>
                        <a:prstGeom prst="rect">
                          <a:avLst/>
                        </a:prstGeom>
                        <a:solidFill>
                          <a:srgbClr val="FFFFFF"/>
                        </a:solidFill>
                        <a:ln w="9525">
                          <a:noFill/>
                          <a:miter lim="800000"/>
                          <a:headEnd/>
                          <a:tailEnd/>
                        </a:ln>
                      </wps:spPr>
                      <wps:txbx>
                        <w:txbxContent>
                          <w:p w14:paraId="5C6DC0B2" w14:textId="77777777" w:rsidR="00971BBA" w:rsidRDefault="003B0FB6" w:rsidP="003B0FB6">
                            <w:pPr>
                              <w:jc w:val="both"/>
                              <w:rPr>
                                <w:rFonts w:ascii="Times New Roman" w:hAnsi="Times New Roman" w:cs="Times New Roman"/>
                              </w:rPr>
                            </w:pPr>
                            <w:r w:rsidRPr="003B0FB6">
                              <w:rPr>
                                <w:rFonts w:ascii="Times New Roman" w:hAnsi="Times New Roman" w:cs="Times New Roman"/>
                              </w:rPr>
                              <w:t xml:space="preserve">The company exhibits a negative cash conversion cycle, a common characteristic within the e-commerce industry. This indicates efficient inventory and receivables management, as the company requires less time to convert them into cash compared to the time it takes to pay suppliers. </w:t>
                            </w:r>
                          </w:p>
                          <w:p w14:paraId="65800D99" w14:textId="6A759D18" w:rsidR="003B0FB6" w:rsidRPr="003B0FB6" w:rsidRDefault="003B0FB6" w:rsidP="003B0FB6">
                            <w:pPr>
                              <w:jc w:val="both"/>
                              <w:rPr>
                                <w:rFonts w:ascii="Times New Roman" w:hAnsi="Times New Roman" w:cs="Times New Roman"/>
                              </w:rPr>
                            </w:pPr>
                            <w:r w:rsidRPr="003B0FB6">
                              <w:rPr>
                                <w:rFonts w:ascii="Times New Roman" w:hAnsi="Times New Roman" w:cs="Times New Roman"/>
                              </w:rPr>
                              <w:t>Consequently, the company is less susceptible to experiencing significant working capital challenges</w:t>
                            </w:r>
                            <w:r w:rsidR="00971BBA">
                              <w:rPr>
                                <w:rFonts w:ascii="Times New Roman" w:hAnsi="Times New Roman" w:cs="Times New Roman"/>
                              </w:rPr>
                              <w:t xml:space="preserve">, except in the FY 2022 (Fig 1.3) which experienced a negative working capital due to the </w:t>
                            </w:r>
                            <w:r w:rsidR="007D75B0">
                              <w:rPr>
                                <w:rFonts w:ascii="Times New Roman" w:hAnsi="Times New Roman" w:cs="Times New Roman"/>
                              </w:rPr>
                              <w:t>decrease in valuation</w:t>
                            </w:r>
                            <w:r w:rsidR="00971BBA">
                              <w:rPr>
                                <w:rFonts w:ascii="Times New Roman" w:hAnsi="Times New Roman" w:cs="Times New Roman"/>
                              </w:rPr>
                              <w:t xml:space="preserve"> of its </w:t>
                            </w:r>
                            <w:r w:rsidR="007D75B0">
                              <w:rPr>
                                <w:rFonts w:ascii="Times New Roman" w:hAnsi="Times New Roman" w:cs="Times New Roman"/>
                              </w:rPr>
                              <w:t xml:space="preserve">investment in </w:t>
                            </w:r>
                            <w:r w:rsidR="00370380" w:rsidRPr="00370380">
                              <w:rPr>
                                <w:rFonts w:ascii="Times New Roman" w:hAnsi="Times New Roman" w:cs="Times New Roman"/>
                              </w:rPr>
                              <w:t>Rivian Automotive, Inc</w:t>
                            </w:r>
                            <w:r w:rsidR="00370380">
                              <w:rPr>
                                <w:rFonts w:ascii="Times New Roman" w:hAnsi="Times New Roman" w:cs="Times New Roman"/>
                              </w:rPr>
                              <w:t xml:space="preserve"> and sale of other securities</w:t>
                            </w:r>
                            <w:r w:rsidR="00971BBA">
                              <w:rPr>
                                <w:rFonts w:ascii="Times New Roman" w:hAnsi="Times New Roman" w:cs="Times New Roma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A1920A" id="_x0000_s1028" type="#_x0000_t202" style="position:absolute;left:0;text-align:left;margin-left:0;margin-top:8pt;width:226.85pt;height:206.8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" stroked="f">
                <v:textbox>
                  <w:txbxContent>
                    <w:p w14:paraId="5C6DC0B2" w14:textId="77777777" w:rsidR="00971BBA" w:rsidRDefault="003B0FB6" w:rsidP="003B0FB6">
                      <w:pPr>
                        <w:jc w:val="both"/>
                        <w:rPr>
                          <w:rFonts w:ascii="Times New Roman" w:hAnsi="Times New Roman" w:cs="Times New Roman"/>
                        </w:rPr>
                      </w:pPr>
                      <w:r w:rsidRPr="003B0FB6">
                        <w:rPr>
                          <w:rFonts w:ascii="Times New Roman" w:hAnsi="Times New Roman" w:cs="Times New Roman"/>
                        </w:rPr>
                        <w:t xml:space="preserve">The company exhibits a negative cash conversion cycle, a common characteristic within the e-commerce industry. This indicates efficient inventory and receivables management, as the company requires less time to convert them into cash compared to the time it takes to pay suppliers. </w:t>
                      </w:r>
                    </w:p>
                    <w:p w14:paraId="65800D99" w14:textId="6A759D18" w:rsidR="003B0FB6" w:rsidRPr="003B0FB6" w:rsidRDefault="003B0FB6" w:rsidP="003B0FB6">
                      <w:pPr>
                        <w:jc w:val="both"/>
                        <w:rPr>
                          <w:rFonts w:ascii="Times New Roman" w:hAnsi="Times New Roman" w:cs="Times New Roman"/>
                        </w:rPr>
                      </w:pPr>
                      <w:r w:rsidRPr="003B0FB6">
                        <w:rPr>
                          <w:rFonts w:ascii="Times New Roman" w:hAnsi="Times New Roman" w:cs="Times New Roman"/>
                        </w:rPr>
                        <w:t>Consequently, the company is less susceptible to experiencing significant working capital challenges</w:t>
                      </w:r>
                      <w:r w:rsidR="00971BBA">
                        <w:rPr>
                          <w:rFonts w:ascii="Times New Roman" w:hAnsi="Times New Roman" w:cs="Times New Roman"/>
                        </w:rPr>
                        <w:t xml:space="preserve">, except in the FY 2022 (Fig 1.3) which experienced a negative working capital due to the </w:t>
                      </w:r>
                      <w:r w:rsidR="007D75B0">
                        <w:rPr>
                          <w:rFonts w:ascii="Times New Roman" w:hAnsi="Times New Roman" w:cs="Times New Roman"/>
                        </w:rPr>
                        <w:t>decrease in valuation</w:t>
                      </w:r>
                      <w:r w:rsidR="00971BBA">
                        <w:rPr>
                          <w:rFonts w:ascii="Times New Roman" w:hAnsi="Times New Roman" w:cs="Times New Roman"/>
                        </w:rPr>
                        <w:t xml:space="preserve"> of its </w:t>
                      </w:r>
                      <w:r w:rsidR="007D75B0">
                        <w:rPr>
                          <w:rFonts w:ascii="Times New Roman" w:hAnsi="Times New Roman" w:cs="Times New Roman"/>
                        </w:rPr>
                        <w:t xml:space="preserve">investment in </w:t>
                      </w:r>
                      <w:r w:rsidR="00370380" w:rsidRPr="00370380">
                        <w:rPr>
                          <w:rFonts w:ascii="Times New Roman" w:hAnsi="Times New Roman" w:cs="Times New Roman"/>
                        </w:rPr>
                        <w:t>Rivian Automotive, Inc</w:t>
                      </w:r>
                      <w:r w:rsidR="00370380">
                        <w:rPr>
                          <w:rFonts w:ascii="Times New Roman" w:hAnsi="Times New Roman" w:cs="Times New Roman"/>
                        </w:rPr>
                        <w:t xml:space="preserve"> and sale of other securities</w:t>
                      </w:r>
                      <w:r w:rsidR="00971BBA">
                        <w:rPr>
                          <w:rFonts w:ascii="Times New Roman" w:hAnsi="Times New Roman" w:cs="Times New Roman"/>
                        </w:rPr>
                        <w:t>.</w:t>
                      </w:r>
                    </w:p>
                  </w:txbxContent>
                </v:textbox>
                <w10:wrap type="square" anchorx="margin"/>
              </v:shape>
            </w:pict>
          </mc:Fallback>
        </mc:AlternateContent>
      </w:r>
      <w:r w:rsidRPr="00207C54">
        <w:rPr>
          <w:rFonts w:ascii="Times New Roman" w:hAnsi="Times New Roman" w:cs="Times New Roman"/>
          <w:sz w:val="21"/>
          <w:szCs w:val="21"/>
        </w:rPr>
        <w:t xml:space="preserve">              </w:t>
      </w:r>
      <w:r w:rsidRPr="00207C54">
        <w:rPr>
          <w:rFonts w:ascii="Times New Roman" w:hAnsi="Times New Roman" w:cs="Times New Roman"/>
          <w:noProof/>
          <w:sz w:val="21"/>
          <w:szCs w:val="21"/>
        </w:rPr>
        <w:drawing>
          <wp:inline distT="0" distB="0" distL="0" distR="0" wp14:anchorId="5A753D83" wp14:editId="1AEE241F">
            <wp:extent cx="2705100" cy="1352550"/>
            <wp:effectExtent l="0" t="0" r="0" b="0"/>
            <wp:docPr id="451952137" name="Chart 1">
              <a:extLst xmlns:a="http://schemas.openxmlformats.org/drawingml/2006/main">
                <a:ext uri="{FF2B5EF4-FFF2-40B4-BE49-F238E27FC236}">
                  <a16:creationId xmlns:a16="http://schemas.microsoft.com/office/drawing/2014/main" id="{B1A1B109-6AEC-7E1C-F23C-1A30ABF454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207C54">
        <w:rPr>
          <w:rFonts w:ascii="Times New Roman" w:hAnsi="Times New Roman" w:cs="Times New Roman"/>
          <w:sz w:val="21"/>
          <w:szCs w:val="21"/>
        </w:rPr>
        <w:t xml:space="preserve">     </w:t>
      </w:r>
    </w:p>
    <w:p w14:paraId="18FD5DA8" w14:textId="77777777" w:rsidR="006D4756" w:rsidRPr="00207C54" w:rsidRDefault="00971BBA" w:rsidP="0099151C">
      <w:pPr>
        <w:jc w:val="both"/>
        <w:rPr>
          <w:rFonts w:ascii="Times New Roman" w:hAnsi="Times New Roman" w:cs="Times New Roman"/>
          <w:sz w:val="21"/>
          <w:szCs w:val="21"/>
        </w:rPr>
      </w:pPr>
      <w:r w:rsidRPr="00207C54">
        <w:rPr>
          <w:rFonts w:ascii="Times New Roman" w:hAnsi="Times New Roman" w:cs="Times New Roman"/>
          <w:noProof/>
          <w:sz w:val="21"/>
          <w:szCs w:val="21"/>
        </w:rPr>
        <w:drawing>
          <wp:inline distT="0" distB="0" distL="0" distR="0" wp14:anchorId="3CE574BF" wp14:editId="778E2A6C">
            <wp:extent cx="2728912" cy="1514475"/>
            <wp:effectExtent l="0" t="0" r="0" b="0"/>
            <wp:docPr id="660823016" name="Chart 1">
              <a:extLst xmlns:a="http://schemas.openxmlformats.org/drawingml/2006/main">
                <a:ext uri="{FF2B5EF4-FFF2-40B4-BE49-F238E27FC236}">
                  <a16:creationId xmlns:a16="http://schemas.microsoft.com/office/drawing/2014/main" id="{0AD0CAD4-75B0-CAD2-F33B-D647D41E4A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3B0FB6" w:rsidRPr="00207C54">
        <w:rPr>
          <w:rFonts w:ascii="Times New Roman" w:hAnsi="Times New Roman" w:cs="Times New Roman"/>
          <w:sz w:val="21"/>
          <w:szCs w:val="21"/>
        </w:rPr>
        <w:t xml:space="preserve">       </w:t>
      </w:r>
    </w:p>
    <w:p w14:paraId="7257705B" w14:textId="2191347C" w:rsidR="009F2BAE" w:rsidRPr="00207C54" w:rsidRDefault="006D4756" w:rsidP="006D4756">
      <w:pPr>
        <w:pStyle w:val="ListParagraph"/>
        <w:numPr>
          <w:ilvl w:val="0"/>
          <w:numId w:val="2"/>
        </w:numPr>
        <w:jc w:val="both"/>
        <w:rPr>
          <w:rFonts w:ascii="Times New Roman" w:hAnsi="Times New Roman" w:cs="Times New Roman"/>
          <w:b/>
          <w:bCs/>
          <w:sz w:val="21"/>
          <w:szCs w:val="21"/>
        </w:rPr>
      </w:pPr>
      <w:r w:rsidRPr="00207C54">
        <w:rPr>
          <w:rFonts w:ascii="Times New Roman" w:hAnsi="Times New Roman" w:cs="Times New Roman"/>
          <w:b/>
          <w:bCs/>
          <w:sz w:val="21"/>
          <w:szCs w:val="21"/>
        </w:rPr>
        <w:t>Profitability</w:t>
      </w:r>
    </w:p>
    <w:p w14:paraId="49AE6BEC" w14:textId="4E1AF784" w:rsidR="006D4756" w:rsidRPr="00207C54" w:rsidRDefault="00370380" w:rsidP="006D4756">
      <w:pPr>
        <w:jc w:val="both"/>
        <w:rPr>
          <w:rFonts w:ascii="Times New Roman" w:hAnsi="Times New Roman" w:cs="Times New Roman"/>
          <w:b/>
          <w:bCs/>
          <w:sz w:val="21"/>
          <w:szCs w:val="21"/>
        </w:rPr>
      </w:pPr>
      <w:r w:rsidRPr="00207C54">
        <w:rPr>
          <w:rFonts w:ascii="Times New Roman" w:hAnsi="Times New Roman" w:cs="Times New Roman"/>
          <w:b/>
          <w:bCs/>
          <w:noProof/>
          <w:sz w:val="21"/>
          <w:szCs w:val="21"/>
        </w:rPr>
        <mc:AlternateContent>
          <mc:Choice Requires="wps">
            <w:drawing>
              <wp:anchor distT="45720" distB="45720" distL="114300" distR="114300" simplePos="0" relativeHeight="251663360" behindDoc="0" locked="0" layoutInCell="1" allowOverlap="1" wp14:anchorId="7B9670A5" wp14:editId="7DB7F3CE">
                <wp:simplePos x="0" y="0"/>
                <wp:positionH relativeFrom="column">
                  <wp:posOffset>2940050</wp:posOffset>
                </wp:positionH>
                <wp:positionV relativeFrom="paragraph">
                  <wp:posOffset>18415</wp:posOffset>
                </wp:positionV>
                <wp:extent cx="2819400" cy="1528445"/>
                <wp:effectExtent l="0" t="0" r="0" b="0"/>
                <wp:wrapSquare wrapText="bothSides"/>
                <wp:docPr id="16569512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1528445"/>
                        </a:xfrm>
                        <a:prstGeom prst="rect">
                          <a:avLst/>
                        </a:prstGeom>
                        <a:solidFill>
                          <a:srgbClr val="FFFFFF"/>
                        </a:solidFill>
                        <a:ln w="9525">
                          <a:noFill/>
                          <a:miter lim="800000"/>
                          <a:headEnd/>
                          <a:tailEnd/>
                        </a:ln>
                      </wps:spPr>
                      <wps:txbx>
                        <w:txbxContent>
                          <w:p w14:paraId="7469BC8F" w14:textId="6C02C192" w:rsidR="00370380" w:rsidRPr="00370380" w:rsidRDefault="00370380" w:rsidP="00370380">
                            <w:pPr>
                              <w:jc w:val="both"/>
                              <w:rPr>
                                <w:rFonts w:ascii="Times New Roman" w:hAnsi="Times New Roman" w:cs="Times New Roman"/>
                              </w:rPr>
                            </w:pPr>
                            <w:r w:rsidRPr="00370380">
                              <w:rPr>
                                <w:rFonts w:ascii="Times New Roman" w:hAnsi="Times New Roman" w:cs="Times New Roman"/>
                              </w:rPr>
                              <w:t>The Profitability of the Company has been healthy over the two years and generally remained around its average. However, the company did experience a net loss during the FY 2022</w:t>
                            </w:r>
                            <w:r w:rsidR="00917434">
                              <w:rPr>
                                <w:rFonts w:ascii="Times New Roman" w:hAnsi="Times New Roman" w:cs="Times New Roman"/>
                              </w:rPr>
                              <w:t xml:space="preserve">. This is owed to increase in the technology and content expenses </w:t>
                            </w:r>
                            <w:proofErr w:type="gramStart"/>
                            <w:r w:rsidR="00917434">
                              <w:rPr>
                                <w:rFonts w:ascii="Times New Roman" w:hAnsi="Times New Roman" w:cs="Times New Roman"/>
                              </w:rPr>
                              <w:t>and also</w:t>
                            </w:r>
                            <w:proofErr w:type="gramEnd"/>
                            <w:r w:rsidRPr="00370380">
                              <w:rPr>
                                <w:rFonts w:ascii="Times New Roman" w:hAnsi="Times New Roman" w:cs="Times New Roman"/>
                              </w:rPr>
                              <w:t xml:space="preserve"> to the reduction in valuation of its investment due to sale restrictions.</w:t>
                            </w:r>
                            <w:r w:rsidR="00917434">
                              <w:rPr>
                                <w:rFonts w:ascii="Times New Roman" w:hAnsi="Times New Roman" w:cs="Times New Roman"/>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9670A5" id="_x0000_s1029" type="#_x0000_t202" style="position:absolute;left:0;text-align:left;margin-left:231.5pt;margin-top:1.45pt;width:222pt;height:120.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" stroked="f">
                <v:textbox>
                  <w:txbxContent>
                    <w:p w14:paraId="7469BC8F" w14:textId="6C02C192" w:rsidR="00370380" w:rsidRPr="00370380" w:rsidRDefault="00370380" w:rsidP="00370380">
                      <w:pPr>
                        <w:jc w:val="both"/>
                        <w:rPr>
                          <w:rFonts w:ascii="Times New Roman" w:hAnsi="Times New Roman" w:cs="Times New Roman"/>
                        </w:rPr>
                      </w:pPr>
                      <w:r w:rsidRPr="00370380">
                        <w:rPr>
                          <w:rFonts w:ascii="Times New Roman" w:hAnsi="Times New Roman" w:cs="Times New Roman"/>
                        </w:rPr>
                        <w:t>The Profitability of the Company has been healthy over the two years and generally remained around its average. However, the company did experience a net loss during the FY 2022</w:t>
                      </w:r>
                      <w:r w:rsidR="00917434">
                        <w:rPr>
                          <w:rFonts w:ascii="Times New Roman" w:hAnsi="Times New Roman" w:cs="Times New Roman"/>
                        </w:rPr>
                        <w:t xml:space="preserve">. This is owed to increase in the technology and content expenses </w:t>
                      </w:r>
                      <w:proofErr w:type="gramStart"/>
                      <w:r w:rsidR="00917434">
                        <w:rPr>
                          <w:rFonts w:ascii="Times New Roman" w:hAnsi="Times New Roman" w:cs="Times New Roman"/>
                        </w:rPr>
                        <w:t>and also</w:t>
                      </w:r>
                      <w:proofErr w:type="gramEnd"/>
                      <w:r w:rsidRPr="00370380">
                        <w:rPr>
                          <w:rFonts w:ascii="Times New Roman" w:hAnsi="Times New Roman" w:cs="Times New Roman"/>
                        </w:rPr>
                        <w:t xml:space="preserve"> to the reduction in valuation of its investment due to sale restrictions.</w:t>
                      </w:r>
                      <w:r w:rsidR="00917434">
                        <w:rPr>
                          <w:rFonts w:ascii="Times New Roman" w:hAnsi="Times New Roman" w:cs="Times New Roman"/>
                        </w:rPr>
                        <w:t xml:space="preserve"> </w:t>
                      </w:r>
                    </w:p>
                  </w:txbxContent>
                </v:textbox>
                <w10:wrap type="square"/>
              </v:shape>
            </w:pict>
          </mc:Fallback>
        </mc:AlternateContent>
      </w:r>
      <w:r w:rsidR="006D4756" w:rsidRPr="00207C54">
        <w:rPr>
          <w:rFonts w:ascii="Times New Roman" w:hAnsi="Times New Roman" w:cs="Times New Roman"/>
          <w:noProof/>
          <w:sz w:val="21"/>
          <w:szCs w:val="21"/>
        </w:rPr>
        <w:drawing>
          <wp:inline distT="0" distB="0" distL="0" distR="0" wp14:anchorId="2231143E" wp14:editId="6CD9F104">
            <wp:extent cx="2628900" cy="1633538"/>
            <wp:effectExtent l="0" t="0" r="0" b="5080"/>
            <wp:docPr id="1242955071" name="Chart 1">
              <a:extLst xmlns:a="http://schemas.openxmlformats.org/drawingml/2006/main">
                <a:ext uri="{FF2B5EF4-FFF2-40B4-BE49-F238E27FC236}">
                  <a16:creationId xmlns:a16="http://schemas.microsoft.com/office/drawing/2014/main" id="{11B9A62E-A55D-57B8-3805-EE72E2640C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249C24A" w14:textId="77777777" w:rsidR="003B6759" w:rsidRPr="00207C54" w:rsidRDefault="003B6759" w:rsidP="005F1DA5">
      <w:pPr>
        <w:pStyle w:val="ListParagraph"/>
        <w:ind w:left="360"/>
        <w:jc w:val="both"/>
        <w:rPr>
          <w:rFonts w:ascii="Times New Roman" w:hAnsi="Times New Roman" w:cs="Times New Roman"/>
          <w:b/>
          <w:bCs/>
          <w:sz w:val="21"/>
          <w:szCs w:val="21"/>
        </w:rPr>
      </w:pPr>
    </w:p>
    <w:p w14:paraId="1F04C0C8" w14:textId="77777777" w:rsidR="00207C54" w:rsidRPr="00207C54" w:rsidRDefault="00207C54" w:rsidP="00207C54">
      <w:pPr>
        <w:jc w:val="both"/>
        <w:rPr>
          <w:rFonts w:ascii="Times New Roman" w:hAnsi="Times New Roman" w:cs="Times New Roman"/>
          <w:b/>
          <w:bCs/>
          <w:sz w:val="21"/>
          <w:szCs w:val="21"/>
        </w:rPr>
      </w:pPr>
    </w:p>
    <w:p w14:paraId="15048AA4" w14:textId="77777777" w:rsidR="00207C54" w:rsidRPr="00207C54" w:rsidRDefault="00207C54" w:rsidP="00207C54">
      <w:pPr>
        <w:jc w:val="both"/>
        <w:rPr>
          <w:rFonts w:ascii="Times New Roman" w:hAnsi="Times New Roman" w:cs="Times New Roman"/>
          <w:b/>
          <w:bCs/>
          <w:sz w:val="21"/>
          <w:szCs w:val="21"/>
        </w:rPr>
      </w:pPr>
    </w:p>
    <w:p w14:paraId="6296CD9F" w14:textId="2F93959B" w:rsidR="00941EF3" w:rsidRPr="00207C54" w:rsidRDefault="00941EF3" w:rsidP="00941EF3">
      <w:pPr>
        <w:pStyle w:val="ListParagraph"/>
        <w:numPr>
          <w:ilvl w:val="0"/>
          <w:numId w:val="2"/>
        </w:numPr>
        <w:jc w:val="both"/>
        <w:rPr>
          <w:rFonts w:ascii="Times New Roman" w:hAnsi="Times New Roman" w:cs="Times New Roman"/>
          <w:b/>
          <w:bCs/>
          <w:sz w:val="21"/>
          <w:szCs w:val="21"/>
        </w:rPr>
      </w:pPr>
      <w:r w:rsidRPr="00207C54">
        <w:rPr>
          <w:rFonts w:ascii="Times New Roman" w:hAnsi="Times New Roman" w:cs="Times New Roman"/>
          <w:b/>
          <w:bCs/>
          <w:sz w:val="21"/>
          <w:szCs w:val="21"/>
        </w:rPr>
        <w:t>Solvency/ debt management</w:t>
      </w:r>
    </w:p>
    <w:p w14:paraId="31D165E9" w14:textId="3994618D" w:rsidR="00941EF3" w:rsidRPr="00207C54" w:rsidRDefault="00CF106F" w:rsidP="00941EF3">
      <w:pPr>
        <w:jc w:val="both"/>
        <w:rPr>
          <w:rFonts w:ascii="Times New Roman" w:hAnsi="Times New Roman" w:cs="Times New Roman"/>
          <w:b/>
          <w:bCs/>
          <w:sz w:val="21"/>
          <w:szCs w:val="21"/>
        </w:rPr>
      </w:pPr>
      <w:r w:rsidRPr="00207C54">
        <w:rPr>
          <w:rFonts w:ascii="Times New Roman" w:hAnsi="Times New Roman" w:cs="Times New Roman"/>
          <w:noProof/>
          <w:sz w:val="21"/>
          <w:szCs w:val="21"/>
        </w:rPr>
        <w:drawing>
          <wp:inline distT="0" distB="0" distL="0" distR="0" wp14:anchorId="146EDFE4" wp14:editId="0C23EC0B">
            <wp:extent cx="2442882" cy="1541929"/>
            <wp:effectExtent l="0" t="0" r="0" b="1270"/>
            <wp:docPr id="149261004" name="Chart 1">
              <a:extLst xmlns:a="http://schemas.openxmlformats.org/drawingml/2006/main">
                <a:ext uri="{FF2B5EF4-FFF2-40B4-BE49-F238E27FC236}">
                  <a16:creationId xmlns:a16="http://schemas.microsoft.com/office/drawing/2014/main" id="{95FDC873-8578-A73D-493D-F570A7FC07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207C54">
        <w:rPr>
          <w:rFonts w:ascii="Times New Roman" w:hAnsi="Times New Roman" w:cs="Times New Roman"/>
          <w:b/>
          <w:bCs/>
          <w:sz w:val="21"/>
          <w:szCs w:val="21"/>
        </w:rPr>
        <w:t xml:space="preserve">            </w:t>
      </w:r>
      <w:r w:rsidRPr="00207C54">
        <w:rPr>
          <w:rFonts w:ascii="Times New Roman" w:hAnsi="Times New Roman" w:cs="Times New Roman"/>
          <w:noProof/>
          <w:sz w:val="21"/>
          <w:szCs w:val="21"/>
        </w:rPr>
        <w:drawing>
          <wp:inline distT="0" distB="0" distL="0" distR="0" wp14:anchorId="2D768500" wp14:editId="2F7040A8">
            <wp:extent cx="2837330" cy="1536700"/>
            <wp:effectExtent l="0" t="0" r="1270" b="6350"/>
            <wp:docPr id="2102764379" name="Chart 1">
              <a:extLst xmlns:a="http://schemas.openxmlformats.org/drawingml/2006/main">
                <a:ext uri="{FF2B5EF4-FFF2-40B4-BE49-F238E27FC236}">
                  <a16:creationId xmlns:a16="http://schemas.microsoft.com/office/drawing/2014/main" id="{EB85819B-6D9A-C07A-1981-A1554D15AC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31B03EC" w14:textId="1646F85D" w:rsidR="00941EF3" w:rsidRPr="00207C54" w:rsidRDefault="00A40AD8" w:rsidP="00A40AD8">
      <w:pPr>
        <w:jc w:val="both"/>
        <w:rPr>
          <w:rFonts w:ascii="Times New Roman" w:hAnsi="Times New Roman" w:cs="Times New Roman"/>
          <w:sz w:val="21"/>
          <w:szCs w:val="21"/>
        </w:rPr>
      </w:pPr>
      <w:r w:rsidRPr="00207C54">
        <w:rPr>
          <w:rFonts w:ascii="Times New Roman" w:hAnsi="Times New Roman" w:cs="Times New Roman"/>
          <w:sz w:val="21"/>
          <w:szCs w:val="21"/>
        </w:rPr>
        <w:t>An analysis of the presented graphs suggests a favourable solvency position for the company. The debt-to-equity (D/E) and debt-to-assets ratios indicate effective debt management, as they remain well below its averages. This can be attributed to the significant growth in retained earnings, even amidst an increase in debt during FY 2022. While the lower interest coverage ratio in that year reflects this debt increase, the company's overall solvency remains robust.</w:t>
      </w:r>
    </w:p>
    <w:p w14:paraId="5225D241" w14:textId="3ED8D65A" w:rsidR="00A40AD8" w:rsidRPr="00207C54" w:rsidRDefault="00917434" w:rsidP="00A40AD8">
      <w:pPr>
        <w:pStyle w:val="ListParagraph"/>
        <w:numPr>
          <w:ilvl w:val="0"/>
          <w:numId w:val="2"/>
        </w:numPr>
        <w:jc w:val="both"/>
        <w:rPr>
          <w:rFonts w:ascii="Times New Roman" w:hAnsi="Times New Roman" w:cs="Times New Roman"/>
          <w:b/>
          <w:bCs/>
          <w:sz w:val="21"/>
          <w:szCs w:val="21"/>
        </w:rPr>
      </w:pPr>
      <w:r w:rsidRPr="00207C54">
        <w:rPr>
          <w:rFonts w:ascii="Times New Roman" w:hAnsi="Times New Roman" w:cs="Times New Roman"/>
          <w:b/>
          <w:bCs/>
          <w:sz w:val="21"/>
          <w:szCs w:val="21"/>
        </w:rPr>
        <w:t>Turnover ratios</w:t>
      </w:r>
    </w:p>
    <w:p w14:paraId="7904E1B3" w14:textId="1FA411FD" w:rsidR="00917434" w:rsidRPr="00207C54" w:rsidRDefault="00917434" w:rsidP="00917434">
      <w:pPr>
        <w:jc w:val="both"/>
        <w:rPr>
          <w:rFonts w:ascii="Times New Roman" w:hAnsi="Times New Roman" w:cs="Times New Roman"/>
          <w:b/>
          <w:bCs/>
          <w:sz w:val="21"/>
          <w:szCs w:val="21"/>
        </w:rPr>
      </w:pPr>
      <w:r w:rsidRPr="00207C54">
        <w:rPr>
          <w:rFonts w:ascii="Times New Roman" w:hAnsi="Times New Roman" w:cs="Times New Roman"/>
          <w:b/>
          <w:bCs/>
          <w:noProof/>
          <w:sz w:val="21"/>
          <w:szCs w:val="21"/>
        </w:rPr>
        <mc:AlternateContent>
          <mc:Choice Requires="wps">
            <w:drawing>
              <wp:anchor distT="45720" distB="45720" distL="114300" distR="114300" simplePos="0" relativeHeight="251665408" behindDoc="0" locked="0" layoutInCell="1" allowOverlap="1" wp14:anchorId="6933B742" wp14:editId="7ED81B37">
                <wp:simplePos x="0" y="0"/>
                <wp:positionH relativeFrom="column">
                  <wp:posOffset>2675890</wp:posOffset>
                </wp:positionH>
                <wp:positionV relativeFrom="paragraph">
                  <wp:posOffset>5080</wp:posOffset>
                </wp:positionV>
                <wp:extent cx="3114675" cy="1635760"/>
                <wp:effectExtent l="0" t="0" r="9525" b="2540"/>
                <wp:wrapSquare wrapText="bothSides"/>
                <wp:docPr id="12978080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1635760"/>
                        </a:xfrm>
                        <a:prstGeom prst="rect">
                          <a:avLst/>
                        </a:prstGeom>
                        <a:solidFill>
                          <a:srgbClr val="FFFFFF"/>
                        </a:solidFill>
                        <a:ln w="9525">
                          <a:noFill/>
                          <a:miter lim="800000"/>
                          <a:headEnd/>
                          <a:tailEnd/>
                        </a:ln>
                      </wps:spPr>
                      <wps:txbx>
                        <w:txbxContent>
                          <w:p w14:paraId="4FA79098" w14:textId="452ACC1C" w:rsidR="00917434" w:rsidRPr="00917434" w:rsidRDefault="00917434" w:rsidP="00917434">
                            <w:pPr>
                              <w:jc w:val="both"/>
                              <w:rPr>
                                <w:rFonts w:ascii="Times New Roman" w:hAnsi="Times New Roman" w:cs="Times New Roman"/>
                              </w:rPr>
                            </w:pPr>
                            <w:r w:rsidRPr="00917434">
                              <w:rPr>
                                <w:rFonts w:ascii="Times New Roman" w:hAnsi="Times New Roman" w:cs="Times New Roman"/>
                              </w:rPr>
                              <w:t>The company's turnover ratios reveal mixed performance in asset utilization. While exhibiting a higher inventory turnover ratio, its overall asset turnover ratio falls below the average. This suggests potential areas for improvement in efficiently converting assets into revenue. Strategies to enhance operational efficiency and potentially accelerate revenue growth could be explored to improve the company's overall asset turnover ratio.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33B742" id="_x0000_s1030" type="#_x0000_t202" style="position:absolute;left:0;text-align:left;margin-left:210.7pt;margin-top:.4pt;width:245.25pt;height:128.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" stroked="f">
                <v:textbox>
                  <w:txbxContent>
                    <w:p w14:paraId="4FA79098" w14:textId="452ACC1C" w:rsidR="00917434" w:rsidRPr="00917434" w:rsidRDefault="00917434" w:rsidP="00917434">
                      <w:pPr>
                        <w:jc w:val="both"/>
                        <w:rPr>
                          <w:rFonts w:ascii="Times New Roman" w:hAnsi="Times New Roman" w:cs="Times New Roman"/>
                        </w:rPr>
                      </w:pPr>
                      <w:r w:rsidRPr="00917434">
                        <w:rPr>
                          <w:rFonts w:ascii="Times New Roman" w:hAnsi="Times New Roman" w:cs="Times New Roman"/>
                        </w:rPr>
                        <w:t>The company's turnover ratios reveal mixed performance in asset utilization. While exhibiting a higher inventory turnover ratio, its overall asset turnover ratio falls below the average. This suggests potential areas for improvement in efficiently converting assets into revenue. Strategies to enhance operational efficiency and potentially accelerate revenue growth could be explored to improve the company's overall asset turnover ratio.</w:t>
                      </w:r>
                    </w:p>
                  </w:txbxContent>
                </v:textbox>
                <w10:wrap type="square"/>
              </v:shape>
            </w:pict>
          </mc:Fallback>
        </mc:AlternateContent>
      </w:r>
      <w:r w:rsidRPr="00207C54">
        <w:rPr>
          <w:rFonts w:ascii="Times New Roman" w:hAnsi="Times New Roman" w:cs="Times New Roman"/>
          <w:noProof/>
          <w:sz w:val="21"/>
          <w:szCs w:val="21"/>
        </w:rPr>
        <w:drawing>
          <wp:inline distT="0" distB="0" distL="0" distR="0" wp14:anchorId="7C30E502" wp14:editId="1ED32CDD">
            <wp:extent cx="2259106" cy="1546412"/>
            <wp:effectExtent l="0" t="0" r="8255" b="0"/>
            <wp:docPr id="457736988" name="Chart 1">
              <a:extLst xmlns:a="http://schemas.openxmlformats.org/drawingml/2006/main">
                <a:ext uri="{FF2B5EF4-FFF2-40B4-BE49-F238E27FC236}">
                  <a16:creationId xmlns:a16="http://schemas.microsoft.com/office/drawing/2014/main" id="{B6FF9B7C-F684-4FB5-C7AB-2D18087821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98C452B" w14:textId="4AC7AE13" w:rsidR="00917434" w:rsidRPr="00207C54" w:rsidRDefault="00917434" w:rsidP="00917434">
      <w:pPr>
        <w:pStyle w:val="ListParagraph"/>
        <w:numPr>
          <w:ilvl w:val="0"/>
          <w:numId w:val="2"/>
        </w:numPr>
        <w:jc w:val="both"/>
        <w:rPr>
          <w:rFonts w:ascii="Times New Roman" w:hAnsi="Times New Roman" w:cs="Times New Roman"/>
          <w:b/>
          <w:bCs/>
          <w:sz w:val="21"/>
          <w:szCs w:val="21"/>
        </w:rPr>
      </w:pPr>
      <w:r w:rsidRPr="00207C54">
        <w:rPr>
          <w:rFonts w:ascii="Times New Roman" w:hAnsi="Times New Roman" w:cs="Times New Roman"/>
          <w:b/>
          <w:bCs/>
          <w:sz w:val="21"/>
          <w:szCs w:val="21"/>
        </w:rPr>
        <w:t>Market ratios</w:t>
      </w:r>
    </w:p>
    <w:p w14:paraId="452C73CB" w14:textId="4CEA1636" w:rsidR="00CE721F" w:rsidRPr="00207C54" w:rsidRDefault="00CE721F" w:rsidP="00CE721F">
      <w:pPr>
        <w:jc w:val="both"/>
        <w:rPr>
          <w:rFonts w:ascii="Times New Roman" w:hAnsi="Times New Roman" w:cs="Times New Roman"/>
          <w:noProof/>
          <w:sz w:val="21"/>
          <w:szCs w:val="21"/>
        </w:rPr>
      </w:pPr>
      <w:r w:rsidRPr="00207C54">
        <w:rPr>
          <w:rFonts w:ascii="Times New Roman" w:hAnsi="Times New Roman" w:cs="Times New Roman"/>
          <w:noProof/>
          <w:sz w:val="21"/>
          <w:szCs w:val="21"/>
        </w:rPr>
        <w:drawing>
          <wp:inline distT="0" distB="0" distL="0" distR="0" wp14:anchorId="56D0659C" wp14:editId="34F43F7D">
            <wp:extent cx="2658035" cy="1555376"/>
            <wp:effectExtent l="0" t="0" r="0" b="6985"/>
            <wp:docPr id="646607243" name="Chart 1">
              <a:extLst xmlns:a="http://schemas.openxmlformats.org/drawingml/2006/main">
                <a:ext uri="{FF2B5EF4-FFF2-40B4-BE49-F238E27FC236}">
                  <a16:creationId xmlns:a16="http://schemas.microsoft.com/office/drawing/2014/main" id="{F81705BD-46CB-F149-A1CC-C136962D97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720C8B" w:rsidRPr="00207C54">
        <w:rPr>
          <w:rFonts w:ascii="Times New Roman" w:hAnsi="Times New Roman" w:cs="Times New Roman"/>
          <w:noProof/>
          <w:sz w:val="21"/>
          <w:szCs w:val="21"/>
        </w:rPr>
        <w:t xml:space="preserve"> </w:t>
      </w:r>
      <w:r w:rsidR="00720C8B" w:rsidRPr="00207C54">
        <w:rPr>
          <w:rFonts w:ascii="Times New Roman" w:hAnsi="Times New Roman" w:cs="Times New Roman"/>
          <w:noProof/>
          <w:sz w:val="21"/>
          <w:szCs w:val="21"/>
        </w:rPr>
        <w:drawing>
          <wp:inline distT="0" distB="0" distL="0" distR="0" wp14:anchorId="5EDA4BAC" wp14:editId="13CC0BB9">
            <wp:extent cx="2837329" cy="1636059"/>
            <wp:effectExtent l="0" t="0" r="1270" b="2540"/>
            <wp:docPr id="47130655" name="Chart 1">
              <a:extLst xmlns:a="http://schemas.openxmlformats.org/drawingml/2006/main">
                <a:ext uri="{FF2B5EF4-FFF2-40B4-BE49-F238E27FC236}">
                  <a16:creationId xmlns:a16="http://schemas.microsoft.com/office/drawing/2014/main" id="{B12A2E60-1F0B-6840-A408-6206F79F0F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2663355" w14:textId="06106F6B" w:rsidR="00207C54" w:rsidRPr="00207C54" w:rsidRDefault="00207C54" w:rsidP="00720C8B">
      <w:pPr>
        <w:jc w:val="both"/>
        <w:rPr>
          <w:rFonts w:ascii="Times New Roman" w:hAnsi="Times New Roman" w:cs="Times New Roman"/>
          <w:noProof/>
          <w:sz w:val="21"/>
          <w:szCs w:val="21"/>
        </w:rPr>
      </w:pPr>
      <w:r w:rsidRPr="00207C54">
        <w:rPr>
          <w:rFonts w:ascii="Times New Roman" w:hAnsi="Times New Roman" w:cs="Times New Roman"/>
          <w:noProof/>
          <w:sz w:val="21"/>
          <w:szCs w:val="21"/>
        </w:rPr>
        <w:t>n examination of the presented ratios reveals that the company delivered above-average returns in FY 2021. However, FY 2022 witnessed an exceptional loss due to the devaluation of a specific investment, resulting in negative EPS and return on equity for that year. It is crucial to note that this non-recurring event significantly impacted the company's overall profitability in FY 2022. Excluding this exceptional circumstance, the company's performance remained positive in both FY 2021 and 2022. Additionally, it's noteworthy that the company does not currently distribute dividends. Furthermore, they engaged in a share repurchase program, buying back $6 billion worth of common stock, representing 46 million shares.</w:t>
      </w:r>
      <w:r w:rsidR="00E76CC3">
        <w:rPr>
          <w:rFonts w:ascii="Times New Roman" w:hAnsi="Times New Roman" w:cs="Times New Roman"/>
          <w:noProof/>
          <w:sz w:val="21"/>
          <w:szCs w:val="21"/>
        </w:rPr>
        <w:t xml:space="preserve"> Lastly, the Company also carried out a stock split in May 2022. The EPS has been adjusted accordingly.</w:t>
      </w:r>
    </w:p>
    <w:p w14:paraId="0BE13A5D" w14:textId="7348FEDC" w:rsidR="00720C8B" w:rsidRPr="00207C54" w:rsidRDefault="00720C8B" w:rsidP="00720C8B">
      <w:pPr>
        <w:jc w:val="both"/>
        <w:rPr>
          <w:rFonts w:ascii="Times New Roman" w:hAnsi="Times New Roman" w:cs="Times New Roman"/>
          <w:b/>
          <w:bCs/>
          <w:noProof/>
          <w:sz w:val="21"/>
          <w:szCs w:val="21"/>
          <w:u w:val="single"/>
        </w:rPr>
      </w:pPr>
      <w:r w:rsidRPr="00207C54">
        <w:rPr>
          <w:rFonts w:ascii="Times New Roman" w:hAnsi="Times New Roman" w:cs="Times New Roman"/>
          <w:b/>
          <w:bCs/>
          <w:noProof/>
          <w:sz w:val="21"/>
          <w:szCs w:val="21"/>
          <w:u w:val="single"/>
        </w:rPr>
        <w:t>Conclusion</w:t>
      </w:r>
    </w:p>
    <w:p w14:paraId="3371E22E" w14:textId="0A99A1B6" w:rsidR="005F1DA5" w:rsidRPr="00207C54" w:rsidRDefault="00207C54" w:rsidP="00720C8B">
      <w:pPr>
        <w:jc w:val="both"/>
        <w:rPr>
          <w:rFonts w:ascii="Times New Roman" w:hAnsi="Times New Roman" w:cs="Times New Roman"/>
          <w:noProof/>
          <w:sz w:val="21"/>
          <w:szCs w:val="21"/>
        </w:rPr>
      </w:pPr>
      <w:r w:rsidRPr="00207C54">
        <w:rPr>
          <w:rFonts w:ascii="Times New Roman" w:hAnsi="Times New Roman" w:cs="Times New Roman"/>
          <w:noProof/>
          <w:sz w:val="21"/>
          <w:szCs w:val="21"/>
        </w:rPr>
        <w:t>Based on the reviewed ratios, the company exhibits a generally sound financial position. Its ability to deliver consistent returns to investors, despite the exceptional loss in FY 2022, demonstrates resilience. The company maintains strong liquidity, ensuring its capacity to meet both short-term and long-term obligations. Moreover, the negative trade cycle indicates efficient management of inventory and receivables, mitigating potential liquidity concerns.</w:t>
      </w:r>
    </w:p>
    <w:p w14:paraId="450D178A" w14:textId="14A9A22C" w:rsidR="00207C54" w:rsidRPr="00207C54" w:rsidRDefault="00207C54" w:rsidP="00720C8B">
      <w:pPr>
        <w:jc w:val="both"/>
        <w:rPr>
          <w:rFonts w:ascii="Times New Roman" w:hAnsi="Times New Roman" w:cs="Times New Roman"/>
          <w:noProof/>
          <w:sz w:val="21"/>
          <w:szCs w:val="21"/>
        </w:rPr>
      </w:pPr>
      <w:r w:rsidRPr="00207C54">
        <w:rPr>
          <w:rFonts w:ascii="Times New Roman" w:hAnsi="Times New Roman" w:cs="Times New Roman"/>
          <w:noProof/>
          <w:sz w:val="21"/>
          <w:szCs w:val="21"/>
        </w:rPr>
        <w:t>While the company demonstrates overall financial strength, there is room for optimization in asset utilization efficiency. The asset turnover ratio remains below the average, suggesting potential for enhancing the conversion of assets into revenue. Exploring strategies to improve operational efficiency and potentially accelerate revenue growth could address this aspect.</w:t>
      </w:r>
    </w:p>
    <w:p w14:paraId="1B554984" w14:textId="7C15318B" w:rsidR="005F1DA5" w:rsidRPr="00207C54" w:rsidRDefault="005F1DA5" w:rsidP="00720C8B">
      <w:pPr>
        <w:jc w:val="both"/>
        <w:rPr>
          <w:rFonts w:ascii="Times New Roman" w:hAnsi="Times New Roman" w:cs="Times New Roman"/>
          <w:b/>
          <w:bCs/>
          <w:sz w:val="21"/>
          <w:szCs w:val="21"/>
        </w:rPr>
      </w:pPr>
      <w:r w:rsidRPr="00207C54">
        <w:rPr>
          <w:rFonts w:ascii="Times New Roman" w:hAnsi="Times New Roman" w:cs="Times New Roman"/>
          <w:b/>
          <w:bCs/>
          <w:sz w:val="21"/>
          <w:szCs w:val="21"/>
        </w:rPr>
        <w:lastRenderedPageBreak/>
        <w:t>References</w:t>
      </w:r>
    </w:p>
    <w:p w14:paraId="6DBAAEFB" w14:textId="330674E6" w:rsidR="005F1DA5" w:rsidRPr="00207C54" w:rsidRDefault="005F1DA5" w:rsidP="005F1DA5">
      <w:pPr>
        <w:jc w:val="both"/>
        <w:rPr>
          <w:rFonts w:ascii="Times New Roman" w:hAnsi="Times New Roman" w:cs="Times New Roman"/>
          <w:b/>
          <w:sz w:val="21"/>
          <w:szCs w:val="21"/>
        </w:rPr>
      </w:pPr>
      <w:r w:rsidRPr="00207C54">
        <w:rPr>
          <w:rFonts w:ascii="Times New Roman" w:hAnsi="Times New Roman" w:cs="Times New Roman"/>
          <w:sz w:val="21"/>
          <w:szCs w:val="21"/>
        </w:rPr>
        <w:t>AMAZON INC. Annual report: FY 201, 2018, 2019, 2020, 2021, 2022</w:t>
      </w:r>
    </w:p>
    <w:p w14:paraId="1BA90DFD" w14:textId="77777777" w:rsidR="005F1DA5" w:rsidRPr="00207C54" w:rsidRDefault="005F1DA5" w:rsidP="00720C8B">
      <w:pPr>
        <w:jc w:val="both"/>
        <w:rPr>
          <w:rFonts w:ascii="Times New Roman" w:hAnsi="Times New Roman" w:cs="Times New Roman"/>
          <w:b/>
          <w:bCs/>
          <w:sz w:val="21"/>
          <w:szCs w:val="21"/>
        </w:rPr>
      </w:pPr>
    </w:p>
    <w:sectPr w:rsidR="005F1DA5" w:rsidRPr="00207C54" w:rsidSect="00C83D0B">
      <w:pgSz w:w="11906" w:h="16838"/>
      <w:pgMar w:top="284"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572F4" w14:textId="77777777" w:rsidR="00C83D0B" w:rsidRDefault="00C83D0B" w:rsidP="005F1DA5">
      <w:pPr>
        <w:spacing w:after="0" w:line="240" w:lineRule="auto"/>
      </w:pPr>
      <w:r>
        <w:separator/>
      </w:r>
    </w:p>
  </w:endnote>
  <w:endnote w:type="continuationSeparator" w:id="0">
    <w:p w14:paraId="0233A9EC" w14:textId="77777777" w:rsidR="00C83D0B" w:rsidRDefault="00C83D0B" w:rsidP="005F1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B6CF6" w14:textId="77777777" w:rsidR="00C83D0B" w:rsidRDefault="00C83D0B" w:rsidP="005F1DA5">
      <w:pPr>
        <w:spacing w:after="0" w:line="240" w:lineRule="auto"/>
      </w:pPr>
      <w:r>
        <w:separator/>
      </w:r>
    </w:p>
  </w:footnote>
  <w:footnote w:type="continuationSeparator" w:id="0">
    <w:p w14:paraId="693D132E" w14:textId="77777777" w:rsidR="00C83D0B" w:rsidRDefault="00C83D0B" w:rsidP="005F1D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0D6A"/>
    <w:multiLevelType w:val="hybridMultilevel"/>
    <w:tmpl w:val="F72AA5D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4F96126"/>
    <w:multiLevelType w:val="hybridMultilevel"/>
    <w:tmpl w:val="15606BC0"/>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16cid:durableId="855852106">
    <w:abstractNumId w:val="0"/>
  </w:num>
  <w:num w:numId="2" w16cid:durableId="14274584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BFD"/>
    <w:rsid w:val="00094AF6"/>
    <w:rsid w:val="00207C54"/>
    <w:rsid w:val="002720D3"/>
    <w:rsid w:val="002C5FA0"/>
    <w:rsid w:val="00370380"/>
    <w:rsid w:val="003B0FB6"/>
    <w:rsid w:val="003B6759"/>
    <w:rsid w:val="004F011B"/>
    <w:rsid w:val="00594010"/>
    <w:rsid w:val="005F1DA5"/>
    <w:rsid w:val="006D4756"/>
    <w:rsid w:val="00720C8B"/>
    <w:rsid w:val="007D75B0"/>
    <w:rsid w:val="00813970"/>
    <w:rsid w:val="0084194A"/>
    <w:rsid w:val="00917141"/>
    <w:rsid w:val="00917434"/>
    <w:rsid w:val="0093663D"/>
    <w:rsid w:val="00941EF3"/>
    <w:rsid w:val="00971BBA"/>
    <w:rsid w:val="0099151C"/>
    <w:rsid w:val="009F2BAE"/>
    <w:rsid w:val="00A40AD8"/>
    <w:rsid w:val="00BA3E74"/>
    <w:rsid w:val="00BA4AEA"/>
    <w:rsid w:val="00BD2844"/>
    <w:rsid w:val="00C83D0B"/>
    <w:rsid w:val="00CB3BFD"/>
    <w:rsid w:val="00CE721F"/>
    <w:rsid w:val="00CF106F"/>
    <w:rsid w:val="00E76CC3"/>
    <w:rsid w:val="00EB191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BA492"/>
  <w15:chartTrackingRefBased/>
  <w15:docId w15:val="{D444E6C0-38EE-46CA-ADE7-8308D88B9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0D3"/>
    <w:pPr>
      <w:ind w:left="720"/>
      <w:contextualSpacing/>
    </w:pPr>
  </w:style>
  <w:style w:type="paragraph" w:styleId="NoSpacing">
    <w:name w:val="No Spacing"/>
    <w:link w:val="NoSpacingChar"/>
    <w:uiPriority w:val="1"/>
    <w:qFormat/>
    <w:rsid w:val="005F1DA5"/>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5F1DA5"/>
    <w:rPr>
      <w:rFonts w:eastAsiaTheme="minorEastAsia"/>
      <w:kern w:val="0"/>
      <w:lang w:val="en-US"/>
      <w14:ligatures w14:val="none"/>
    </w:rPr>
  </w:style>
  <w:style w:type="paragraph" w:customStyle="1" w:styleId="GraphicAnchor">
    <w:name w:val="Graphic Anchor"/>
    <w:basedOn w:val="Normal"/>
    <w:uiPriority w:val="7"/>
    <w:qFormat/>
    <w:rsid w:val="005F1DA5"/>
    <w:pPr>
      <w:spacing w:after="0" w:line="240" w:lineRule="auto"/>
    </w:pPr>
    <w:rPr>
      <w:kern w:val="0"/>
      <w:sz w:val="10"/>
      <w:szCs w:val="24"/>
      <w:lang w:val="en-US"/>
      <w14:ligatures w14:val="none"/>
    </w:rPr>
  </w:style>
  <w:style w:type="paragraph" w:customStyle="1" w:styleId="Text">
    <w:name w:val="Text"/>
    <w:basedOn w:val="Normal"/>
    <w:uiPriority w:val="5"/>
    <w:qFormat/>
    <w:rsid w:val="005F1DA5"/>
    <w:pPr>
      <w:spacing w:after="0" w:line="240" w:lineRule="auto"/>
    </w:pPr>
    <w:rPr>
      <w:i/>
      <w:color w:val="000000" w:themeColor="text1"/>
      <w:kern w:val="0"/>
      <w:sz w:val="28"/>
      <w:szCs w:val="24"/>
      <w:lang w:val="en-US"/>
      <w14:ligatures w14:val="none"/>
    </w:rPr>
  </w:style>
  <w:style w:type="table" w:styleId="GridTable4-Accent5">
    <w:name w:val="Grid Table 4 Accent 5"/>
    <w:basedOn w:val="TableNormal"/>
    <w:uiPriority w:val="49"/>
    <w:rsid w:val="005F1DA5"/>
    <w:pPr>
      <w:spacing w:after="0" w:line="240" w:lineRule="auto"/>
    </w:pPr>
    <w:rPr>
      <w:kern w:val="0"/>
      <w:sz w:val="24"/>
      <w:szCs w:val="24"/>
      <w:lang w:val="en-US"/>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chart" Target="charts/chart9.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jaint\Desktop\Internship\Task%202%20Ratio%20Analysis%20&amp;%20Interpretatio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jaint\Desktop\Internship\Task%202%20Ratio%20Analysis%20&amp;%20Interpretation.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jaint\Desktop\Internship\Task%202%20Ratio%20Analysis%20&amp;%20Interpretation.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jaint\Desktop\Internship\Task%202%20Ratio%20Analysis%20&amp;%20Interpretation.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jaint\Desktop\Internship\Task%202%20Ratio%20Analysis%20&amp;%20Interpretation.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jaint\Desktop\Internship\Task%202%20Ratio%20Analysis%20&amp;%20Interpretation.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jaint\Desktop\Internship\Task%202%20Ratio%20Analysis%20&amp;%20Interpretation.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jaint\Desktop\Internship\Task%202%20Ratio%20Analysis%20&amp;%20Interpretation.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jaint\Desktop\Internship\Task%202%20Ratio%20Analysis%20&amp;%20Interpretation.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IN" sz="1100"/>
              <a:t>Fig 1.1:Liquidity</a:t>
            </a:r>
            <a:r>
              <a:rPr lang="en-IN"/>
              <a:t> </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tx>
            <c:strRef>
              <c:f>Charts!$B$2</c:f>
              <c:strCache>
                <c:ptCount val="1"/>
                <c:pt idx="0">
                  <c:v>2022</c:v>
                </c:pt>
              </c:strCache>
            </c:strRef>
          </c:tx>
          <c:spPr>
            <a:solidFill>
              <a:schemeClr val="accent1">
                <a:lumMod val="75000"/>
              </a:schemeClr>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Charts!$A$3:$A$5</c:f>
              <c:strCache>
                <c:ptCount val="3"/>
                <c:pt idx="0">
                  <c:v>Current ratio</c:v>
                </c:pt>
                <c:pt idx="1">
                  <c:v>Quick Ratio</c:v>
                </c:pt>
                <c:pt idx="2">
                  <c:v>Cash Ratio</c:v>
                </c:pt>
              </c:strCache>
            </c:strRef>
          </c:cat>
          <c:val>
            <c:numRef>
              <c:f>Charts!$B$3:$B$5</c:f>
              <c:numCache>
                <c:formatCode>_(* #,##0.00_);_(* \(#,##0.00\);_(* "-"??_);_(@_)</c:formatCode>
                <c:ptCount val="3"/>
                <c:pt idx="0">
                  <c:v>0.9446435811136924</c:v>
                </c:pt>
                <c:pt idx="1">
                  <c:v>0.72323721145740161</c:v>
                </c:pt>
                <c:pt idx="2">
                  <c:v>0.45063805962945563</c:v>
                </c:pt>
              </c:numCache>
            </c:numRef>
          </c:val>
          <c:extLst>
            <c:ext xmlns:c16="http://schemas.microsoft.com/office/drawing/2014/chart" uri="{C3380CC4-5D6E-409C-BE32-E72D297353CC}">
              <c16:uniqueId val="{00000000-FD17-4A81-B606-4DF4B3525B3C}"/>
            </c:ext>
          </c:extLst>
        </c:ser>
        <c:ser>
          <c:idx val="1"/>
          <c:order val="1"/>
          <c:tx>
            <c:strRef>
              <c:f>Charts!$C$2</c:f>
              <c:strCache>
                <c:ptCount val="1"/>
                <c:pt idx="0">
                  <c:v>2021</c:v>
                </c:pt>
              </c:strCache>
            </c:strRef>
          </c:tx>
          <c:spPr>
            <a:solidFill>
              <a:schemeClr val="accent1">
                <a:lumMod val="60000"/>
                <a:lumOff val="40000"/>
              </a:schemeClr>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Charts!$A$3:$A$5</c:f>
              <c:strCache>
                <c:ptCount val="3"/>
                <c:pt idx="0">
                  <c:v>Current ratio</c:v>
                </c:pt>
                <c:pt idx="1">
                  <c:v>Quick Ratio</c:v>
                </c:pt>
                <c:pt idx="2">
                  <c:v>Cash Ratio</c:v>
                </c:pt>
              </c:strCache>
            </c:strRef>
          </c:cat>
          <c:val>
            <c:numRef>
              <c:f>Charts!$C$3:$C$5</c:f>
              <c:numCache>
                <c:formatCode>_(* #,##0.00_);_(* \(#,##0.00\);_(* "-"??_);_(@_)</c:formatCode>
                <c:ptCount val="3"/>
                <c:pt idx="0">
                  <c:v>1.1357597739445826</c:v>
                </c:pt>
                <c:pt idx="1">
                  <c:v>0.90633039517523517</c:v>
                </c:pt>
                <c:pt idx="2">
                  <c:v>0.67513671572968947</c:v>
                </c:pt>
              </c:numCache>
            </c:numRef>
          </c:val>
          <c:extLst>
            <c:ext xmlns:c16="http://schemas.microsoft.com/office/drawing/2014/chart" uri="{C3380CC4-5D6E-409C-BE32-E72D297353CC}">
              <c16:uniqueId val="{00000001-FD17-4A81-B606-4DF4B3525B3C}"/>
            </c:ext>
          </c:extLst>
        </c:ser>
        <c:ser>
          <c:idx val="2"/>
          <c:order val="2"/>
          <c:tx>
            <c:strRef>
              <c:f>Charts!$D$2</c:f>
              <c:strCache>
                <c:ptCount val="1"/>
                <c:pt idx="0">
                  <c:v>Average</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Charts!$A$3:$A$5</c:f>
              <c:strCache>
                <c:ptCount val="3"/>
                <c:pt idx="0">
                  <c:v>Current ratio</c:v>
                </c:pt>
                <c:pt idx="1">
                  <c:v>Quick Ratio</c:v>
                </c:pt>
                <c:pt idx="2">
                  <c:v>Cash Ratio</c:v>
                </c:pt>
              </c:strCache>
            </c:strRef>
          </c:cat>
          <c:val>
            <c:numRef>
              <c:f>Charts!$D$3:$D$5</c:f>
              <c:numCache>
                <c:formatCode>_(* #,##0.00_);_(* \(#,##0.00\);_(* "-"??_);_(@_)</c:formatCode>
                <c:ptCount val="3"/>
                <c:pt idx="0">
                  <c:v>1.07837925317285</c:v>
                </c:pt>
                <c:pt idx="1">
                  <c:v>0.82445735570109446</c:v>
                </c:pt>
                <c:pt idx="2">
                  <c:v>0.58834934062995325</c:v>
                </c:pt>
              </c:numCache>
            </c:numRef>
          </c:val>
          <c:extLst>
            <c:ext xmlns:c16="http://schemas.microsoft.com/office/drawing/2014/chart" uri="{C3380CC4-5D6E-409C-BE32-E72D297353CC}">
              <c16:uniqueId val="{00000002-FD17-4A81-B606-4DF4B3525B3C}"/>
            </c:ext>
          </c:extLst>
        </c:ser>
        <c:dLbls>
          <c:dLblPos val="outEnd"/>
          <c:showLegendKey val="0"/>
          <c:showVal val="1"/>
          <c:showCatName val="0"/>
          <c:showSerName val="0"/>
          <c:showPercent val="0"/>
          <c:showBubbleSize val="0"/>
        </c:dLbls>
        <c:gapWidth val="150"/>
        <c:axId val="1104048400"/>
        <c:axId val="1112458368"/>
      </c:barChart>
      <c:catAx>
        <c:axId val="1104048400"/>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112458368"/>
        <c:crosses val="autoZero"/>
        <c:auto val="1"/>
        <c:lblAlgn val="ctr"/>
        <c:lblOffset val="100"/>
        <c:noMultiLvlLbl val="0"/>
      </c:catAx>
      <c:valAx>
        <c:axId val="1112458368"/>
        <c:scaling>
          <c:orientation val="minMax"/>
        </c:scaling>
        <c:delete val="0"/>
        <c:axPos val="l"/>
        <c:majorGridlines>
          <c:spPr>
            <a:ln w="9525" cap="flat" cmpd="sng" algn="ctr">
              <a:solidFill>
                <a:schemeClr val="lt1">
                  <a:lumMod val="95000"/>
                  <a:alpha val="10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10404840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IN" sz="1100"/>
              <a:t>Fig 1.2:Net Trading cycle</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tx>
            <c:strRef>
              <c:f>Charts!$B$8</c:f>
              <c:strCache>
                <c:ptCount val="1"/>
                <c:pt idx="0">
                  <c:v>2022</c:v>
                </c:pt>
              </c:strCache>
            </c:strRef>
          </c:tx>
          <c:spPr>
            <a:solidFill>
              <a:schemeClr val="accent1">
                <a:lumMod val="75000"/>
              </a:schemeClr>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Charts!$A$9</c:f>
              <c:strCache>
                <c:ptCount val="1"/>
                <c:pt idx="0">
                  <c:v>Net trading cycle</c:v>
                </c:pt>
              </c:strCache>
            </c:strRef>
          </c:cat>
          <c:val>
            <c:numRef>
              <c:f>Charts!$B$9</c:f>
              <c:numCache>
                <c:formatCode>_(* #,##0.00_);_(* \(#,##0.00\);_(* "-"??_);_(@_)</c:formatCode>
                <c:ptCount val="1"/>
                <c:pt idx="0">
                  <c:v>-30.918017889787961</c:v>
                </c:pt>
              </c:numCache>
            </c:numRef>
          </c:val>
          <c:extLst>
            <c:ext xmlns:c16="http://schemas.microsoft.com/office/drawing/2014/chart" uri="{C3380CC4-5D6E-409C-BE32-E72D297353CC}">
              <c16:uniqueId val="{00000000-DE23-415D-BA85-CEB5D661F8DA}"/>
            </c:ext>
          </c:extLst>
        </c:ser>
        <c:ser>
          <c:idx val="1"/>
          <c:order val="1"/>
          <c:tx>
            <c:strRef>
              <c:f>Charts!$C$8</c:f>
              <c:strCache>
                <c:ptCount val="1"/>
                <c:pt idx="0">
                  <c:v>2021</c:v>
                </c:pt>
              </c:strCache>
            </c:strRef>
          </c:tx>
          <c:spPr>
            <a:solidFill>
              <a:schemeClr val="accent1">
                <a:lumMod val="60000"/>
                <a:lumOff val="40000"/>
              </a:schemeClr>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Charts!$A$9</c:f>
              <c:strCache>
                <c:ptCount val="1"/>
                <c:pt idx="0">
                  <c:v>Net trading cycle</c:v>
                </c:pt>
              </c:strCache>
            </c:strRef>
          </c:cat>
          <c:val>
            <c:numRef>
              <c:f>Charts!$C$9</c:f>
              <c:numCache>
                <c:formatCode>_(* #,##0.00_);_(* \(#,##0.00\);_(* "-"??_);_(@_)</c:formatCode>
                <c:ptCount val="1"/>
                <c:pt idx="0">
                  <c:v>-41.195271269116276</c:v>
                </c:pt>
              </c:numCache>
            </c:numRef>
          </c:val>
          <c:extLst>
            <c:ext xmlns:c16="http://schemas.microsoft.com/office/drawing/2014/chart" uri="{C3380CC4-5D6E-409C-BE32-E72D297353CC}">
              <c16:uniqueId val="{00000001-DE23-415D-BA85-CEB5D661F8DA}"/>
            </c:ext>
          </c:extLst>
        </c:ser>
        <c:ser>
          <c:idx val="2"/>
          <c:order val="2"/>
          <c:tx>
            <c:strRef>
              <c:f>Charts!$D$8</c:f>
              <c:strCache>
                <c:ptCount val="1"/>
                <c:pt idx="0">
                  <c:v>Average</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Charts!$A$9</c:f>
              <c:strCache>
                <c:ptCount val="1"/>
                <c:pt idx="0">
                  <c:v>Net trading cycle</c:v>
                </c:pt>
              </c:strCache>
            </c:strRef>
          </c:cat>
          <c:val>
            <c:numRef>
              <c:f>Charts!$D$9</c:f>
              <c:numCache>
                <c:formatCode>_(* #,##0.00_);_(* \(#,##0.00\);_(* "-"??_);_(@_)</c:formatCode>
                <c:ptCount val="1"/>
                <c:pt idx="0">
                  <c:v>-29.174606403262406</c:v>
                </c:pt>
              </c:numCache>
            </c:numRef>
          </c:val>
          <c:extLst>
            <c:ext xmlns:c16="http://schemas.microsoft.com/office/drawing/2014/chart" uri="{C3380CC4-5D6E-409C-BE32-E72D297353CC}">
              <c16:uniqueId val="{00000002-DE23-415D-BA85-CEB5D661F8DA}"/>
            </c:ext>
          </c:extLst>
        </c:ser>
        <c:dLbls>
          <c:dLblPos val="outEnd"/>
          <c:showLegendKey val="0"/>
          <c:showVal val="1"/>
          <c:showCatName val="0"/>
          <c:showSerName val="0"/>
          <c:showPercent val="0"/>
          <c:showBubbleSize val="0"/>
        </c:dLbls>
        <c:gapWidth val="150"/>
        <c:axId val="848883871"/>
        <c:axId val="1275767248"/>
      </c:barChart>
      <c:catAx>
        <c:axId val="848883871"/>
        <c:scaling>
          <c:orientation val="minMax"/>
        </c:scaling>
        <c:delete val="1"/>
        <c:axPos val="b"/>
        <c:numFmt formatCode="General" sourceLinked="1"/>
        <c:majorTickMark val="none"/>
        <c:minorTickMark val="none"/>
        <c:tickLblPos val="nextTo"/>
        <c:crossAx val="1275767248"/>
        <c:crosses val="autoZero"/>
        <c:auto val="1"/>
        <c:lblAlgn val="ctr"/>
        <c:lblOffset val="100"/>
        <c:noMultiLvlLbl val="0"/>
      </c:catAx>
      <c:valAx>
        <c:axId val="1275767248"/>
        <c:scaling>
          <c:orientation val="minMax"/>
        </c:scaling>
        <c:delete val="0"/>
        <c:axPos val="l"/>
        <c:majorGridlines>
          <c:spPr>
            <a:ln w="9525" cap="flat" cmpd="sng" algn="ctr">
              <a:solidFill>
                <a:schemeClr val="lt1">
                  <a:lumMod val="95000"/>
                  <a:alpha val="10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848883871"/>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IN" sz="1100"/>
              <a:t>Fig 1.3:Working Capital</a:t>
            </a:r>
            <a:endParaRPr lang="en-IN"/>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tx>
            <c:strRef>
              <c:f>Charts!$B$10</c:f>
              <c:strCache>
                <c:ptCount val="1"/>
                <c:pt idx="0">
                  <c:v>2022</c:v>
                </c:pt>
              </c:strCache>
            </c:strRef>
          </c:tx>
          <c:spPr>
            <a:solidFill>
              <a:schemeClr val="accent1">
                <a:lumMod val="75000"/>
              </a:schemeClr>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Charts!$A$11</c:f>
              <c:strCache>
                <c:ptCount val="1"/>
                <c:pt idx="0">
                  <c:v>Working Capital</c:v>
                </c:pt>
              </c:strCache>
            </c:strRef>
          </c:cat>
          <c:val>
            <c:numRef>
              <c:f>Charts!$B$11</c:f>
              <c:numCache>
                <c:formatCode>General</c:formatCode>
                <c:ptCount val="1"/>
                <c:pt idx="0">
                  <c:v>-8602</c:v>
                </c:pt>
              </c:numCache>
            </c:numRef>
          </c:val>
          <c:extLst>
            <c:ext xmlns:c16="http://schemas.microsoft.com/office/drawing/2014/chart" uri="{C3380CC4-5D6E-409C-BE32-E72D297353CC}">
              <c16:uniqueId val="{00000000-D32A-44E8-A1ED-F57841447F5D}"/>
            </c:ext>
          </c:extLst>
        </c:ser>
        <c:ser>
          <c:idx val="1"/>
          <c:order val="1"/>
          <c:tx>
            <c:strRef>
              <c:f>Charts!$C$10</c:f>
              <c:strCache>
                <c:ptCount val="1"/>
                <c:pt idx="0">
                  <c:v>2021</c:v>
                </c:pt>
              </c:strCache>
            </c:strRef>
          </c:tx>
          <c:spPr>
            <a:solidFill>
              <a:schemeClr val="accent1">
                <a:lumMod val="60000"/>
                <a:lumOff val="40000"/>
              </a:schemeClr>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Charts!$A$11</c:f>
              <c:strCache>
                <c:ptCount val="1"/>
                <c:pt idx="0">
                  <c:v>Working Capital</c:v>
                </c:pt>
              </c:strCache>
            </c:strRef>
          </c:cat>
          <c:val>
            <c:numRef>
              <c:f>Charts!$C$11</c:f>
              <c:numCache>
                <c:formatCode>General</c:formatCode>
                <c:ptCount val="1"/>
                <c:pt idx="0">
                  <c:v>19314</c:v>
                </c:pt>
              </c:numCache>
            </c:numRef>
          </c:val>
          <c:extLst>
            <c:ext xmlns:c16="http://schemas.microsoft.com/office/drawing/2014/chart" uri="{C3380CC4-5D6E-409C-BE32-E72D297353CC}">
              <c16:uniqueId val="{00000001-D32A-44E8-A1ED-F57841447F5D}"/>
            </c:ext>
          </c:extLst>
        </c:ser>
        <c:ser>
          <c:idx val="2"/>
          <c:order val="2"/>
          <c:tx>
            <c:strRef>
              <c:f>Charts!$D$10</c:f>
              <c:strCache>
                <c:ptCount val="1"/>
                <c:pt idx="0">
                  <c:v>Average</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Charts!$A$11</c:f>
              <c:strCache>
                <c:ptCount val="1"/>
                <c:pt idx="0">
                  <c:v>Working Capital</c:v>
                </c:pt>
              </c:strCache>
            </c:strRef>
          </c:cat>
          <c:val>
            <c:numRef>
              <c:f>Charts!$D$11</c:f>
              <c:numCache>
                <c:formatCode>General</c:formatCode>
                <c:ptCount val="1"/>
                <c:pt idx="0">
                  <c:v>5848.666666666667</c:v>
                </c:pt>
              </c:numCache>
            </c:numRef>
          </c:val>
          <c:extLst>
            <c:ext xmlns:c16="http://schemas.microsoft.com/office/drawing/2014/chart" uri="{C3380CC4-5D6E-409C-BE32-E72D297353CC}">
              <c16:uniqueId val="{00000002-D32A-44E8-A1ED-F57841447F5D}"/>
            </c:ext>
          </c:extLst>
        </c:ser>
        <c:dLbls>
          <c:dLblPos val="outEnd"/>
          <c:showLegendKey val="0"/>
          <c:showVal val="1"/>
          <c:showCatName val="0"/>
          <c:showSerName val="0"/>
          <c:showPercent val="0"/>
          <c:showBubbleSize val="0"/>
        </c:dLbls>
        <c:gapWidth val="100"/>
        <c:overlap val="-24"/>
        <c:axId val="1094471999"/>
        <c:axId val="1145234655"/>
      </c:barChart>
      <c:catAx>
        <c:axId val="1094471999"/>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145234655"/>
        <c:crosses val="autoZero"/>
        <c:auto val="1"/>
        <c:lblAlgn val="ctr"/>
        <c:lblOffset val="100"/>
        <c:noMultiLvlLbl val="0"/>
      </c:catAx>
      <c:valAx>
        <c:axId val="1145234655"/>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0944719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IN" sz="1100"/>
              <a:t>Fig 2.1 Profitablilty</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tx>
            <c:strRef>
              <c:f>Charts!$B$14</c:f>
              <c:strCache>
                <c:ptCount val="1"/>
                <c:pt idx="0">
                  <c:v>2022</c:v>
                </c:pt>
              </c:strCache>
            </c:strRef>
          </c:tx>
          <c:spPr>
            <a:solidFill>
              <a:schemeClr val="accent1">
                <a:lumMod val="75000"/>
              </a:schemeClr>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Charts!$A$15:$A$18</c:f>
              <c:strCache>
                <c:ptCount val="4"/>
                <c:pt idx="0">
                  <c:v>Gross margin</c:v>
                </c:pt>
                <c:pt idx="1">
                  <c:v>EBITDA margin</c:v>
                </c:pt>
                <c:pt idx="2">
                  <c:v>EBIT margin</c:v>
                </c:pt>
                <c:pt idx="3">
                  <c:v>Net margin</c:v>
                </c:pt>
              </c:strCache>
            </c:strRef>
          </c:cat>
          <c:val>
            <c:numRef>
              <c:f>Charts!$B$15:$B$18</c:f>
              <c:numCache>
                <c:formatCode>0%</c:formatCode>
                <c:ptCount val="4"/>
                <c:pt idx="0">
                  <c:v>0.43805339865326287</c:v>
                </c:pt>
                <c:pt idx="1">
                  <c:v>0.10539064521589235</c:v>
                </c:pt>
                <c:pt idx="2">
                  <c:v>2.3829581912242232E-2</c:v>
                </c:pt>
                <c:pt idx="3">
                  <c:v>-5.2958950004183018E-3</c:v>
                </c:pt>
              </c:numCache>
            </c:numRef>
          </c:val>
          <c:extLst>
            <c:ext xmlns:c16="http://schemas.microsoft.com/office/drawing/2014/chart" uri="{C3380CC4-5D6E-409C-BE32-E72D297353CC}">
              <c16:uniqueId val="{00000000-55AD-4834-B792-C7BA200F4035}"/>
            </c:ext>
          </c:extLst>
        </c:ser>
        <c:ser>
          <c:idx val="1"/>
          <c:order val="1"/>
          <c:tx>
            <c:strRef>
              <c:f>Charts!$C$14</c:f>
              <c:strCache>
                <c:ptCount val="1"/>
                <c:pt idx="0">
                  <c:v>2021</c:v>
                </c:pt>
              </c:strCache>
            </c:strRef>
          </c:tx>
          <c:spPr>
            <a:solidFill>
              <a:schemeClr val="accent1">
                <a:lumMod val="60000"/>
                <a:lumOff val="40000"/>
              </a:schemeClr>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Charts!$A$15:$A$18</c:f>
              <c:strCache>
                <c:ptCount val="4"/>
                <c:pt idx="0">
                  <c:v>Gross margin</c:v>
                </c:pt>
                <c:pt idx="1">
                  <c:v>EBITDA margin</c:v>
                </c:pt>
                <c:pt idx="2">
                  <c:v>EBIT margin</c:v>
                </c:pt>
                <c:pt idx="3">
                  <c:v>Net margin</c:v>
                </c:pt>
              </c:strCache>
            </c:strRef>
          </c:cat>
          <c:val>
            <c:numRef>
              <c:f>Charts!$C$15:$C$18</c:f>
              <c:numCache>
                <c:formatCode>0%</c:formatCode>
                <c:ptCount val="4"/>
                <c:pt idx="0">
                  <c:v>0.42032514441639601</c:v>
                </c:pt>
                <c:pt idx="1">
                  <c:v>0.1259519562728012</c:v>
                </c:pt>
                <c:pt idx="2">
                  <c:v>5.2954097509269465E-2</c:v>
                </c:pt>
                <c:pt idx="3">
                  <c:v>7.1014128755145567E-2</c:v>
                </c:pt>
              </c:numCache>
            </c:numRef>
          </c:val>
          <c:extLst>
            <c:ext xmlns:c16="http://schemas.microsoft.com/office/drawing/2014/chart" uri="{C3380CC4-5D6E-409C-BE32-E72D297353CC}">
              <c16:uniqueId val="{00000001-55AD-4834-B792-C7BA200F4035}"/>
            </c:ext>
          </c:extLst>
        </c:ser>
        <c:ser>
          <c:idx val="2"/>
          <c:order val="2"/>
          <c:tx>
            <c:strRef>
              <c:f>Charts!$D$14</c:f>
              <c:strCache>
                <c:ptCount val="1"/>
                <c:pt idx="0">
                  <c:v>Average</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Charts!$A$15:$A$18</c:f>
              <c:strCache>
                <c:ptCount val="4"/>
                <c:pt idx="0">
                  <c:v>Gross margin</c:v>
                </c:pt>
                <c:pt idx="1">
                  <c:v>EBITDA margin</c:v>
                </c:pt>
                <c:pt idx="2">
                  <c:v>EBIT margin</c:v>
                </c:pt>
                <c:pt idx="3">
                  <c:v>Net margin</c:v>
                </c:pt>
              </c:strCache>
            </c:strRef>
          </c:cat>
          <c:val>
            <c:numRef>
              <c:f>Charts!$D$15:$D$18</c:f>
              <c:numCache>
                <c:formatCode>0%</c:formatCode>
                <c:ptCount val="4"/>
                <c:pt idx="0">
                  <c:v>0.39435260812122985</c:v>
                </c:pt>
                <c:pt idx="1">
                  <c:v>0.11211103575766838</c:v>
                </c:pt>
                <c:pt idx="2">
                  <c:v>4.2751726660289806E-2</c:v>
                </c:pt>
                <c:pt idx="3">
                  <c:v>3.3871200743497143E-2</c:v>
                </c:pt>
              </c:numCache>
            </c:numRef>
          </c:val>
          <c:extLst>
            <c:ext xmlns:c16="http://schemas.microsoft.com/office/drawing/2014/chart" uri="{C3380CC4-5D6E-409C-BE32-E72D297353CC}">
              <c16:uniqueId val="{00000002-55AD-4834-B792-C7BA200F4035}"/>
            </c:ext>
          </c:extLst>
        </c:ser>
        <c:dLbls>
          <c:dLblPos val="outEnd"/>
          <c:showLegendKey val="0"/>
          <c:showVal val="1"/>
          <c:showCatName val="0"/>
          <c:showSerName val="0"/>
          <c:showPercent val="0"/>
          <c:showBubbleSize val="0"/>
        </c:dLbls>
        <c:gapWidth val="100"/>
        <c:overlap val="-24"/>
        <c:axId val="1285848800"/>
        <c:axId val="1090817039"/>
      </c:barChart>
      <c:catAx>
        <c:axId val="1285848800"/>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090817039"/>
        <c:crosses val="autoZero"/>
        <c:auto val="1"/>
        <c:lblAlgn val="ctr"/>
        <c:lblOffset val="100"/>
        <c:noMultiLvlLbl val="0"/>
      </c:catAx>
      <c:valAx>
        <c:axId val="1090817039"/>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285848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IN" sz="1100"/>
              <a:t>Fig 3.1: Solvency</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tx>
            <c:strRef>
              <c:f>Charts!$B$20</c:f>
              <c:strCache>
                <c:ptCount val="1"/>
                <c:pt idx="0">
                  <c:v>2022</c:v>
                </c:pt>
              </c:strCache>
            </c:strRef>
          </c:tx>
          <c:spPr>
            <a:solidFill>
              <a:schemeClr val="accent1">
                <a:lumMod val="75000"/>
              </a:schemeClr>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Charts!$A$21:$A$22</c:f>
              <c:strCache>
                <c:ptCount val="2"/>
                <c:pt idx="0">
                  <c:v>Debt to equity (D/E)</c:v>
                </c:pt>
                <c:pt idx="1">
                  <c:v>Debt to total assets</c:v>
                </c:pt>
              </c:strCache>
            </c:strRef>
          </c:cat>
          <c:val>
            <c:numRef>
              <c:f>Charts!$B$21:$B$22</c:f>
              <c:numCache>
                <c:formatCode>_(* #,##0.00_);_(* \(#,##0.00\);_(* "-"??_);_(@_)</c:formatCode>
                <c:ptCount val="2"/>
                <c:pt idx="0">
                  <c:v>0.45979608745369516</c:v>
                </c:pt>
                <c:pt idx="1">
                  <c:v>0.14513427351812827</c:v>
                </c:pt>
              </c:numCache>
            </c:numRef>
          </c:val>
          <c:extLst>
            <c:ext xmlns:c16="http://schemas.microsoft.com/office/drawing/2014/chart" uri="{C3380CC4-5D6E-409C-BE32-E72D297353CC}">
              <c16:uniqueId val="{00000000-33A5-404E-927F-A43A144C6BB6}"/>
            </c:ext>
          </c:extLst>
        </c:ser>
        <c:ser>
          <c:idx val="1"/>
          <c:order val="1"/>
          <c:tx>
            <c:strRef>
              <c:f>Charts!$C$20</c:f>
              <c:strCache>
                <c:ptCount val="1"/>
                <c:pt idx="0">
                  <c:v>2021</c:v>
                </c:pt>
              </c:strCache>
            </c:strRef>
          </c:tx>
          <c:spPr>
            <a:solidFill>
              <a:schemeClr val="accent1">
                <a:lumMod val="60000"/>
                <a:lumOff val="40000"/>
              </a:schemeClr>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Charts!$A$21:$A$22</c:f>
              <c:strCache>
                <c:ptCount val="2"/>
                <c:pt idx="0">
                  <c:v>Debt to equity (D/E)</c:v>
                </c:pt>
                <c:pt idx="1">
                  <c:v>Debt to total assets</c:v>
                </c:pt>
              </c:strCache>
            </c:strRef>
          </c:cat>
          <c:val>
            <c:numRef>
              <c:f>Charts!$C$21:$C$22</c:f>
              <c:numCache>
                <c:formatCode>_(* #,##0.00_);_(* \(#,##0.00\);_(* "-"??_);_(@_)</c:formatCode>
                <c:ptCount val="2"/>
                <c:pt idx="0">
                  <c:v>0.35259141379435061</c:v>
                </c:pt>
                <c:pt idx="1">
                  <c:v>0.11590563763081116</c:v>
                </c:pt>
              </c:numCache>
            </c:numRef>
          </c:val>
          <c:extLst>
            <c:ext xmlns:c16="http://schemas.microsoft.com/office/drawing/2014/chart" uri="{C3380CC4-5D6E-409C-BE32-E72D297353CC}">
              <c16:uniqueId val="{00000001-33A5-404E-927F-A43A144C6BB6}"/>
            </c:ext>
          </c:extLst>
        </c:ser>
        <c:ser>
          <c:idx val="2"/>
          <c:order val="2"/>
          <c:tx>
            <c:strRef>
              <c:f>Charts!$D$20</c:f>
              <c:strCache>
                <c:ptCount val="1"/>
                <c:pt idx="0">
                  <c:v>Average</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Charts!$A$21:$A$22</c:f>
              <c:strCache>
                <c:ptCount val="2"/>
                <c:pt idx="0">
                  <c:v>Debt to equity (D/E)</c:v>
                </c:pt>
                <c:pt idx="1">
                  <c:v>Debt to total assets</c:v>
                </c:pt>
              </c:strCache>
            </c:strRef>
          </c:cat>
          <c:val>
            <c:numRef>
              <c:f>Charts!$D$21:$D$22</c:f>
              <c:numCache>
                <c:formatCode>_(* #,##0.00_);_(* \(#,##0.00\);_(* "-"??_);_(@_)</c:formatCode>
                <c:ptCount val="2"/>
                <c:pt idx="0">
                  <c:v>0.60324874657134142</c:v>
                </c:pt>
                <c:pt idx="1">
                  <c:v>0.14561088523972418</c:v>
                </c:pt>
              </c:numCache>
            </c:numRef>
          </c:val>
          <c:extLst>
            <c:ext xmlns:c16="http://schemas.microsoft.com/office/drawing/2014/chart" uri="{C3380CC4-5D6E-409C-BE32-E72D297353CC}">
              <c16:uniqueId val="{00000002-33A5-404E-927F-A43A144C6BB6}"/>
            </c:ext>
          </c:extLst>
        </c:ser>
        <c:dLbls>
          <c:dLblPos val="outEnd"/>
          <c:showLegendKey val="0"/>
          <c:showVal val="1"/>
          <c:showCatName val="0"/>
          <c:showSerName val="0"/>
          <c:showPercent val="0"/>
          <c:showBubbleSize val="0"/>
        </c:dLbls>
        <c:gapWidth val="150"/>
        <c:axId val="1147780687"/>
        <c:axId val="1278026224"/>
      </c:barChart>
      <c:catAx>
        <c:axId val="1147780687"/>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278026224"/>
        <c:crosses val="autoZero"/>
        <c:auto val="1"/>
        <c:lblAlgn val="ctr"/>
        <c:lblOffset val="100"/>
        <c:noMultiLvlLbl val="0"/>
      </c:catAx>
      <c:valAx>
        <c:axId val="1278026224"/>
        <c:scaling>
          <c:orientation val="minMax"/>
        </c:scaling>
        <c:delete val="0"/>
        <c:axPos val="l"/>
        <c:majorGridlines>
          <c:spPr>
            <a:ln w="9525" cap="flat" cmpd="sng" algn="ctr">
              <a:solidFill>
                <a:schemeClr val="lt1">
                  <a:lumMod val="95000"/>
                  <a:alpha val="10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147780687"/>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IN" sz="1100"/>
              <a:t>Fig 3.2:Interest Coverage ratio</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tx>
            <c:strRef>
              <c:f>Charts!$B$23</c:f>
              <c:strCache>
                <c:ptCount val="1"/>
                <c:pt idx="0">
                  <c:v>2022</c:v>
                </c:pt>
              </c:strCache>
            </c:strRef>
          </c:tx>
          <c:spPr>
            <a:solidFill>
              <a:schemeClr val="accent1">
                <a:lumMod val="75000"/>
              </a:schemeClr>
            </a:solidFill>
            <a:ln>
              <a:noFill/>
            </a:ln>
            <a:effectLst>
              <a:outerShdw blurRad="57150" dist="19050" dir="5400000" algn="ctr" rotWithShape="0">
                <a:srgbClr val="000000">
                  <a:alpha val="63000"/>
                </a:srgbClr>
              </a:outerShdw>
            </a:effectLst>
          </c:spPr>
          <c:invertIfNegative val="0"/>
          <c:dLbls>
            <c:dLbl>
              <c:idx val="0"/>
              <c:tx>
                <c:rich>
                  <a:bodyPr/>
                  <a:lstStyle/>
                  <a:p>
                    <a:r>
                      <a:rPr lang="en-US"/>
                      <a:t>5.17</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DF24-445A-8E76-EAD60ED5894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Charts!$A$24</c:f>
              <c:strCache>
                <c:ptCount val="1"/>
                <c:pt idx="0">
                  <c:v>Times interest earned</c:v>
                </c:pt>
              </c:strCache>
            </c:strRef>
          </c:cat>
          <c:val>
            <c:numRef>
              <c:f>Charts!$B$24</c:f>
              <c:numCache>
                <c:formatCode>General</c:formatCode>
                <c:ptCount val="1"/>
                <c:pt idx="0">
                  <c:v>5.1744824672581329</c:v>
                </c:pt>
              </c:numCache>
            </c:numRef>
          </c:val>
          <c:extLst>
            <c:ext xmlns:c16="http://schemas.microsoft.com/office/drawing/2014/chart" uri="{C3380CC4-5D6E-409C-BE32-E72D297353CC}">
              <c16:uniqueId val="{00000000-6593-4658-BF8E-9B1D774A8B62}"/>
            </c:ext>
          </c:extLst>
        </c:ser>
        <c:ser>
          <c:idx val="1"/>
          <c:order val="1"/>
          <c:tx>
            <c:strRef>
              <c:f>Charts!$C$23</c:f>
              <c:strCache>
                <c:ptCount val="1"/>
                <c:pt idx="0">
                  <c:v>2021</c:v>
                </c:pt>
              </c:strCache>
            </c:strRef>
          </c:tx>
          <c:spPr>
            <a:solidFill>
              <a:schemeClr val="accent1">
                <a:lumMod val="60000"/>
                <a:lumOff val="40000"/>
              </a:schemeClr>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Charts!$A$24</c:f>
              <c:strCache>
                <c:ptCount val="1"/>
                <c:pt idx="0">
                  <c:v>Times interest earned</c:v>
                </c:pt>
              </c:strCache>
            </c:strRef>
          </c:cat>
          <c:val>
            <c:numRef>
              <c:f>Charts!$C$24</c:f>
              <c:numCache>
                <c:formatCode>_(* #,##0.00_);_(* \(#,##0.00\);_(* "-"??_);_(@_)</c:formatCode>
                <c:ptCount val="1"/>
                <c:pt idx="0">
                  <c:v>13.752902155887231</c:v>
                </c:pt>
              </c:numCache>
            </c:numRef>
          </c:val>
          <c:extLst>
            <c:ext xmlns:c16="http://schemas.microsoft.com/office/drawing/2014/chart" uri="{C3380CC4-5D6E-409C-BE32-E72D297353CC}">
              <c16:uniqueId val="{00000001-6593-4658-BF8E-9B1D774A8B62}"/>
            </c:ext>
          </c:extLst>
        </c:ser>
        <c:ser>
          <c:idx val="2"/>
          <c:order val="2"/>
          <c:tx>
            <c:strRef>
              <c:f>Charts!$D$23</c:f>
              <c:strCache>
                <c:ptCount val="1"/>
                <c:pt idx="0">
                  <c:v>Average</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Charts!$A$24</c:f>
              <c:strCache>
                <c:ptCount val="1"/>
                <c:pt idx="0">
                  <c:v>Times interest earned</c:v>
                </c:pt>
              </c:strCache>
            </c:strRef>
          </c:cat>
          <c:val>
            <c:numRef>
              <c:f>Charts!$D$24</c:f>
              <c:numCache>
                <c:formatCode>_(* #,##0.00_);_(* \(#,##0.00\);_(* "-"??_);_(@_)</c:formatCode>
                <c:ptCount val="1"/>
                <c:pt idx="0">
                  <c:v>7.5652694399320026</c:v>
                </c:pt>
              </c:numCache>
            </c:numRef>
          </c:val>
          <c:extLst>
            <c:ext xmlns:c16="http://schemas.microsoft.com/office/drawing/2014/chart" uri="{C3380CC4-5D6E-409C-BE32-E72D297353CC}">
              <c16:uniqueId val="{00000002-6593-4658-BF8E-9B1D774A8B62}"/>
            </c:ext>
          </c:extLst>
        </c:ser>
        <c:dLbls>
          <c:dLblPos val="outEnd"/>
          <c:showLegendKey val="0"/>
          <c:showVal val="1"/>
          <c:showCatName val="0"/>
          <c:showSerName val="0"/>
          <c:showPercent val="0"/>
          <c:showBubbleSize val="0"/>
        </c:dLbls>
        <c:gapWidth val="100"/>
        <c:overlap val="-24"/>
        <c:axId val="1148332495"/>
        <c:axId val="1093652591"/>
      </c:barChart>
      <c:catAx>
        <c:axId val="1148332495"/>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093652591"/>
        <c:crosses val="autoZero"/>
        <c:auto val="1"/>
        <c:lblAlgn val="ctr"/>
        <c:lblOffset val="100"/>
        <c:noMultiLvlLbl val="0"/>
      </c:catAx>
      <c:valAx>
        <c:axId val="1093652591"/>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1483324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IN" sz="1100"/>
              <a:t>Fig 4 Turnover</a:t>
            </a:r>
            <a:r>
              <a:rPr lang="en-IN" sz="1100" baseline="0"/>
              <a:t> ratios</a:t>
            </a:r>
            <a:endParaRPr lang="en-IN" sz="1100"/>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tx>
            <c:strRef>
              <c:f>Charts!$B$26</c:f>
              <c:strCache>
                <c:ptCount val="1"/>
                <c:pt idx="0">
                  <c:v>2022</c:v>
                </c:pt>
              </c:strCache>
            </c:strRef>
          </c:tx>
          <c:spPr>
            <a:solidFill>
              <a:schemeClr val="accent1">
                <a:lumMod val="75000"/>
              </a:schemeClr>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Charts!$A$27:$A$28</c:f>
              <c:strCache>
                <c:ptCount val="2"/>
                <c:pt idx="0">
                  <c:v>Total asset turnover</c:v>
                </c:pt>
                <c:pt idx="1">
                  <c:v>Inventory turnover</c:v>
                </c:pt>
              </c:strCache>
            </c:strRef>
          </c:cat>
          <c:val>
            <c:numRef>
              <c:f>Charts!$B$27:$B$28</c:f>
              <c:numCache>
                <c:formatCode>_(* #,##0.00_);_(* \(#,##0.00\);_(* "-"??_);_(@_)</c:formatCode>
                <c:ptCount val="2"/>
                <c:pt idx="0">
                  <c:v>1.1638791518346421</c:v>
                </c:pt>
                <c:pt idx="1">
                  <c:v>8.6160340070102173</c:v>
                </c:pt>
              </c:numCache>
            </c:numRef>
          </c:val>
          <c:extLst>
            <c:ext xmlns:c16="http://schemas.microsoft.com/office/drawing/2014/chart" uri="{C3380CC4-5D6E-409C-BE32-E72D297353CC}">
              <c16:uniqueId val="{00000000-A5B6-4AF0-A4ED-1B28250E9464}"/>
            </c:ext>
          </c:extLst>
        </c:ser>
        <c:ser>
          <c:idx val="1"/>
          <c:order val="1"/>
          <c:tx>
            <c:strRef>
              <c:f>Charts!$C$26</c:f>
              <c:strCache>
                <c:ptCount val="1"/>
                <c:pt idx="0">
                  <c:v>2021</c:v>
                </c:pt>
              </c:strCache>
            </c:strRef>
          </c:tx>
          <c:spPr>
            <a:solidFill>
              <a:schemeClr val="accent1">
                <a:lumMod val="60000"/>
                <a:lumOff val="40000"/>
              </a:schemeClr>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Charts!$A$27:$A$28</c:f>
              <c:strCache>
                <c:ptCount val="2"/>
                <c:pt idx="0">
                  <c:v>Total asset turnover</c:v>
                </c:pt>
                <c:pt idx="1">
                  <c:v>Inventory turnover</c:v>
                </c:pt>
              </c:strCache>
            </c:strRef>
          </c:cat>
          <c:val>
            <c:numRef>
              <c:f>Charts!$C$27:$C$28</c:f>
              <c:numCache>
                <c:formatCode>_(* #,##0.00_);_(* \(#,##0.00\);_(* "-"??_);_(@_)</c:formatCode>
                <c:ptCount val="2"/>
                <c:pt idx="0">
                  <c:v>1.2668036411484285</c:v>
                </c:pt>
                <c:pt idx="1">
                  <c:v>9.6515991849029863</c:v>
                </c:pt>
              </c:numCache>
            </c:numRef>
          </c:val>
          <c:extLst>
            <c:ext xmlns:c16="http://schemas.microsoft.com/office/drawing/2014/chart" uri="{C3380CC4-5D6E-409C-BE32-E72D297353CC}">
              <c16:uniqueId val="{00000001-A5B6-4AF0-A4ED-1B28250E9464}"/>
            </c:ext>
          </c:extLst>
        </c:ser>
        <c:ser>
          <c:idx val="2"/>
          <c:order val="2"/>
          <c:tx>
            <c:strRef>
              <c:f>Charts!$D$26</c:f>
              <c:strCache>
                <c:ptCount val="1"/>
                <c:pt idx="0">
                  <c:v>Average</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Charts!$A$27:$A$28</c:f>
              <c:strCache>
                <c:ptCount val="2"/>
                <c:pt idx="0">
                  <c:v>Total asset turnover</c:v>
                </c:pt>
                <c:pt idx="1">
                  <c:v>Inventory turnover</c:v>
                </c:pt>
              </c:strCache>
            </c:strRef>
          </c:cat>
          <c:val>
            <c:numRef>
              <c:f>Charts!$D$27:$D$28</c:f>
              <c:numCache>
                <c:formatCode>_(* #,##0.00_);_(* \(#,##0.00\);_(* "-"??_);_(@_)</c:formatCode>
                <c:ptCount val="2"/>
                <c:pt idx="0">
                  <c:v>1.5625519357019115</c:v>
                </c:pt>
                <c:pt idx="1">
                  <c:v>8.4347968622331209</c:v>
                </c:pt>
              </c:numCache>
            </c:numRef>
          </c:val>
          <c:extLst>
            <c:ext xmlns:c16="http://schemas.microsoft.com/office/drawing/2014/chart" uri="{C3380CC4-5D6E-409C-BE32-E72D297353CC}">
              <c16:uniqueId val="{00000002-A5B6-4AF0-A4ED-1B28250E9464}"/>
            </c:ext>
          </c:extLst>
        </c:ser>
        <c:dLbls>
          <c:dLblPos val="outEnd"/>
          <c:showLegendKey val="0"/>
          <c:showVal val="1"/>
          <c:showCatName val="0"/>
          <c:showSerName val="0"/>
          <c:showPercent val="0"/>
          <c:showBubbleSize val="0"/>
        </c:dLbls>
        <c:gapWidth val="150"/>
        <c:axId val="1284135296"/>
        <c:axId val="1275766752"/>
      </c:barChart>
      <c:catAx>
        <c:axId val="1284135296"/>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275766752"/>
        <c:crosses val="autoZero"/>
        <c:auto val="1"/>
        <c:lblAlgn val="ctr"/>
        <c:lblOffset val="100"/>
        <c:noMultiLvlLbl val="0"/>
      </c:catAx>
      <c:valAx>
        <c:axId val="1275766752"/>
        <c:scaling>
          <c:orientation val="minMax"/>
        </c:scaling>
        <c:delete val="0"/>
        <c:axPos val="l"/>
        <c:majorGridlines>
          <c:spPr>
            <a:ln w="9525" cap="flat" cmpd="sng" algn="ctr">
              <a:solidFill>
                <a:schemeClr val="lt1">
                  <a:lumMod val="95000"/>
                  <a:alpha val="10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28413529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IN" sz="1100"/>
              <a:t>Fig 4.1:Investor</a:t>
            </a:r>
            <a:r>
              <a:rPr lang="en-IN" sz="1100" baseline="0"/>
              <a:t> ratios</a:t>
            </a:r>
            <a:endParaRPr lang="en-IN" sz="1100"/>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tx>
            <c:strRef>
              <c:f>Charts!$B$31</c:f>
              <c:strCache>
                <c:ptCount val="1"/>
                <c:pt idx="0">
                  <c:v>2022</c:v>
                </c:pt>
              </c:strCache>
            </c:strRef>
          </c:tx>
          <c:spPr>
            <a:solidFill>
              <a:schemeClr val="accent1">
                <a:lumMod val="75000"/>
              </a:schemeClr>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Charts!$A$32:$A$34</c:f>
              <c:strCache>
                <c:ptCount val="3"/>
                <c:pt idx="0">
                  <c:v>ROE</c:v>
                </c:pt>
                <c:pt idx="1">
                  <c:v>ROCE</c:v>
                </c:pt>
                <c:pt idx="2">
                  <c:v>ROA</c:v>
                </c:pt>
              </c:strCache>
            </c:strRef>
          </c:cat>
          <c:val>
            <c:numRef>
              <c:f>Charts!$B$32:$B$34</c:f>
              <c:numCache>
                <c:formatCode>0%</c:formatCode>
                <c:ptCount val="3"/>
                <c:pt idx="0">
                  <c:v>-1.8638346240490815E-2</c:v>
                </c:pt>
                <c:pt idx="1">
                  <c:v>-1.2767773801203605E-2</c:v>
                </c:pt>
                <c:pt idx="2">
                  <c:v>-5.8831793375479545E-3</c:v>
                </c:pt>
              </c:numCache>
            </c:numRef>
          </c:val>
          <c:extLst>
            <c:ext xmlns:c16="http://schemas.microsoft.com/office/drawing/2014/chart" uri="{C3380CC4-5D6E-409C-BE32-E72D297353CC}">
              <c16:uniqueId val="{00000000-34BA-4517-BF90-5B214DA7DDFB}"/>
            </c:ext>
          </c:extLst>
        </c:ser>
        <c:ser>
          <c:idx val="1"/>
          <c:order val="1"/>
          <c:tx>
            <c:strRef>
              <c:f>Charts!$C$31</c:f>
              <c:strCache>
                <c:ptCount val="1"/>
                <c:pt idx="0">
                  <c:v>2021</c:v>
                </c:pt>
              </c:strCache>
            </c:strRef>
          </c:tx>
          <c:spPr>
            <a:solidFill>
              <a:schemeClr val="accent1">
                <a:lumMod val="60000"/>
                <a:lumOff val="40000"/>
              </a:schemeClr>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Charts!$A$32:$A$34</c:f>
              <c:strCache>
                <c:ptCount val="3"/>
                <c:pt idx="0">
                  <c:v>ROE</c:v>
                </c:pt>
                <c:pt idx="1">
                  <c:v>ROCE</c:v>
                </c:pt>
                <c:pt idx="2">
                  <c:v>ROA</c:v>
                </c:pt>
              </c:strCache>
            </c:strRef>
          </c:cat>
          <c:val>
            <c:numRef>
              <c:f>Charts!$C$32:$C$34</c:f>
              <c:numCache>
                <c:formatCode>0%</c:formatCode>
                <c:ptCount val="3"/>
                <c:pt idx="0">
                  <c:v>0.2413396506202756</c:v>
                </c:pt>
                <c:pt idx="1">
                  <c:v>0.17842760804111471</c:v>
                </c:pt>
                <c:pt idx="2">
                  <c:v>7.9334393851846041E-2</c:v>
                </c:pt>
              </c:numCache>
            </c:numRef>
          </c:val>
          <c:extLst>
            <c:ext xmlns:c16="http://schemas.microsoft.com/office/drawing/2014/chart" uri="{C3380CC4-5D6E-409C-BE32-E72D297353CC}">
              <c16:uniqueId val="{00000001-34BA-4517-BF90-5B214DA7DDFB}"/>
            </c:ext>
          </c:extLst>
        </c:ser>
        <c:ser>
          <c:idx val="2"/>
          <c:order val="2"/>
          <c:tx>
            <c:strRef>
              <c:f>Charts!$D$31</c:f>
              <c:strCache>
                <c:ptCount val="1"/>
                <c:pt idx="0">
                  <c:v>Average</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Charts!$A$32:$A$34</c:f>
              <c:strCache>
                <c:ptCount val="3"/>
                <c:pt idx="0">
                  <c:v>ROE</c:v>
                </c:pt>
                <c:pt idx="1">
                  <c:v>ROCE</c:v>
                </c:pt>
                <c:pt idx="2">
                  <c:v>ROA</c:v>
                </c:pt>
              </c:strCache>
            </c:strRef>
          </c:cat>
          <c:val>
            <c:numRef>
              <c:f>Charts!$D$32:$D$34</c:f>
              <c:numCache>
                <c:formatCode>0%</c:formatCode>
                <c:ptCount val="3"/>
                <c:pt idx="0">
                  <c:v>0.17582807255900831</c:v>
                </c:pt>
                <c:pt idx="1">
                  <c:v>0.11454743423825485</c:v>
                </c:pt>
                <c:pt idx="2">
                  <c:v>4.5491605787781941E-2</c:v>
                </c:pt>
              </c:numCache>
            </c:numRef>
          </c:val>
          <c:extLst>
            <c:ext xmlns:c16="http://schemas.microsoft.com/office/drawing/2014/chart" uri="{C3380CC4-5D6E-409C-BE32-E72D297353CC}">
              <c16:uniqueId val="{00000002-34BA-4517-BF90-5B214DA7DDFB}"/>
            </c:ext>
          </c:extLst>
        </c:ser>
        <c:dLbls>
          <c:dLblPos val="outEnd"/>
          <c:showLegendKey val="0"/>
          <c:showVal val="1"/>
          <c:showCatName val="0"/>
          <c:showSerName val="0"/>
          <c:showPercent val="0"/>
          <c:showBubbleSize val="0"/>
        </c:dLbls>
        <c:gapWidth val="150"/>
        <c:axId val="1276355408"/>
        <c:axId val="1112459856"/>
      </c:barChart>
      <c:catAx>
        <c:axId val="1276355408"/>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112459856"/>
        <c:crosses val="autoZero"/>
        <c:auto val="1"/>
        <c:lblAlgn val="ctr"/>
        <c:lblOffset val="100"/>
        <c:noMultiLvlLbl val="0"/>
      </c:catAx>
      <c:valAx>
        <c:axId val="1112459856"/>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27635540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IN" sz="1100"/>
              <a:t>Fig 4.2:</a:t>
            </a:r>
            <a:r>
              <a:rPr lang="en-IN" sz="1100" baseline="0"/>
              <a:t> </a:t>
            </a:r>
            <a:r>
              <a:rPr lang="en-IN" sz="1100"/>
              <a:t>Earnings</a:t>
            </a:r>
            <a:r>
              <a:rPr lang="en-IN" sz="1100" baseline="0"/>
              <a:t> per share</a:t>
            </a:r>
            <a:endParaRPr lang="en-IN" sz="1100"/>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tx>
            <c:strRef>
              <c:f>Charts!$B$35</c:f>
              <c:strCache>
                <c:ptCount val="1"/>
                <c:pt idx="0">
                  <c:v>2022</c:v>
                </c:pt>
              </c:strCache>
            </c:strRef>
          </c:tx>
          <c:spPr>
            <a:solidFill>
              <a:schemeClr val="accent1">
                <a:lumMod val="75000"/>
              </a:schemeClr>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Charts!$A$36</c:f>
              <c:strCache>
                <c:ptCount val="1"/>
                <c:pt idx="0">
                  <c:v>Earnings per share (EPS)</c:v>
                </c:pt>
              </c:strCache>
            </c:strRef>
          </c:cat>
          <c:val>
            <c:numRef>
              <c:f>Charts!$B$36</c:f>
              <c:numCache>
                <c:formatCode>_(* #,##0.00_);_(* \(#,##0.00\);_(* "-"??_);_(@_)</c:formatCode>
                <c:ptCount val="1"/>
                <c:pt idx="0">
                  <c:v>-0.27</c:v>
                </c:pt>
              </c:numCache>
            </c:numRef>
          </c:val>
          <c:extLst>
            <c:ext xmlns:c16="http://schemas.microsoft.com/office/drawing/2014/chart" uri="{C3380CC4-5D6E-409C-BE32-E72D297353CC}">
              <c16:uniqueId val="{00000000-80DD-417B-AD06-3CC46AE14BED}"/>
            </c:ext>
          </c:extLst>
        </c:ser>
        <c:ser>
          <c:idx val="1"/>
          <c:order val="1"/>
          <c:tx>
            <c:strRef>
              <c:f>Charts!$C$35</c:f>
              <c:strCache>
                <c:ptCount val="1"/>
                <c:pt idx="0">
                  <c:v>2021</c:v>
                </c:pt>
              </c:strCache>
            </c:strRef>
          </c:tx>
          <c:spPr>
            <a:solidFill>
              <a:schemeClr val="accent1">
                <a:lumMod val="60000"/>
                <a:lumOff val="40000"/>
              </a:schemeClr>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Charts!$A$36</c:f>
              <c:strCache>
                <c:ptCount val="1"/>
                <c:pt idx="0">
                  <c:v>Earnings per share (EPS)</c:v>
                </c:pt>
              </c:strCache>
            </c:strRef>
          </c:cat>
          <c:val>
            <c:numRef>
              <c:f>Charts!$C$36</c:f>
              <c:numCache>
                <c:formatCode>_(* #,##0.00_);_(* \(#,##0.00\);_(* "-"??_);_(@_)</c:formatCode>
                <c:ptCount val="1"/>
                <c:pt idx="0">
                  <c:v>3.2404999999999999</c:v>
                </c:pt>
              </c:numCache>
            </c:numRef>
          </c:val>
          <c:extLst>
            <c:ext xmlns:c16="http://schemas.microsoft.com/office/drawing/2014/chart" uri="{C3380CC4-5D6E-409C-BE32-E72D297353CC}">
              <c16:uniqueId val="{00000001-80DD-417B-AD06-3CC46AE14BED}"/>
            </c:ext>
          </c:extLst>
        </c:ser>
        <c:ser>
          <c:idx val="2"/>
          <c:order val="2"/>
          <c:tx>
            <c:strRef>
              <c:f>Charts!$D$35</c:f>
              <c:strCache>
                <c:ptCount val="1"/>
                <c:pt idx="0">
                  <c:v>Average</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Charts!$A$36</c:f>
              <c:strCache>
                <c:ptCount val="1"/>
                <c:pt idx="0">
                  <c:v>Earnings per share (EPS)</c:v>
                </c:pt>
              </c:strCache>
            </c:strRef>
          </c:cat>
          <c:val>
            <c:numRef>
              <c:f>Charts!$D$36</c:f>
              <c:numCache>
                <c:formatCode>_(* #,##0.00_);_(* \(#,##0.00\);_(* "-"??_);_(@_)</c:formatCode>
                <c:ptCount val="1"/>
                <c:pt idx="0">
                  <c:v>0.82166666666666677</c:v>
                </c:pt>
              </c:numCache>
            </c:numRef>
          </c:val>
          <c:extLst>
            <c:ext xmlns:c16="http://schemas.microsoft.com/office/drawing/2014/chart" uri="{C3380CC4-5D6E-409C-BE32-E72D297353CC}">
              <c16:uniqueId val="{00000002-80DD-417B-AD06-3CC46AE14BED}"/>
            </c:ext>
          </c:extLst>
        </c:ser>
        <c:dLbls>
          <c:dLblPos val="outEnd"/>
          <c:showLegendKey val="0"/>
          <c:showVal val="1"/>
          <c:showCatName val="0"/>
          <c:showSerName val="0"/>
          <c:showPercent val="0"/>
          <c:showBubbleSize val="0"/>
        </c:dLbls>
        <c:gapWidth val="150"/>
        <c:axId val="1276559600"/>
        <c:axId val="1090816543"/>
      </c:barChart>
      <c:catAx>
        <c:axId val="1276559600"/>
        <c:scaling>
          <c:orientation val="minMax"/>
        </c:scaling>
        <c:delete val="1"/>
        <c:axPos val="b"/>
        <c:numFmt formatCode="General" sourceLinked="1"/>
        <c:majorTickMark val="none"/>
        <c:minorTickMark val="none"/>
        <c:tickLblPos val="nextTo"/>
        <c:crossAx val="1090816543"/>
        <c:crosses val="autoZero"/>
        <c:auto val="1"/>
        <c:lblAlgn val="ctr"/>
        <c:lblOffset val="100"/>
        <c:noMultiLvlLbl val="0"/>
      </c:catAx>
      <c:valAx>
        <c:axId val="1090816543"/>
        <c:scaling>
          <c:orientation val="minMax"/>
        </c:scaling>
        <c:delete val="0"/>
        <c:axPos val="l"/>
        <c:majorGridlines>
          <c:spPr>
            <a:ln w="9525" cap="flat" cmpd="sng" algn="ctr">
              <a:solidFill>
                <a:schemeClr val="lt1">
                  <a:lumMod val="95000"/>
                  <a:alpha val="10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27655960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9.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JAIN Tanish</dc:creator>
  <cp:keywords/>
  <dc:description/>
  <cp:lastModifiedBy>Waqas Albert</cp:lastModifiedBy>
  <cp:revision>2</cp:revision>
  <cp:lastPrinted>2024-02-22T17:11:00Z</cp:lastPrinted>
  <dcterms:created xsi:type="dcterms:W3CDTF">2024-02-23T11:29:00Z</dcterms:created>
  <dcterms:modified xsi:type="dcterms:W3CDTF">2024-02-23T11:29:00Z</dcterms:modified>
</cp:coreProperties>
</file>