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page" w:tblpX="1" w:tblpY="-1332"/>
        <w:tblW w:w="15260" w:type="dxa"/>
        <w:tblLook w:val="04A0" w:firstRow="1" w:lastRow="0" w:firstColumn="1" w:lastColumn="0" w:noHBand="0" w:noVBand="1"/>
      </w:tblPr>
      <w:tblGrid>
        <w:gridCol w:w="1440"/>
        <w:gridCol w:w="3900"/>
        <w:gridCol w:w="1880"/>
        <w:gridCol w:w="1600"/>
        <w:gridCol w:w="1640"/>
        <w:gridCol w:w="960"/>
        <w:gridCol w:w="960"/>
        <w:gridCol w:w="960"/>
        <w:gridCol w:w="960"/>
        <w:gridCol w:w="960"/>
      </w:tblGrid>
      <w:tr w:rsidR="00592061" w:rsidRPr="006A0783" w14:paraId="501CC77E" w14:textId="77777777" w:rsidTr="00E83940">
        <w:trPr>
          <w:trHeight w:val="1200"/>
        </w:trPr>
        <w:tc>
          <w:tcPr>
            <w:tcW w:w="1440" w:type="dxa"/>
            <w:tcBorders>
              <w:top w:val="nil"/>
              <w:left w:val="nil"/>
              <w:bottom w:val="nil"/>
              <w:right w:val="nil"/>
            </w:tcBorders>
            <w:shd w:val="clear" w:color="000000" w:fill="002060"/>
            <w:noWrap/>
            <w:vAlign w:val="center"/>
            <w:hideMark/>
          </w:tcPr>
          <w:p w14:paraId="78F42B5A" w14:textId="77777777" w:rsidR="006A0783" w:rsidRPr="006A0783" w:rsidRDefault="006A0783" w:rsidP="0008638F">
            <w:pPr>
              <w:rPr>
                <w:rFonts w:ascii="Calibri" w:eastAsia="Times New Roman" w:hAnsi="Calibri" w:cs="Calibri"/>
                <w:b/>
                <w:bCs/>
                <w:color w:val="FFFFFF"/>
                <w:kern w:val="0"/>
                <w:sz w:val="40"/>
                <w:szCs w:val="40"/>
                <w14:ligatures w14:val="none"/>
              </w:rPr>
            </w:pPr>
            <w:r w:rsidRPr="006A0783">
              <w:rPr>
                <w:rFonts w:ascii="Calibri" w:eastAsia="Times New Roman" w:hAnsi="Calibri" w:cs="Calibri"/>
                <w:b/>
                <w:bCs/>
                <w:color w:val="FFFFFF"/>
                <w:kern w:val="0"/>
                <w:sz w:val="40"/>
                <w:szCs w:val="40"/>
                <w14:ligatures w14:val="none"/>
              </w:rPr>
              <w:t> </w:t>
            </w:r>
          </w:p>
        </w:tc>
        <w:tc>
          <w:tcPr>
            <w:tcW w:w="3900" w:type="dxa"/>
            <w:tcBorders>
              <w:top w:val="nil"/>
              <w:left w:val="nil"/>
              <w:bottom w:val="nil"/>
              <w:right w:val="nil"/>
            </w:tcBorders>
            <w:shd w:val="clear" w:color="000000" w:fill="002060"/>
            <w:noWrap/>
            <w:vAlign w:val="bottom"/>
            <w:hideMark/>
          </w:tcPr>
          <w:p w14:paraId="34F68C4F" w14:textId="77777777" w:rsidR="006A0783" w:rsidRDefault="006A0783" w:rsidP="0008638F">
            <w:pPr>
              <w:spacing w:after="0" w:line="240" w:lineRule="auto"/>
              <w:rPr>
                <w:rFonts w:ascii="Calibri" w:eastAsia="Times New Roman" w:hAnsi="Calibri" w:cs="Calibri"/>
                <w:b/>
                <w:bCs/>
                <w:color w:val="FFFFFF"/>
                <w:kern w:val="0"/>
                <w:sz w:val="56"/>
                <w:szCs w:val="56"/>
                <w14:ligatures w14:val="none"/>
              </w:rPr>
            </w:pPr>
            <w:r w:rsidRPr="006A0783">
              <w:rPr>
                <w:rFonts w:ascii="Calibri" w:eastAsia="Times New Roman" w:hAnsi="Calibri" w:cs="Calibri"/>
                <w:b/>
                <w:bCs/>
                <w:color w:val="FFFFFF"/>
                <w:kern w:val="0"/>
                <w:sz w:val="56"/>
                <w:szCs w:val="56"/>
                <w14:ligatures w14:val="none"/>
              </w:rPr>
              <w:t>Apple Inc.</w:t>
            </w:r>
          </w:p>
          <w:p w14:paraId="290A3FC2" w14:textId="77777777" w:rsidR="006A0783" w:rsidRDefault="006A0783" w:rsidP="0008638F">
            <w:pPr>
              <w:spacing w:after="0" w:line="240" w:lineRule="auto"/>
              <w:rPr>
                <w:rFonts w:ascii="Calibri" w:eastAsia="Times New Roman" w:hAnsi="Calibri" w:cs="Calibri"/>
                <w:b/>
                <w:bCs/>
                <w:color w:val="FFFFFF"/>
                <w:kern w:val="0"/>
                <w:sz w:val="56"/>
                <w:szCs w:val="56"/>
                <w14:ligatures w14:val="none"/>
              </w:rPr>
            </w:pPr>
          </w:p>
          <w:p w14:paraId="093CC9A0" w14:textId="77777777" w:rsidR="006A0783" w:rsidRPr="00592061" w:rsidRDefault="006A0783" w:rsidP="00592061">
            <w:pPr>
              <w:spacing w:after="60"/>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92061">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Financial Performance Analysis Report</w:t>
            </w:r>
          </w:p>
          <w:p w14:paraId="342A57BF" w14:textId="49F876DA" w:rsidR="00592061" w:rsidRPr="00592061" w:rsidRDefault="00592061" w:rsidP="00592061">
            <w:pPr>
              <w:spacing w:after="60"/>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92061">
              <w:rPr>
                <w:b/>
                <w:bCs/>
                <w:outline/>
                <w:color w:val="ED7D31" w:themeColor="accent2"/>
                <w:sz w:val="18"/>
                <w:szCs w:val="1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Fiscal Years 2020 - 2022</w:t>
            </w:r>
          </w:p>
          <w:p w14:paraId="4A301681" w14:textId="5BF456BF" w:rsidR="006A0783" w:rsidRPr="00592061" w:rsidRDefault="006A0783" w:rsidP="00592061">
            <w:pPr>
              <w:spacing w:after="60"/>
              <w:ind w:left="10080"/>
              <w:rPr>
                <w:b/>
                <w:bCs/>
                <w:color w:val="FF0000"/>
                <w:sz w:val="20"/>
                <w:szCs w:val="20"/>
              </w:rPr>
            </w:pPr>
          </w:p>
        </w:tc>
        <w:tc>
          <w:tcPr>
            <w:tcW w:w="1880" w:type="dxa"/>
            <w:tcBorders>
              <w:top w:val="nil"/>
              <w:left w:val="nil"/>
              <w:bottom w:val="nil"/>
              <w:right w:val="nil"/>
            </w:tcBorders>
            <w:shd w:val="clear" w:color="000000" w:fill="002060"/>
            <w:noWrap/>
            <w:vAlign w:val="bottom"/>
            <w:hideMark/>
          </w:tcPr>
          <w:p w14:paraId="31DC219D"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65025A33"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264B5263"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2A45D1C"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694B70A"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23ED97D"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02A8EF6"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BBB6BA1" w14:textId="77777777" w:rsidR="006A0783" w:rsidRPr="006A0783" w:rsidRDefault="006A0783" w:rsidP="006A0783">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07D526A5" w14:textId="0ED11E0D" w:rsidR="00E83940" w:rsidRDefault="00E83940" w:rsidP="006A0783"/>
    <w:p w14:paraId="057DB9E4" w14:textId="35DC11F9" w:rsidR="00E83940" w:rsidRDefault="00E83940" w:rsidP="006A0783">
      <w:pPr>
        <w:rPr>
          <w:b/>
          <w:bCs/>
        </w:rPr>
      </w:pPr>
      <w:r w:rsidRPr="00E83940">
        <w:rPr>
          <w:b/>
          <w:bCs/>
        </w:rPr>
        <w:t>Apple Inc. is an American multinational corporation and technology company headquartered and incorporated in Cupertino, California, in Silicon Valley. It is best known for its consumer electronics, software, and services. Founded in 1976 as Apple Computer Company by Steve Jobs, Steve Wozniak and Ronald Wayne, the company was incorporated by Jobs and Wozniak as Apple Computer, Inc. the following year. Apple is the largest technology company by revenue, with US$383.29 billion in 2023.</w:t>
      </w:r>
    </w:p>
    <w:p w14:paraId="03AB8921" w14:textId="77777777" w:rsidR="008863EF" w:rsidRDefault="008863EF" w:rsidP="006A0783">
      <w:pPr>
        <w:rPr>
          <w:b/>
          <w:bCs/>
        </w:rPr>
      </w:pPr>
    </w:p>
    <w:p w14:paraId="68B454E4" w14:textId="551BFD20" w:rsidR="008863EF" w:rsidRDefault="008863EF" w:rsidP="006A0783">
      <w:pPr>
        <w:rPr>
          <w:b/>
          <w:bCs/>
        </w:rPr>
      </w:pPr>
      <w:r>
        <w:rPr>
          <w:b/>
          <w:bCs/>
        </w:rPr>
        <w:t>OWNERSHIP</w:t>
      </w:r>
    </w:p>
    <w:p w14:paraId="4D041B74" w14:textId="1609DD04" w:rsidR="008863EF" w:rsidRDefault="008863EF" w:rsidP="006A0783">
      <w:pPr>
        <w:rPr>
          <w:b/>
          <w:bCs/>
        </w:rPr>
      </w:pPr>
      <w:r>
        <w:rPr>
          <w:b/>
          <w:bCs/>
          <w:noProof/>
        </w:rPr>
        <w:drawing>
          <wp:inline distT="0" distB="0" distL="0" distR="0" wp14:anchorId="1370993B" wp14:editId="740151C3">
            <wp:extent cx="3863340" cy="1523786"/>
            <wp:effectExtent l="0" t="0" r="3810" b="635"/>
            <wp:docPr id="242902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902403" name="Picture 242902403"/>
                    <pic:cNvPicPr/>
                  </pic:nvPicPr>
                  <pic:blipFill>
                    <a:blip r:embed="rId8">
                      <a:extLst>
                        <a:ext uri="{28A0092B-C50C-407E-A947-70E740481C1C}">
                          <a14:useLocalDpi xmlns:a14="http://schemas.microsoft.com/office/drawing/2010/main" val="0"/>
                        </a:ext>
                      </a:extLst>
                    </a:blip>
                    <a:stretch>
                      <a:fillRect/>
                    </a:stretch>
                  </pic:blipFill>
                  <pic:spPr>
                    <a:xfrm>
                      <a:off x="0" y="0"/>
                      <a:ext cx="3885977" cy="1532714"/>
                    </a:xfrm>
                    <a:prstGeom prst="rect">
                      <a:avLst/>
                    </a:prstGeom>
                  </pic:spPr>
                </pic:pic>
              </a:graphicData>
            </a:graphic>
          </wp:inline>
        </w:drawing>
      </w:r>
    </w:p>
    <w:p w14:paraId="309F3ECD" w14:textId="77777777" w:rsidR="00F620D7" w:rsidRDefault="00F620D7" w:rsidP="006A0783">
      <w:pPr>
        <w:rPr>
          <w:b/>
          <w:bCs/>
        </w:rPr>
      </w:pPr>
    </w:p>
    <w:p w14:paraId="72243E32" w14:textId="64F158B9" w:rsidR="00F620D7" w:rsidRPr="00F620D7" w:rsidRDefault="00F620D7" w:rsidP="006A0783">
      <w:pPr>
        <w:rPr>
          <w:b/>
          <w:bCs/>
          <w:color w:val="FF0000"/>
        </w:rPr>
      </w:pPr>
      <w:r w:rsidRPr="00F620D7">
        <w:rPr>
          <w:b/>
          <w:bCs/>
          <w:color w:val="FF0000"/>
        </w:rPr>
        <w:t>Apple Inc. VS Nasdaq 100 Index</w:t>
      </w:r>
    </w:p>
    <w:p w14:paraId="1A5B4BC3" w14:textId="3FC1B017" w:rsidR="00F620D7" w:rsidRDefault="00F620D7" w:rsidP="006A0783">
      <w:pPr>
        <w:rPr>
          <w:b/>
          <w:bCs/>
        </w:rPr>
      </w:pPr>
      <w:r>
        <w:rPr>
          <w:b/>
          <w:bCs/>
          <w:noProof/>
        </w:rPr>
        <w:drawing>
          <wp:inline distT="0" distB="0" distL="0" distR="0" wp14:anchorId="048D2F16" wp14:editId="7C489387">
            <wp:extent cx="5943600" cy="2119630"/>
            <wp:effectExtent l="76200" t="76200" r="133350" b="128270"/>
            <wp:docPr id="5542669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266976" name="Picture 55426697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1196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D996AAA" w14:textId="38B1C15A" w:rsidR="00E83940" w:rsidRPr="00E83940" w:rsidRDefault="00592061" w:rsidP="00592061">
      <w:pPr>
        <w:jc w:val="center"/>
        <w:rPr>
          <w:b/>
          <w:bCs/>
        </w:rPr>
      </w:pPr>
      <w:r>
        <w:rPr>
          <w:b/>
          <w:bCs/>
        </w:rPr>
        <w:t>Fig 1. Outperformance of Apple Inc. as compared to Nasdaq 100 Index</w:t>
      </w:r>
    </w:p>
    <w:p w14:paraId="40B486D4" w14:textId="77777777" w:rsidR="00F620D7" w:rsidRDefault="00F620D7" w:rsidP="006A0783">
      <w:pPr>
        <w:spacing w:after="0" w:line="240" w:lineRule="auto"/>
        <w:rPr>
          <w:rFonts w:ascii="Calibri" w:eastAsia="Times New Roman" w:hAnsi="Calibri" w:cs="Calibri"/>
          <w:b/>
          <w:bCs/>
          <w:color w:val="FF0000"/>
          <w:kern w:val="0"/>
          <w:sz w:val="28"/>
          <w:szCs w:val="28"/>
          <w14:ligatures w14:val="none"/>
        </w:rPr>
      </w:pPr>
    </w:p>
    <w:p w14:paraId="27B068AC" w14:textId="77777777" w:rsidR="00F620D7" w:rsidRDefault="00F620D7" w:rsidP="006A0783">
      <w:pPr>
        <w:spacing w:after="0" w:line="240" w:lineRule="auto"/>
        <w:rPr>
          <w:rFonts w:ascii="Calibri" w:eastAsia="Times New Roman" w:hAnsi="Calibri" w:cs="Calibri"/>
          <w:b/>
          <w:bCs/>
          <w:color w:val="FF0000"/>
          <w:kern w:val="0"/>
          <w:sz w:val="28"/>
          <w:szCs w:val="28"/>
          <w14:ligatures w14:val="none"/>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0ED13986" w14:textId="77777777" w:rsidTr="0016459C">
        <w:trPr>
          <w:trHeight w:val="1200"/>
        </w:trPr>
        <w:tc>
          <w:tcPr>
            <w:tcW w:w="1134" w:type="dxa"/>
            <w:tcBorders>
              <w:top w:val="nil"/>
              <w:left w:val="nil"/>
              <w:bottom w:val="nil"/>
              <w:right w:val="nil"/>
            </w:tcBorders>
            <w:shd w:val="clear" w:color="000000" w:fill="002060"/>
            <w:noWrap/>
            <w:vAlign w:val="center"/>
          </w:tcPr>
          <w:p w14:paraId="27B04AF5" w14:textId="4140FFC3" w:rsidR="0016459C" w:rsidRPr="0016459C" w:rsidRDefault="0016459C" w:rsidP="0016459C">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3138685B" w14:textId="1EE5D61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5C082C3F" w14:textId="0BE3E7D1"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Executive Summary</w:t>
            </w:r>
          </w:p>
          <w:p w14:paraId="604C5D6E" w14:textId="725433CF"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6CA9316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31D8501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5284A9D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6756FA2"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248665B"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E8B75F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73A6F4F"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7CD01F6"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6585CE94" w14:textId="77777777" w:rsidR="006A0783" w:rsidRPr="006A0783" w:rsidRDefault="006A0783" w:rsidP="006A0783">
      <w:pPr>
        <w:spacing w:after="0" w:line="240" w:lineRule="auto"/>
        <w:rPr>
          <w:rFonts w:ascii="Calibri" w:eastAsia="Times New Roman" w:hAnsi="Calibri" w:cs="Calibri"/>
          <w:b/>
          <w:bCs/>
          <w:color w:val="FF0000"/>
          <w:kern w:val="0"/>
          <w:sz w:val="28"/>
          <w:szCs w:val="28"/>
          <w14:ligatures w14:val="none"/>
        </w:rPr>
      </w:pPr>
    </w:p>
    <w:p w14:paraId="5564FBE6" w14:textId="77777777" w:rsidR="006A0783" w:rsidRPr="006A0783" w:rsidRDefault="006A0783"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kern w:val="0"/>
          <w14:ligatures w14:val="none"/>
        </w:rPr>
        <w:t xml:space="preserve">This analysis examines Apple Inc.'s financial performance from 2020 to 2022, revealing </w:t>
      </w:r>
      <w:r w:rsidRPr="006A0783">
        <w:rPr>
          <w:rFonts w:ascii="Calibri" w:eastAsia="Times New Roman" w:hAnsi="Calibri" w:cs="Calibri"/>
          <w:b/>
          <w:bCs/>
          <w:color w:val="FF0000"/>
          <w:kern w:val="0"/>
          <w14:ligatures w14:val="none"/>
        </w:rPr>
        <w:t xml:space="preserve">strong revenue growth, improved profitability, and some emerging challenges in working capital management. </w:t>
      </w:r>
      <w:r w:rsidRPr="006A0783">
        <w:rPr>
          <w:rFonts w:ascii="Calibri" w:eastAsia="Times New Roman" w:hAnsi="Calibri" w:cs="Calibri"/>
          <w:b/>
          <w:bCs/>
          <w:kern w:val="0"/>
          <w14:ligatures w14:val="none"/>
        </w:rPr>
        <w:t>The company has maintained its market leadership while expanding its services segment and managing operational efficiency.</w:t>
      </w:r>
    </w:p>
    <w:p w14:paraId="4A050110" w14:textId="77777777" w:rsidR="006A0783" w:rsidRDefault="006A0783" w:rsidP="006A0783">
      <w:pPr>
        <w:spacing w:after="0" w:line="240" w:lineRule="auto"/>
        <w:rPr>
          <w:rFonts w:ascii="Calibri" w:eastAsia="Times New Roman" w:hAnsi="Calibri" w:cs="Calibri"/>
          <w:b/>
          <w:bCs/>
          <w:color w:val="FF0000"/>
          <w:kern w:val="0"/>
          <w14:ligatures w14:val="none"/>
        </w:rPr>
      </w:pPr>
    </w:p>
    <w:p w14:paraId="7A3E39F7" w14:textId="045F16F1" w:rsidR="006A0783" w:rsidRDefault="006A0783"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color w:val="FF0000"/>
          <w:kern w:val="0"/>
          <w14:ligatures w14:val="none"/>
        </w:rPr>
        <w:t>Years ended September, 202</w:t>
      </w:r>
      <w:r>
        <w:rPr>
          <w:rFonts w:ascii="Calibri" w:eastAsia="Times New Roman" w:hAnsi="Calibri" w:cs="Calibri"/>
          <w:b/>
          <w:bCs/>
          <w:color w:val="FF0000"/>
          <w:kern w:val="0"/>
          <w14:ligatures w14:val="none"/>
        </w:rPr>
        <w:t xml:space="preserve">2 : </w:t>
      </w:r>
      <w:r w:rsidRPr="006A0783">
        <w:rPr>
          <w:rFonts w:ascii="Calibri" w:eastAsia="Times New Roman" w:hAnsi="Calibri" w:cs="Calibri"/>
          <w:b/>
          <w:bCs/>
          <w:kern w:val="0"/>
          <w14:ligatures w14:val="none"/>
        </w:rPr>
        <w:t>Revenue reported</w:t>
      </w:r>
      <w:r w:rsidRPr="006A0783">
        <w:rPr>
          <w:rFonts w:ascii="Calibri" w:eastAsia="Times New Roman" w:hAnsi="Calibri" w:cs="Calibri"/>
          <w:b/>
          <w:bCs/>
          <w:color w:val="FF0000"/>
          <w:kern w:val="0"/>
          <w14:ligatures w14:val="none"/>
        </w:rPr>
        <w:t xml:space="preserve"> $394.3 billion </w:t>
      </w:r>
      <w:r>
        <w:rPr>
          <w:rFonts w:ascii="Calibri" w:eastAsia="Times New Roman" w:hAnsi="Calibri" w:cs="Calibri"/>
          <w:b/>
          <w:bCs/>
          <w:kern w:val="0"/>
          <w14:ligatures w14:val="none"/>
        </w:rPr>
        <w:t xml:space="preserve">, </w:t>
      </w:r>
      <w:r w:rsidRPr="006A0783">
        <w:rPr>
          <w:rFonts w:ascii="Calibri" w:eastAsia="Times New Roman" w:hAnsi="Calibri" w:cs="Calibri"/>
          <w:b/>
          <w:bCs/>
          <w:color w:val="FF0000"/>
          <w:kern w:val="0"/>
          <w14:ligatures w14:val="none"/>
        </w:rPr>
        <w:t xml:space="preserve">up </w:t>
      </w:r>
      <w:r w:rsidRPr="00E069F0">
        <w:rPr>
          <w:rFonts w:ascii="Calibri" w:eastAsia="Times New Roman" w:hAnsi="Calibri" w:cs="Calibri"/>
          <w:b/>
          <w:bCs/>
          <w:color w:val="FF0000"/>
          <w:kern w:val="0"/>
          <w:sz w:val="32"/>
          <w:szCs w:val="32"/>
          <w14:ligatures w14:val="none"/>
        </w:rPr>
        <w:t>8%</w:t>
      </w:r>
      <w:r w:rsidRPr="006A0783">
        <w:rPr>
          <w:rFonts w:ascii="Calibri" w:eastAsia="Times New Roman" w:hAnsi="Calibri" w:cs="Calibri"/>
          <w:b/>
          <w:bCs/>
          <w:color w:val="FF0000"/>
          <w:kern w:val="0"/>
          <w14:ligatures w14:val="none"/>
        </w:rPr>
        <w:t xml:space="preserve"> </w:t>
      </w:r>
      <w:r>
        <w:rPr>
          <w:rFonts w:ascii="Calibri" w:eastAsia="Times New Roman" w:hAnsi="Calibri" w:cs="Calibri"/>
          <w:b/>
          <w:bCs/>
          <w:kern w:val="0"/>
          <w14:ligatures w14:val="none"/>
        </w:rPr>
        <w:t xml:space="preserve">from </w:t>
      </w:r>
      <w:r w:rsidRPr="006A0783">
        <w:rPr>
          <w:rFonts w:ascii="Calibri" w:eastAsia="Times New Roman" w:hAnsi="Calibri" w:cs="Calibri"/>
          <w:b/>
          <w:bCs/>
          <w:kern w:val="0"/>
          <w14:ligatures w14:val="none"/>
        </w:rPr>
        <w:t>$36</w:t>
      </w:r>
      <w:r w:rsidR="0008638F">
        <w:rPr>
          <w:rFonts w:ascii="Calibri" w:eastAsia="Times New Roman" w:hAnsi="Calibri" w:cs="Calibri"/>
          <w:b/>
          <w:bCs/>
          <w:kern w:val="0"/>
          <w14:ligatures w14:val="none"/>
        </w:rPr>
        <w:t>6</w:t>
      </w:r>
      <w:r w:rsidRPr="006A0783">
        <w:rPr>
          <w:rFonts w:ascii="Calibri" w:eastAsia="Times New Roman" w:hAnsi="Calibri" w:cs="Calibri"/>
          <w:b/>
          <w:bCs/>
          <w:kern w:val="0"/>
          <w14:ligatures w14:val="none"/>
        </w:rPr>
        <w:t xml:space="preserve"> billion in 2021. </w:t>
      </w:r>
    </w:p>
    <w:p w14:paraId="44BD25D8" w14:textId="478DA784" w:rsidR="00E069F0" w:rsidRPr="006A0783" w:rsidRDefault="00E069F0" w:rsidP="006A0783">
      <w:pPr>
        <w:spacing w:after="0" w:line="240" w:lineRule="auto"/>
        <w:rPr>
          <w:rFonts w:ascii="Calibri" w:eastAsia="Times New Roman" w:hAnsi="Calibri" w:cs="Calibri"/>
          <w:b/>
          <w:bCs/>
          <w:kern w:val="0"/>
          <w14:ligatures w14:val="none"/>
        </w:rPr>
      </w:pPr>
      <w:r w:rsidRPr="006A0783">
        <w:rPr>
          <w:rFonts w:ascii="Calibri" w:eastAsia="Times New Roman" w:hAnsi="Calibri" w:cs="Calibri"/>
          <w:b/>
          <w:bCs/>
          <w:color w:val="FF0000"/>
          <w:kern w:val="0"/>
          <w14:ligatures w14:val="none"/>
        </w:rPr>
        <w:t>Years ended September, 202</w:t>
      </w:r>
      <w:r>
        <w:rPr>
          <w:rFonts w:ascii="Calibri" w:eastAsia="Times New Roman" w:hAnsi="Calibri" w:cs="Calibri"/>
          <w:b/>
          <w:bCs/>
          <w:color w:val="FF0000"/>
          <w:kern w:val="0"/>
          <w14:ligatures w14:val="none"/>
        </w:rPr>
        <w:t xml:space="preserve">1 : </w:t>
      </w:r>
      <w:r w:rsidRPr="006A0783">
        <w:rPr>
          <w:rFonts w:ascii="Calibri" w:eastAsia="Times New Roman" w:hAnsi="Calibri" w:cs="Calibri"/>
          <w:b/>
          <w:bCs/>
          <w:kern w:val="0"/>
          <w14:ligatures w14:val="none"/>
        </w:rPr>
        <w:t xml:space="preserve">Revenue reported </w:t>
      </w:r>
      <w:r w:rsidRPr="006A0783">
        <w:rPr>
          <w:rFonts w:ascii="Calibri" w:eastAsia="Times New Roman" w:hAnsi="Calibri" w:cs="Calibri"/>
          <w:b/>
          <w:bCs/>
          <w:color w:val="FF0000"/>
          <w:kern w:val="0"/>
          <w14:ligatures w14:val="none"/>
        </w:rPr>
        <w:t>$365.8 billion</w:t>
      </w:r>
      <w:r>
        <w:rPr>
          <w:rFonts w:ascii="Calibri" w:eastAsia="Times New Roman" w:hAnsi="Calibri" w:cs="Calibri"/>
          <w:b/>
          <w:bCs/>
          <w:color w:val="FF0000"/>
          <w:kern w:val="0"/>
          <w14:ligatures w14:val="none"/>
        </w:rPr>
        <w:t>, up 33%</w:t>
      </w:r>
      <w:r>
        <w:rPr>
          <w:rFonts w:ascii="Calibri" w:eastAsia="Times New Roman" w:hAnsi="Calibri" w:cs="Calibri"/>
          <w:b/>
          <w:bCs/>
          <w:kern w:val="0"/>
          <w14:ligatures w14:val="none"/>
        </w:rPr>
        <w:t xml:space="preserve"> from $274 billion in 2020.</w:t>
      </w:r>
    </w:p>
    <w:p w14:paraId="0A6391AF" w14:textId="77777777" w:rsidR="006A0783" w:rsidRDefault="006A0783" w:rsidP="006A0783"/>
    <w:p w14:paraId="45740516" w14:textId="77777777" w:rsidR="00E069F0" w:rsidRPr="00E069F0" w:rsidRDefault="00E069F0" w:rsidP="00E069F0">
      <w:pPr>
        <w:rPr>
          <w:b/>
          <w:bCs/>
          <w:sz w:val="24"/>
          <w:szCs w:val="24"/>
        </w:rPr>
      </w:pPr>
      <w:r w:rsidRPr="00E069F0">
        <w:rPr>
          <w:b/>
          <w:bCs/>
          <w:sz w:val="24"/>
          <w:szCs w:val="24"/>
        </w:rPr>
        <w:t>Revenue Composition:</w:t>
      </w:r>
    </w:p>
    <w:p w14:paraId="0EF3E749" w14:textId="52D66DF3" w:rsidR="00E069F0" w:rsidRPr="00E069F0" w:rsidRDefault="00E069F0" w:rsidP="0008638F">
      <w:pPr>
        <w:numPr>
          <w:ilvl w:val="0"/>
          <w:numId w:val="1"/>
        </w:numPr>
        <w:spacing w:after="40"/>
        <w:rPr>
          <w:b/>
          <w:bCs/>
          <w:color w:val="FF0000"/>
        </w:rPr>
      </w:pPr>
      <w:r w:rsidRPr="00E069F0">
        <w:rPr>
          <w:b/>
          <w:bCs/>
        </w:rPr>
        <w:t xml:space="preserve">Products: Represents </w:t>
      </w:r>
      <w:r w:rsidRPr="00E069F0">
        <w:rPr>
          <w:b/>
          <w:bCs/>
          <w:color w:val="FF0000"/>
        </w:rPr>
        <w:t>80% of revenue 2020</w:t>
      </w:r>
      <w:r w:rsidRPr="00E069F0">
        <w:rPr>
          <w:b/>
          <w:bCs/>
        </w:rPr>
        <w:t xml:space="preserve">: </w:t>
      </w:r>
      <w:r w:rsidRPr="00E069F0">
        <w:rPr>
          <w:b/>
          <w:bCs/>
          <w:color w:val="FF0000"/>
        </w:rPr>
        <w:t>$220 billion 2021: $297 billion 2022: $316.2 billion</w:t>
      </w:r>
    </w:p>
    <w:p w14:paraId="3DFCA5D9" w14:textId="59B82F05" w:rsidR="00E069F0" w:rsidRPr="00E069F0" w:rsidRDefault="00E069F0" w:rsidP="0008638F">
      <w:pPr>
        <w:numPr>
          <w:ilvl w:val="0"/>
          <w:numId w:val="1"/>
        </w:numPr>
        <w:spacing w:after="40"/>
      </w:pPr>
      <w:r w:rsidRPr="00E069F0">
        <w:rPr>
          <w:b/>
          <w:bCs/>
        </w:rPr>
        <w:t>Services:</w:t>
      </w:r>
      <w:r w:rsidRPr="00E069F0">
        <w:t xml:space="preserve"> </w:t>
      </w:r>
      <w:r w:rsidRPr="00E069F0">
        <w:rPr>
          <w:b/>
          <w:bCs/>
          <w:color w:val="FF0000"/>
        </w:rPr>
        <w:t>Shows consistent growth 2020: $5</w:t>
      </w:r>
      <w:r w:rsidR="0008638F">
        <w:rPr>
          <w:b/>
          <w:bCs/>
          <w:color w:val="FF0000"/>
        </w:rPr>
        <w:t>4</w:t>
      </w:r>
      <w:r w:rsidRPr="00E069F0">
        <w:rPr>
          <w:b/>
          <w:bCs/>
          <w:color w:val="FF0000"/>
        </w:rPr>
        <w:t xml:space="preserve"> billion 2021: $68</w:t>
      </w:r>
      <w:r w:rsidR="0008638F">
        <w:rPr>
          <w:b/>
          <w:bCs/>
          <w:color w:val="FF0000"/>
        </w:rPr>
        <w:t xml:space="preserve"> </w:t>
      </w:r>
      <w:r w:rsidRPr="00E069F0">
        <w:rPr>
          <w:b/>
          <w:bCs/>
          <w:color w:val="FF0000"/>
        </w:rPr>
        <w:t>billion 2022: $78</w:t>
      </w:r>
      <w:r w:rsidR="0008638F">
        <w:rPr>
          <w:b/>
          <w:bCs/>
          <w:color w:val="FF0000"/>
        </w:rPr>
        <w:t xml:space="preserve"> </w:t>
      </w:r>
      <w:r w:rsidRPr="00E069F0">
        <w:rPr>
          <w:b/>
          <w:bCs/>
          <w:color w:val="FF0000"/>
        </w:rPr>
        <w:t>billion</w:t>
      </w:r>
    </w:p>
    <w:p w14:paraId="3C0D93EE" w14:textId="77777777" w:rsidR="00E069F0" w:rsidRPr="00E069F0" w:rsidRDefault="00E069F0" w:rsidP="00E069F0">
      <w:pPr>
        <w:ind w:left="360"/>
      </w:pPr>
    </w:p>
    <w:p w14:paraId="207356DE" w14:textId="77777777" w:rsidR="00E069F0" w:rsidRPr="00E069F0" w:rsidRDefault="00E069F0" w:rsidP="00E069F0">
      <w:pPr>
        <w:rPr>
          <w:b/>
          <w:bCs/>
          <w:sz w:val="24"/>
          <w:szCs w:val="24"/>
        </w:rPr>
      </w:pPr>
      <w:r w:rsidRPr="00E069F0">
        <w:rPr>
          <w:b/>
          <w:bCs/>
          <w:sz w:val="24"/>
          <w:szCs w:val="24"/>
        </w:rPr>
        <w:t>Key Observations:</w:t>
      </w:r>
    </w:p>
    <w:p w14:paraId="03D83EBF" w14:textId="77777777" w:rsidR="00E069F0" w:rsidRPr="00E069F0" w:rsidRDefault="00E069F0" w:rsidP="00E069F0">
      <w:pPr>
        <w:numPr>
          <w:ilvl w:val="0"/>
          <w:numId w:val="2"/>
        </w:numPr>
        <w:spacing w:after="40"/>
        <w:rPr>
          <w:b/>
          <w:bCs/>
          <w:color w:val="FF0000"/>
        </w:rPr>
      </w:pPr>
      <w:r w:rsidRPr="00E069F0">
        <w:rPr>
          <w:b/>
          <w:bCs/>
          <w:color w:val="FF0000"/>
        </w:rPr>
        <w:t>Revenue growth rate slowed in 2022</w:t>
      </w:r>
    </w:p>
    <w:p w14:paraId="19EBCC6D" w14:textId="77777777" w:rsidR="00E069F0" w:rsidRPr="00E069F0" w:rsidRDefault="00E069F0" w:rsidP="00E069F0">
      <w:pPr>
        <w:numPr>
          <w:ilvl w:val="0"/>
          <w:numId w:val="2"/>
        </w:numPr>
        <w:spacing w:after="40"/>
        <w:rPr>
          <w:b/>
          <w:bCs/>
          <w:color w:val="FF0000"/>
        </w:rPr>
      </w:pPr>
      <w:r w:rsidRPr="00E069F0">
        <w:rPr>
          <w:b/>
          <w:bCs/>
          <w:color w:val="FF0000"/>
        </w:rPr>
        <w:t>Services segment maintained steady growth</w:t>
      </w:r>
    </w:p>
    <w:p w14:paraId="060E3D6E" w14:textId="77777777" w:rsidR="00E069F0" w:rsidRDefault="00E069F0" w:rsidP="00E069F0">
      <w:pPr>
        <w:numPr>
          <w:ilvl w:val="0"/>
          <w:numId w:val="2"/>
        </w:numPr>
        <w:spacing w:after="40"/>
        <w:rPr>
          <w:b/>
          <w:bCs/>
          <w:color w:val="FF0000"/>
        </w:rPr>
      </w:pPr>
      <w:r w:rsidRPr="00E069F0">
        <w:rPr>
          <w:b/>
          <w:bCs/>
          <w:color w:val="FF0000"/>
        </w:rPr>
        <w:t>Product revenue shows maturity signs</w:t>
      </w:r>
    </w:p>
    <w:p w14:paraId="69317953" w14:textId="7E54075D" w:rsidR="00E069F0" w:rsidRDefault="00FB28F5" w:rsidP="006A0783">
      <w:r>
        <w:rPr>
          <w:noProof/>
        </w:rPr>
        <w:drawing>
          <wp:inline distT="0" distB="0" distL="0" distR="0" wp14:anchorId="78AB80AE" wp14:editId="421FAEE1">
            <wp:extent cx="6217920" cy="2004060"/>
            <wp:effectExtent l="0" t="0" r="11430" b="15240"/>
            <wp:docPr id="1155102997" name="Chart 1">
              <a:extLst xmlns:a="http://schemas.openxmlformats.org/drawingml/2006/main">
                <a:ext uri="{FF2B5EF4-FFF2-40B4-BE49-F238E27FC236}">
                  <a16:creationId xmlns:a16="http://schemas.microsoft.com/office/drawing/2014/main" id="{A15D81D4-D92B-1D60-541B-A4A384C2DC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60AD69" w14:textId="20604A2C" w:rsidR="00E069F0" w:rsidRDefault="00E069F0" w:rsidP="006A0783">
      <w:pPr>
        <w:rPr>
          <w:b/>
          <w:bCs/>
          <w:sz w:val="24"/>
          <w:szCs w:val="24"/>
        </w:rPr>
      </w:pPr>
      <w:r w:rsidRPr="00E069F0">
        <w:rPr>
          <w:b/>
          <w:bCs/>
          <w:sz w:val="24"/>
          <w:szCs w:val="24"/>
        </w:rPr>
        <w:t>PROFITABILITY ANALYSIS:</w:t>
      </w:r>
    </w:p>
    <w:p w14:paraId="51004A29" w14:textId="46048707" w:rsidR="00E069F0" w:rsidRPr="00E069F0" w:rsidRDefault="00E069F0" w:rsidP="00E069F0">
      <w:pPr>
        <w:pStyle w:val="ListParagraph"/>
        <w:numPr>
          <w:ilvl w:val="0"/>
          <w:numId w:val="2"/>
        </w:numPr>
        <w:rPr>
          <w:b/>
          <w:bCs/>
          <w:color w:val="FF0000"/>
          <w:sz w:val="24"/>
          <w:szCs w:val="24"/>
        </w:rPr>
      </w:pPr>
      <w:r w:rsidRPr="00E069F0">
        <w:rPr>
          <w:b/>
          <w:bCs/>
          <w:color w:val="FF0000"/>
          <w:sz w:val="24"/>
          <w:szCs w:val="24"/>
        </w:rPr>
        <w:t xml:space="preserve">Gross Margin: Improved from 38% </w:t>
      </w:r>
      <w:r>
        <w:rPr>
          <w:b/>
          <w:bCs/>
          <w:color w:val="FF0000"/>
          <w:sz w:val="24"/>
          <w:szCs w:val="24"/>
        </w:rPr>
        <w:t xml:space="preserve">in FY2020 </w:t>
      </w:r>
      <w:r w:rsidRPr="00E069F0">
        <w:rPr>
          <w:b/>
          <w:bCs/>
          <w:color w:val="FF0000"/>
          <w:sz w:val="24"/>
          <w:szCs w:val="24"/>
        </w:rPr>
        <w:t xml:space="preserve">to 43% </w:t>
      </w:r>
      <w:r>
        <w:rPr>
          <w:b/>
          <w:bCs/>
          <w:color w:val="FF0000"/>
          <w:sz w:val="24"/>
          <w:szCs w:val="24"/>
        </w:rPr>
        <w:t>in FY2022</w:t>
      </w:r>
    </w:p>
    <w:p w14:paraId="1329F0B2" w14:textId="1A0B2BD1" w:rsidR="00E069F0" w:rsidRPr="00E069F0" w:rsidRDefault="00E069F0" w:rsidP="00E069F0">
      <w:pPr>
        <w:pStyle w:val="ListParagraph"/>
        <w:numPr>
          <w:ilvl w:val="0"/>
          <w:numId w:val="2"/>
        </w:numPr>
        <w:rPr>
          <w:b/>
          <w:bCs/>
          <w:color w:val="FF0000"/>
          <w:sz w:val="24"/>
          <w:szCs w:val="24"/>
        </w:rPr>
      </w:pPr>
      <w:r w:rsidRPr="00E069F0">
        <w:rPr>
          <w:b/>
          <w:bCs/>
          <w:color w:val="FF0000"/>
          <w:sz w:val="24"/>
          <w:szCs w:val="24"/>
        </w:rPr>
        <w:t xml:space="preserve">EBITDA Margin: Increased from 29% </w:t>
      </w:r>
      <w:r>
        <w:rPr>
          <w:b/>
          <w:bCs/>
          <w:color w:val="FF0000"/>
          <w:sz w:val="24"/>
          <w:szCs w:val="24"/>
        </w:rPr>
        <w:t xml:space="preserve">in FY2020 </w:t>
      </w:r>
      <w:r w:rsidRPr="00E069F0">
        <w:rPr>
          <w:b/>
          <w:bCs/>
          <w:color w:val="FF0000"/>
          <w:sz w:val="24"/>
          <w:szCs w:val="24"/>
        </w:rPr>
        <w:t xml:space="preserve">to 33% </w:t>
      </w:r>
      <w:r>
        <w:rPr>
          <w:b/>
          <w:bCs/>
          <w:color w:val="FF0000"/>
          <w:sz w:val="24"/>
          <w:szCs w:val="24"/>
        </w:rPr>
        <w:t>in FY2022</w:t>
      </w:r>
    </w:p>
    <w:p w14:paraId="4BD158C4" w14:textId="2E39DB73" w:rsidR="00E069F0" w:rsidRDefault="00E069F0" w:rsidP="00E069F0">
      <w:pPr>
        <w:pStyle w:val="ListParagraph"/>
        <w:numPr>
          <w:ilvl w:val="0"/>
          <w:numId w:val="2"/>
        </w:numPr>
        <w:rPr>
          <w:b/>
          <w:bCs/>
          <w:color w:val="FF0000"/>
          <w:sz w:val="24"/>
          <w:szCs w:val="24"/>
        </w:rPr>
      </w:pPr>
      <w:r w:rsidRPr="00E069F0">
        <w:rPr>
          <w:b/>
          <w:bCs/>
          <w:color w:val="FF0000"/>
          <w:sz w:val="24"/>
          <w:szCs w:val="24"/>
        </w:rPr>
        <w:t xml:space="preserve">Net Margin: Rose from 21% </w:t>
      </w:r>
      <w:r>
        <w:rPr>
          <w:b/>
          <w:bCs/>
          <w:color w:val="FF0000"/>
          <w:sz w:val="24"/>
          <w:szCs w:val="24"/>
        </w:rPr>
        <w:t xml:space="preserve">in FY2020 </w:t>
      </w:r>
      <w:r w:rsidRPr="00E069F0">
        <w:rPr>
          <w:b/>
          <w:bCs/>
          <w:color w:val="FF0000"/>
          <w:sz w:val="24"/>
          <w:szCs w:val="24"/>
        </w:rPr>
        <w:t>to 25%</w:t>
      </w:r>
      <w:r>
        <w:rPr>
          <w:b/>
          <w:bCs/>
          <w:color w:val="FF0000"/>
          <w:sz w:val="24"/>
          <w:szCs w:val="24"/>
        </w:rPr>
        <w:t xml:space="preserve"> in FY202</w:t>
      </w:r>
    </w:p>
    <w:p w14:paraId="64C6B18E" w14:textId="394742CD" w:rsidR="00E069F0" w:rsidRPr="00AD1290" w:rsidRDefault="00E069F0" w:rsidP="00AD1290">
      <w:pPr>
        <w:rPr>
          <w:b/>
          <w:bCs/>
          <w:color w:val="FF0000"/>
          <w:sz w:val="24"/>
          <w:szCs w:val="24"/>
        </w:rPr>
      </w:pPr>
    </w:p>
    <w:p w14:paraId="5585DB94" w14:textId="77777777" w:rsidR="00F620D7" w:rsidRDefault="00F620D7" w:rsidP="00E069F0">
      <w:pPr>
        <w:rPr>
          <w:b/>
          <w:bCs/>
          <w:sz w:val="28"/>
          <w:szCs w:val="28"/>
        </w:rPr>
      </w:pPr>
    </w:p>
    <w:p w14:paraId="0B3EC0FD" w14:textId="77777777" w:rsidR="00F620D7" w:rsidRDefault="00F620D7" w:rsidP="00E069F0">
      <w:pPr>
        <w:rPr>
          <w:b/>
          <w:bCs/>
          <w:sz w:val="28"/>
          <w:szCs w:val="28"/>
        </w:rPr>
      </w:pPr>
    </w:p>
    <w:p w14:paraId="31D25A63" w14:textId="77777777" w:rsidR="0016459C" w:rsidRDefault="0016459C" w:rsidP="00E069F0">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19A8AE27" w14:textId="77777777" w:rsidTr="00214B2D">
        <w:trPr>
          <w:trHeight w:val="1200"/>
        </w:trPr>
        <w:tc>
          <w:tcPr>
            <w:tcW w:w="1134" w:type="dxa"/>
            <w:tcBorders>
              <w:top w:val="nil"/>
              <w:left w:val="nil"/>
              <w:bottom w:val="nil"/>
              <w:right w:val="nil"/>
            </w:tcBorders>
            <w:shd w:val="clear" w:color="000000" w:fill="002060"/>
            <w:noWrap/>
            <w:vAlign w:val="center"/>
          </w:tcPr>
          <w:p w14:paraId="6DE259D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1F9E3B38"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14529535" w14:textId="68FBACFD"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Earnings Highlights</w:t>
            </w:r>
          </w:p>
          <w:p w14:paraId="3F32DF21"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1DA6DCC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257014A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57D464F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A332B75"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816F06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311BBD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A6117A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9D6347F"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F7A5DB7" w14:textId="77777777" w:rsidR="00592061" w:rsidRDefault="00592061" w:rsidP="00592061">
      <w:pPr>
        <w:spacing w:after="40"/>
        <w:ind w:left="720"/>
        <w:rPr>
          <w:b/>
          <w:bCs/>
          <w:color w:val="FF0000"/>
          <w:sz w:val="24"/>
          <w:szCs w:val="24"/>
        </w:rPr>
      </w:pPr>
    </w:p>
    <w:p w14:paraId="6E87ED63" w14:textId="03DD650D" w:rsidR="00E069F0" w:rsidRPr="00E069F0" w:rsidRDefault="00E069F0" w:rsidP="00E069F0">
      <w:pPr>
        <w:numPr>
          <w:ilvl w:val="0"/>
          <w:numId w:val="4"/>
        </w:numPr>
        <w:spacing w:after="40"/>
        <w:rPr>
          <w:b/>
          <w:bCs/>
          <w:color w:val="FF0000"/>
          <w:sz w:val="24"/>
          <w:szCs w:val="24"/>
        </w:rPr>
      </w:pPr>
      <w:r w:rsidRPr="00E069F0">
        <w:rPr>
          <w:b/>
          <w:bCs/>
          <w:color w:val="FF0000"/>
          <w:sz w:val="24"/>
          <w:szCs w:val="24"/>
        </w:rPr>
        <w:t>EBITDA grew to $1</w:t>
      </w:r>
      <w:r w:rsidR="0008638F">
        <w:rPr>
          <w:b/>
          <w:bCs/>
          <w:color w:val="FF0000"/>
          <w:sz w:val="24"/>
          <w:szCs w:val="24"/>
        </w:rPr>
        <w:t>30</w:t>
      </w:r>
      <w:r w:rsidRPr="00E069F0">
        <w:rPr>
          <w:b/>
          <w:bCs/>
          <w:color w:val="FF0000"/>
          <w:sz w:val="24"/>
          <w:szCs w:val="24"/>
        </w:rPr>
        <w:t xml:space="preserve"> billion in 2022</w:t>
      </w:r>
    </w:p>
    <w:p w14:paraId="6FAAE87F" w14:textId="2B8DB27F" w:rsidR="00E069F0" w:rsidRPr="00E069F0" w:rsidRDefault="00E069F0" w:rsidP="00E069F0">
      <w:pPr>
        <w:numPr>
          <w:ilvl w:val="0"/>
          <w:numId w:val="4"/>
        </w:numPr>
        <w:spacing w:after="40"/>
        <w:rPr>
          <w:b/>
          <w:bCs/>
          <w:color w:val="FF0000"/>
          <w:sz w:val="24"/>
          <w:szCs w:val="24"/>
        </w:rPr>
      </w:pPr>
      <w:r w:rsidRPr="00E069F0">
        <w:rPr>
          <w:b/>
          <w:bCs/>
          <w:color w:val="FF0000"/>
          <w:sz w:val="24"/>
          <w:szCs w:val="24"/>
        </w:rPr>
        <w:t>EPS increased from $3.3 to $6</w:t>
      </w:r>
      <w:r>
        <w:rPr>
          <w:b/>
          <w:bCs/>
          <w:color w:val="FF0000"/>
          <w:sz w:val="24"/>
          <w:szCs w:val="24"/>
        </w:rPr>
        <w:t xml:space="preserve"> in FY2022</w:t>
      </w:r>
    </w:p>
    <w:p w14:paraId="0AA641F5" w14:textId="77777777" w:rsidR="00E069F0" w:rsidRPr="00E069F0" w:rsidRDefault="00E069F0" w:rsidP="00E069F0">
      <w:pPr>
        <w:numPr>
          <w:ilvl w:val="0"/>
          <w:numId w:val="4"/>
        </w:numPr>
        <w:spacing w:after="40"/>
        <w:rPr>
          <w:b/>
          <w:bCs/>
          <w:color w:val="FF0000"/>
          <w:sz w:val="24"/>
          <w:szCs w:val="24"/>
        </w:rPr>
      </w:pPr>
      <w:r w:rsidRPr="00E069F0">
        <w:rPr>
          <w:b/>
          <w:bCs/>
          <w:color w:val="FF0000"/>
          <w:sz w:val="24"/>
          <w:szCs w:val="24"/>
        </w:rPr>
        <w:t>Operating expenses well-controlled at 17% of revenue</w:t>
      </w:r>
    </w:p>
    <w:p w14:paraId="1AEC84CB" w14:textId="77777777" w:rsidR="00E069F0" w:rsidRPr="00E069F0" w:rsidRDefault="00E069F0" w:rsidP="006A0783">
      <w:pPr>
        <w:rPr>
          <w:b/>
          <w:bCs/>
          <w:color w:val="C00000"/>
          <w:sz w:val="28"/>
          <w:szCs w:val="28"/>
        </w:rPr>
      </w:pPr>
    </w:p>
    <w:p w14:paraId="6918A1D9" w14:textId="06816E14" w:rsidR="00E069F0" w:rsidRDefault="00AD1290" w:rsidP="006A0783">
      <w:r>
        <w:rPr>
          <w:noProof/>
        </w:rPr>
        <w:drawing>
          <wp:inline distT="0" distB="0" distL="0" distR="0" wp14:anchorId="1FC535C0" wp14:editId="11D22596">
            <wp:extent cx="2804160" cy="1988820"/>
            <wp:effectExtent l="0" t="0" r="15240" b="11430"/>
            <wp:docPr id="319172948" name="Chart 1">
              <a:extLst xmlns:a="http://schemas.openxmlformats.org/drawingml/2006/main">
                <a:ext uri="{FF2B5EF4-FFF2-40B4-BE49-F238E27FC236}">
                  <a16:creationId xmlns:a16="http://schemas.microsoft.com/office/drawing/2014/main" id="{E5A49F27-F2AC-16F9-41BC-D0330EC6A9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7EC5">
        <w:rPr>
          <w:noProof/>
        </w:rPr>
        <w:drawing>
          <wp:inline distT="0" distB="0" distL="0" distR="0" wp14:anchorId="2E68B51B" wp14:editId="25FA84DC">
            <wp:extent cx="2964180" cy="1996440"/>
            <wp:effectExtent l="0" t="0" r="7620" b="3810"/>
            <wp:docPr id="49542957" name="Chart 1">
              <a:extLst xmlns:a="http://schemas.openxmlformats.org/drawingml/2006/main">
                <a:ext uri="{FF2B5EF4-FFF2-40B4-BE49-F238E27FC236}">
                  <a16:creationId xmlns:a16="http://schemas.microsoft.com/office/drawing/2014/main" id="{3BFEDA5C-4BE2-0597-1AE8-8D6D15ADBE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D08590" w14:textId="77777777" w:rsidR="00AD1290" w:rsidRDefault="00AD1290" w:rsidP="006A0783"/>
    <w:p w14:paraId="57940BB5" w14:textId="6B61A5E0" w:rsidR="00AD1290" w:rsidRDefault="00AD1290" w:rsidP="006A0783"/>
    <w:p w14:paraId="32712C77" w14:textId="77777777" w:rsidR="006E7EC5" w:rsidRDefault="006E7EC5" w:rsidP="006A0783"/>
    <w:p w14:paraId="00AEB5E5" w14:textId="7B5282AF" w:rsidR="006E7EC5" w:rsidRDefault="006E7EC5" w:rsidP="006A0783">
      <w:r>
        <w:rPr>
          <w:noProof/>
        </w:rPr>
        <w:drawing>
          <wp:inline distT="0" distB="0" distL="0" distR="0" wp14:anchorId="276C6B3D" wp14:editId="027BFF6F">
            <wp:extent cx="5722620" cy="1943100"/>
            <wp:effectExtent l="0" t="0" r="11430" b="0"/>
            <wp:docPr id="51764193" name="Chart 1">
              <a:extLst xmlns:a="http://schemas.openxmlformats.org/drawingml/2006/main">
                <a:ext uri="{FF2B5EF4-FFF2-40B4-BE49-F238E27FC236}">
                  <a16:creationId xmlns:a16="http://schemas.microsoft.com/office/drawing/2014/main" id="{DDA49CC6-DE9C-35C0-474D-159C09940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66B446" w14:textId="77777777" w:rsidR="00AE61B1" w:rsidRDefault="00AE61B1" w:rsidP="006A0783"/>
    <w:p w14:paraId="725EBC94" w14:textId="77777777" w:rsidR="00AE61B1" w:rsidRDefault="00AE61B1" w:rsidP="006A0783"/>
    <w:p w14:paraId="677294E7" w14:textId="77777777" w:rsidR="00F620D7" w:rsidRDefault="00F620D7" w:rsidP="00886CDA">
      <w:pPr>
        <w:rPr>
          <w:b/>
          <w:bCs/>
          <w:sz w:val="28"/>
          <w:szCs w:val="28"/>
        </w:rPr>
      </w:pPr>
    </w:p>
    <w:p w14:paraId="465D1B4E" w14:textId="77777777" w:rsidR="00F620D7" w:rsidRDefault="00F620D7" w:rsidP="00886CDA">
      <w:pPr>
        <w:rPr>
          <w:b/>
          <w:bCs/>
          <w:sz w:val="28"/>
          <w:szCs w:val="28"/>
        </w:rPr>
      </w:pPr>
    </w:p>
    <w:p w14:paraId="3B1DC704" w14:textId="77777777" w:rsidR="00F620D7" w:rsidRDefault="00F620D7" w:rsidP="00886CDA">
      <w:pPr>
        <w:rPr>
          <w:b/>
          <w:bCs/>
          <w:sz w:val="28"/>
          <w:szCs w:val="28"/>
        </w:rPr>
      </w:pPr>
    </w:p>
    <w:p w14:paraId="4DC09043" w14:textId="77777777" w:rsidR="00F620D7" w:rsidRDefault="00F620D7" w:rsidP="00886CDA">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64100C46" w14:textId="77777777" w:rsidTr="00214B2D">
        <w:trPr>
          <w:trHeight w:val="1200"/>
        </w:trPr>
        <w:tc>
          <w:tcPr>
            <w:tcW w:w="1134" w:type="dxa"/>
            <w:tcBorders>
              <w:top w:val="nil"/>
              <w:left w:val="nil"/>
              <w:bottom w:val="nil"/>
              <w:right w:val="nil"/>
            </w:tcBorders>
            <w:shd w:val="clear" w:color="000000" w:fill="002060"/>
            <w:noWrap/>
            <w:vAlign w:val="center"/>
          </w:tcPr>
          <w:p w14:paraId="143BB7D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52092E44"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4540BB26" w14:textId="612B22C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Cost Structure Analysis</w:t>
            </w:r>
          </w:p>
          <w:p w14:paraId="5F586F7A"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5EB990E2"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0FF807B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394CDA9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546B786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9F7BAB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FC23B5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96B8267"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C765E6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45992EF3" w14:textId="77777777" w:rsidR="00886CDA" w:rsidRPr="00886CDA" w:rsidRDefault="00886CDA" w:rsidP="00886CDA">
      <w:pPr>
        <w:rPr>
          <w:b/>
          <w:bCs/>
        </w:rPr>
      </w:pPr>
      <w:r w:rsidRPr="00886CDA">
        <w:rPr>
          <w:b/>
          <w:bCs/>
        </w:rPr>
        <w:t>Operating Costs:</w:t>
      </w:r>
    </w:p>
    <w:p w14:paraId="20AAF148" w14:textId="77777777" w:rsidR="00886CDA" w:rsidRPr="00886CDA" w:rsidRDefault="00886CDA" w:rsidP="00886CDA">
      <w:pPr>
        <w:numPr>
          <w:ilvl w:val="0"/>
          <w:numId w:val="23"/>
        </w:numPr>
        <w:spacing w:after="40"/>
        <w:rPr>
          <w:b/>
          <w:bCs/>
          <w:color w:val="FF0000"/>
        </w:rPr>
      </w:pPr>
      <w:r w:rsidRPr="00886CDA">
        <w:rPr>
          <w:b/>
          <w:bCs/>
        </w:rPr>
        <w:t xml:space="preserve">Cost of Goods Sold (COGS): </w:t>
      </w:r>
      <w:r w:rsidRPr="00886CDA">
        <w:rPr>
          <w:b/>
          <w:bCs/>
          <w:color w:val="FF0000"/>
        </w:rPr>
        <w:t>2020: 62% of revenue 2021</w:t>
      </w:r>
      <w:r w:rsidRPr="00886CDA">
        <w:rPr>
          <w:b/>
          <w:bCs/>
        </w:rPr>
        <w:t xml:space="preserve">: </w:t>
      </w:r>
      <w:r w:rsidRPr="00886CDA">
        <w:rPr>
          <w:b/>
          <w:bCs/>
          <w:color w:val="FF0000"/>
        </w:rPr>
        <w:t>58% of revenue 2022</w:t>
      </w:r>
      <w:r w:rsidRPr="00886CDA">
        <w:rPr>
          <w:b/>
          <w:bCs/>
        </w:rPr>
        <w:t xml:space="preserve">: </w:t>
      </w:r>
      <w:r w:rsidRPr="00886CDA">
        <w:rPr>
          <w:b/>
          <w:bCs/>
          <w:color w:val="FF0000"/>
        </w:rPr>
        <w:t>57% of revenue Trend: Improving efficiency in production costs</w:t>
      </w:r>
    </w:p>
    <w:p w14:paraId="58F708D5" w14:textId="77777777" w:rsidR="00886CDA" w:rsidRPr="00886CDA" w:rsidRDefault="00886CDA" w:rsidP="00886CDA">
      <w:pPr>
        <w:numPr>
          <w:ilvl w:val="0"/>
          <w:numId w:val="23"/>
        </w:numPr>
        <w:spacing w:after="40"/>
        <w:rPr>
          <w:b/>
          <w:bCs/>
        </w:rPr>
      </w:pPr>
      <w:r w:rsidRPr="00886CDA">
        <w:rPr>
          <w:b/>
          <w:bCs/>
        </w:rPr>
        <w:t xml:space="preserve">Research &amp; Development: </w:t>
      </w:r>
      <w:r w:rsidRPr="00886CDA">
        <w:rPr>
          <w:b/>
          <w:bCs/>
          <w:color w:val="FF0000"/>
        </w:rPr>
        <w:t xml:space="preserve">Consistent at 6-7% of revenue </w:t>
      </w:r>
      <w:r w:rsidRPr="00886CDA">
        <w:rPr>
          <w:b/>
          <w:bCs/>
        </w:rPr>
        <w:t>Shows sustained investment in innovation</w:t>
      </w:r>
    </w:p>
    <w:p w14:paraId="181ABDA1" w14:textId="77777777" w:rsidR="00886CDA" w:rsidRPr="00886CDA" w:rsidRDefault="00886CDA" w:rsidP="00886CDA">
      <w:pPr>
        <w:numPr>
          <w:ilvl w:val="0"/>
          <w:numId w:val="23"/>
        </w:numPr>
        <w:spacing w:after="40"/>
        <w:rPr>
          <w:b/>
          <w:bCs/>
        </w:rPr>
      </w:pPr>
      <w:r w:rsidRPr="00886CDA">
        <w:rPr>
          <w:b/>
          <w:bCs/>
        </w:rPr>
        <w:t xml:space="preserve">SG&amp;A: Maintained at </w:t>
      </w:r>
      <w:r w:rsidRPr="00886CDA">
        <w:rPr>
          <w:b/>
          <w:bCs/>
          <w:color w:val="FF0000"/>
        </w:rPr>
        <w:t xml:space="preserve">6% of revenue </w:t>
      </w:r>
      <w:r w:rsidRPr="00886CDA">
        <w:rPr>
          <w:b/>
          <w:bCs/>
        </w:rPr>
        <w:t xml:space="preserve">Demonstrates </w:t>
      </w:r>
      <w:r w:rsidRPr="00886CDA">
        <w:rPr>
          <w:b/>
          <w:bCs/>
          <w:color w:val="FF0000"/>
        </w:rPr>
        <w:t>strong cost control</w:t>
      </w:r>
    </w:p>
    <w:p w14:paraId="290DC394" w14:textId="77777777" w:rsidR="00886CDA" w:rsidRDefault="00886CDA" w:rsidP="006A0783"/>
    <w:p w14:paraId="4D43888C" w14:textId="77777777" w:rsidR="00E83940" w:rsidRPr="00E83940" w:rsidRDefault="00E83940" w:rsidP="00E83940">
      <w:pPr>
        <w:rPr>
          <w:b/>
          <w:bCs/>
        </w:rPr>
      </w:pPr>
      <w:r w:rsidRPr="00E83940">
        <w:rPr>
          <w:b/>
          <w:bCs/>
        </w:rPr>
        <w:t>Capex Trends:</w:t>
      </w:r>
    </w:p>
    <w:p w14:paraId="32DA52F4" w14:textId="77777777" w:rsidR="00E83940" w:rsidRPr="00E83940" w:rsidRDefault="00E83940" w:rsidP="00E83940">
      <w:pPr>
        <w:numPr>
          <w:ilvl w:val="0"/>
          <w:numId w:val="24"/>
        </w:numPr>
        <w:rPr>
          <w:b/>
          <w:bCs/>
        </w:rPr>
      </w:pPr>
      <w:r w:rsidRPr="00E83940">
        <w:rPr>
          <w:b/>
          <w:bCs/>
        </w:rPr>
        <w:t xml:space="preserve">As % of Sales: </w:t>
      </w:r>
      <w:r w:rsidRPr="00E83940">
        <w:rPr>
          <w:b/>
          <w:bCs/>
          <w:color w:val="FF0000"/>
        </w:rPr>
        <w:t>2020: 13% 2021: 11% 2022: 11% Trend: Stabilized at lower level</w:t>
      </w:r>
    </w:p>
    <w:p w14:paraId="7CAD2A49" w14:textId="77777777" w:rsidR="00E83940" w:rsidRPr="00E83940" w:rsidRDefault="00E83940" w:rsidP="00E83940">
      <w:pPr>
        <w:numPr>
          <w:ilvl w:val="0"/>
          <w:numId w:val="24"/>
        </w:numPr>
        <w:rPr>
          <w:b/>
          <w:bCs/>
        </w:rPr>
      </w:pPr>
      <w:r w:rsidRPr="00E83940">
        <w:rPr>
          <w:b/>
          <w:bCs/>
        </w:rPr>
        <w:t xml:space="preserve">As % of Fixed Assets: </w:t>
      </w:r>
      <w:r w:rsidRPr="00E83940">
        <w:rPr>
          <w:b/>
          <w:bCs/>
          <w:color w:val="FF0000"/>
        </w:rPr>
        <w:t>2020: 20% 2021: 18% 2022: 19% Trend: Consistent investment level</w:t>
      </w:r>
    </w:p>
    <w:p w14:paraId="07C45EFD" w14:textId="77777777" w:rsidR="00886CDA" w:rsidRDefault="00886CDA" w:rsidP="006A0783"/>
    <w:p w14:paraId="3682A611" w14:textId="1DEC1761" w:rsidR="00886CDA" w:rsidRDefault="006E7EC5" w:rsidP="006A0783">
      <w:r>
        <w:rPr>
          <w:noProof/>
        </w:rPr>
        <w:drawing>
          <wp:inline distT="0" distB="0" distL="0" distR="0" wp14:anchorId="25F39EEF" wp14:editId="49B89B33">
            <wp:extent cx="3154680" cy="2537460"/>
            <wp:effectExtent l="0" t="0" r="7620" b="15240"/>
            <wp:docPr id="1528283746" name="Chart 1">
              <a:extLst xmlns:a="http://schemas.openxmlformats.org/drawingml/2006/main">
                <a:ext uri="{FF2B5EF4-FFF2-40B4-BE49-F238E27FC236}">
                  <a16:creationId xmlns:a16="http://schemas.microsoft.com/office/drawing/2014/main" id="{DC08C018-5194-DEB5-64D4-5C205A0D7F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0549A3DB" wp14:editId="0D4370D4">
            <wp:extent cx="2781300" cy="2552700"/>
            <wp:effectExtent l="0" t="0" r="0" b="0"/>
            <wp:docPr id="32960685" name="Chart 1">
              <a:extLst xmlns:a="http://schemas.openxmlformats.org/drawingml/2006/main">
                <a:ext uri="{FF2B5EF4-FFF2-40B4-BE49-F238E27FC236}">
                  <a16:creationId xmlns:a16="http://schemas.microsoft.com/office/drawing/2014/main" id="{DC7CC497-D6F6-EC66-EA79-0A45033177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17EEB0F" w14:textId="77777777" w:rsidR="00886CDA" w:rsidRDefault="00886CDA" w:rsidP="006A0783"/>
    <w:p w14:paraId="338933E2" w14:textId="77777777" w:rsidR="00886CDA" w:rsidRDefault="00886CDA" w:rsidP="006A0783"/>
    <w:p w14:paraId="359A18EB" w14:textId="77777777" w:rsidR="00886CDA" w:rsidRDefault="00886CDA" w:rsidP="006A0783"/>
    <w:p w14:paraId="5DAF4658" w14:textId="77777777" w:rsidR="00886CDA" w:rsidRDefault="00886CDA" w:rsidP="006A0783"/>
    <w:p w14:paraId="001513F2" w14:textId="77777777" w:rsidR="00886CDA" w:rsidRDefault="00886CDA" w:rsidP="006A0783"/>
    <w:p w14:paraId="0B734767" w14:textId="77777777" w:rsidR="00886CDA" w:rsidRDefault="00886CDA" w:rsidP="006A0783"/>
    <w:p w14:paraId="3601DD9A" w14:textId="77777777" w:rsidR="00886CDA" w:rsidRDefault="00886CDA" w:rsidP="006A0783"/>
    <w:p w14:paraId="762B1884" w14:textId="77777777" w:rsidR="00886CDA" w:rsidRDefault="00886CDA" w:rsidP="006A0783"/>
    <w:p w14:paraId="7FFE700F" w14:textId="4AC2E9DD" w:rsidR="0016459C" w:rsidRDefault="0016459C" w:rsidP="00AE61B1"/>
    <w:p w14:paraId="3BB71C6A" w14:textId="77777777" w:rsidR="0016459C" w:rsidRPr="00AE61B1" w:rsidRDefault="0016459C" w:rsidP="00AE61B1">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0ADAF361" w14:textId="77777777" w:rsidTr="00214B2D">
        <w:trPr>
          <w:trHeight w:val="1200"/>
        </w:trPr>
        <w:tc>
          <w:tcPr>
            <w:tcW w:w="1134" w:type="dxa"/>
            <w:tcBorders>
              <w:top w:val="nil"/>
              <w:left w:val="nil"/>
              <w:bottom w:val="nil"/>
              <w:right w:val="nil"/>
            </w:tcBorders>
            <w:shd w:val="clear" w:color="000000" w:fill="002060"/>
            <w:noWrap/>
            <w:vAlign w:val="center"/>
          </w:tcPr>
          <w:p w14:paraId="5F1DDCEB"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17B10BC0"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7E1C7932" w14:textId="584A461F"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Working Capital Management</w:t>
            </w:r>
          </w:p>
          <w:p w14:paraId="2562791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4DCB251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0559D73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62A325B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7EB90B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31A7F4A"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7A91FB1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D59BC6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69E882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B9A41A4" w14:textId="26B64574" w:rsidR="00AE61B1" w:rsidRPr="00AE61B1" w:rsidRDefault="00AE61B1" w:rsidP="00AE61B1">
      <w:pPr>
        <w:spacing w:after="40"/>
        <w:rPr>
          <w:b/>
          <w:bCs/>
        </w:rPr>
      </w:pPr>
      <w:r w:rsidRPr="00AE61B1">
        <w:rPr>
          <w:b/>
          <w:bCs/>
        </w:rPr>
        <w:t>Components:</w:t>
      </w:r>
    </w:p>
    <w:p w14:paraId="47D5125C" w14:textId="4386C09C" w:rsidR="00AE61B1" w:rsidRPr="00AE61B1" w:rsidRDefault="00AE61B1" w:rsidP="00AE61B1">
      <w:pPr>
        <w:numPr>
          <w:ilvl w:val="0"/>
          <w:numId w:val="7"/>
        </w:numPr>
        <w:spacing w:after="40"/>
        <w:rPr>
          <w:b/>
          <w:bCs/>
          <w:color w:val="FF0000"/>
        </w:rPr>
      </w:pPr>
      <w:r w:rsidRPr="00AE61B1">
        <w:rPr>
          <w:b/>
          <w:bCs/>
        </w:rPr>
        <w:t xml:space="preserve">Inventory Days: </w:t>
      </w:r>
      <w:r w:rsidRPr="00AE61B1">
        <w:rPr>
          <w:b/>
          <w:bCs/>
          <w:color w:val="FF0000"/>
        </w:rPr>
        <w:t>Decreased to 8</w:t>
      </w:r>
    </w:p>
    <w:p w14:paraId="542E2ED5" w14:textId="400E8AE5" w:rsidR="00AE61B1" w:rsidRPr="00AE61B1" w:rsidRDefault="00AE61B1" w:rsidP="00AE61B1">
      <w:pPr>
        <w:numPr>
          <w:ilvl w:val="0"/>
          <w:numId w:val="7"/>
        </w:numPr>
        <w:spacing w:after="40"/>
        <w:rPr>
          <w:b/>
          <w:bCs/>
        </w:rPr>
      </w:pPr>
      <w:r w:rsidRPr="00AE61B1">
        <w:rPr>
          <w:b/>
          <w:bCs/>
        </w:rPr>
        <w:t xml:space="preserve">Receivable Days: </w:t>
      </w:r>
      <w:r w:rsidRPr="00AE61B1">
        <w:rPr>
          <w:b/>
          <w:bCs/>
          <w:color w:val="FF0000"/>
        </w:rPr>
        <w:t>Stable at 26</w:t>
      </w:r>
    </w:p>
    <w:p w14:paraId="0AC7924D" w14:textId="1BB0BF18" w:rsidR="00AE61B1" w:rsidRPr="00AE61B1" w:rsidRDefault="00AE61B1" w:rsidP="00AE61B1">
      <w:pPr>
        <w:numPr>
          <w:ilvl w:val="0"/>
          <w:numId w:val="7"/>
        </w:numPr>
        <w:spacing w:after="40"/>
        <w:rPr>
          <w:b/>
          <w:bCs/>
        </w:rPr>
      </w:pPr>
      <w:r w:rsidRPr="00AE61B1">
        <w:rPr>
          <w:b/>
          <w:bCs/>
        </w:rPr>
        <w:t xml:space="preserve">Payable Days: </w:t>
      </w:r>
      <w:r w:rsidRPr="00AE61B1">
        <w:rPr>
          <w:b/>
          <w:bCs/>
          <w:color w:val="FF0000"/>
        </w:rPr>
        <w:t>Increased to 10</w:t>
      </w:r>
      <w:r w:rsidR="0008638F">
        <w:rPr>
          <w:b/>
          <w:bCs/>
          <w:color w:val="FF0000"/>
        </w:rPr>
        <w:t>5</w:t>
      </w:r>
    </w:p>
    <w:p w14:paraId="25443D2F" w14:textId="669FC140" w:rsidR="00AE61B1" w:rsidRPr="00AE61B1" w:rsidRDefault="00AE61B1" w:rsidP="00AE61B1">
      <w:pPr>
        <w:numPr>
          <w:ilvl w:val="0"/>
          <w:numId w:val="7"/>
        </w:numPr>
        <w:spacing w:after="40"/>
        <w:rPr>
          <w:b/>
          <w:bCs/>
        </w:rPr>
      </w:pPr>
      <w:r w:rsidRPr="00AE61B1">
        <w:rPr>
          <w:b/>
          <w:bCs/>
        </w:rPr>
        <w:t xml:space="preserve">Net Trading Cycle: </w:t>
      </w:r>
      <w:r w:rsidRPr="00AE61B1">
        <w:rPr>
          <w:b/>
          <w:bCs/>
          <w:color w:val="FF0000"/>
        </w:rPr>
        <w:t>-70.5 days</w:t>
      </w:r>
    </w:p>
    <w:p w14:paraId="4B1B8D38" w14:textId="77777777" w:rsidR="00AE61B1" w:rsidRPr="00AE61B1" w:rsidRDefault="00AE61B1" w:rsidP="00AE61B1">
      <w:pPr>
        <w:spacing w:after="40"/>
        <w:ind w:left="720"/>
        <w:rPr>
          <w:b/>
          <w:bCs/>
        </w:rPr>
      </w:pPr>
    </w:p>
    <w:p w14:paraId="45EC0A2B" w14:textId="77777777" w:rsidR="00AE61B1" w:rsidRPr="00AE61B1" w:rsidRDefault="00AE61B1" w:rsidP="00AE61B1">
      <w:pPr>
        <w:rPr>
          <w:b/>
          <w:bCs/>
        </w:rPr>
      </w:pPr>
      <w:r w:rsidRPr="00AE61B1">
        <w:rPr>
          <w:b/>
          <w:bCs/>
        </w:rPr>
        <w:t>Concerns:</w:t>
      </w:r>
    </w:p>
    <w:p w14:paraId="0B4EE226" w14:textId="77777777" w:rsidR="00AE61B1" w:rsidRPr="00AE61B1" w:rsidRDefault="00AE61B1" w:rsidP="00AE61B1">
      <w:pPr>
        <w:numPr>
          <w:ilvl w:val="0"/>
          <w:numId w:val="8"/>
        </w:numPr>
        <w:spacing w:after="40"/>
        <w:rPr>
          <w:b/>
          <w:bCs/>
        </w:rPr>
      </w:pPr>
      <w:r w:rsidRPr="00AE61B1">
        <w:rPr>
          <w:b/>
          <w:bCs/>
          <w:color w:val="FF0000"/>
        </w:rPr>
        <w:t>Negative working capital</w:t>
      </w:r>
      <w:r w:rsidRPr="00AE61B1">
        <w:rPr>
          <w:color w:val="FF0000"/>
        </w:rPr>
        <w:t xml:space="preserve"> </w:t>
      </w:r>
      <w:r w:rsidRPr="00AE61B1">
        <w:rPr>
          <w:b/>
          <w:bCs/>
        </w:rPr>
        <w:t>of $18.6 billion in 2022</w:t>
      </w:r>
    </w:p>
    <w:p w14:paraId="6C468D11" w14:textId="77777777" w:rsidR="00AE61B1" w:rsidRPr="00AE61B1" w:rsidRDefault="00AE61B1" w:rsidP="00AE61B1">
      <w:pPr>
        <w:numPr>
          <w:ilvl w:val="0"/>
          <w:numId w:val="8"/>
        </w:numPr>
        <w:spacing w:after="40"/>
        <w:rPr>
          <w:b/>
          <w:bCs/>
        </w:rPr>
      </w:pPr>
      <w:r w:rsidRPr="00AE61B1">
        <w:rPr>
          <w:b/>
          <w:bCs/>
          <w:color w:val="FF0000"/>
        </w:rPr>
        <w:t xml:space="preserve">Declining </w:t>
      </w:r>
      <w:r w:rsidRPr="00AE61B1">
        <w:rPr>
          <w:b/>
          <w:bCs/>
        </w:rPr>
        <w:t>current ratio</w:t>
      </w:r>
    </w:p>
    <w:p w14:paraId="699EA708" w14:textId="77777777" w:rsidR="00AE61B1" w:rsidRPr="00AE61B1" w:rsidRDefault="00AE61B1" w:rsidP="00AE61B1">
      <w:pPr>
        <w:numPr>
          <w:ilvl w:val="0"/>
          <w:numId w:val="8"/>
        </w:numPr>
        <w:spacing w:after="40"/>
        <w:rPr>
          <w:b/>
          <w:bCs/>
        </w:rPr>
      </w:pPr>
      <w:r w:rsidRPr="00AE61B1">
        <w:rPr>
          <w:b/>
          <w:bCs/>
        </w:rPr>
        <w:t>Extended supplier payment terms</w:t>
      </w:r>
    </w:p>
    <w:p w14:paraId="501D4E8B" w14:textId="77777777" w:rsidR="00AE61B1" w:rsidRDefault="00AE61B1" w:rsidP="006A0783"/>
    <w:p w14:paraId="09DA3AE0" w14:textId="0F712A77" w:rsidR="00E069F0" w:rsidRDefault="005D4E4D" w:rsidP="006A0783">
      <w:r>
        <w:rPr>
          <w:noProof/>
        </w:rPr>
        <w:drawing>
          <wp:inline distT="0" distB="0" distL="0" distR="0" wp14:anchorId="0376E037" wp14:editId="4CE2EC53">
            <wp:extent cx="5958840" cy="3108960"/>
            <wp:effectExtent l="0" t="0" r="3810" b="15240"/>
            <wp:docPr id="708243461" name="Chart 1">
              <a:extLst xmlns:a="http://schemas.openxmlformats.org/drawingml/2006/main">
                <a:ext uri="{FF2B5EF4-FFF2-40B4-BE49-F238E27FC236}">
                  <a16:creationId xmlns:a16="http://schemas.microsoft.com/office/drawing/2014/main" id="{827965E1-8D1D-EBAB-96A1-1E9D285B74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018917" w14:textId="77777777" w:rsidR="00E069F0" w:rsidRDefault="00E069F0" w:rsidP="006A0783"/>
    <w:p w14:paraId="23D6F831" w14:textId="77777777" w:rsidR="00AE61B1" w:rsidRDefault="00AE61B1" w:rsidP="006A0783"/>
    <w:p w14:paraId="5117F075" w14:textId="77777777" w:rsidR="00AE61B1" w:rsidRDefault="00AE61B1" w:rsidP="006A0783"/>
    <w:p w14:paraId="607FC212" w14:textId="77777777" w:rsidR="00AE61B1" w:rsidRDefault="00AE61B1" w:rsidP="006A0783"/>
    <w:p w14:paraId="134C0654" w14:textId="77777777" w:rsidR="00AE61B1" w:rsidRDefault="00AE61B1" w:rsidP="006A0783"/>
    <w:p w14:paraId="746B678C" w14:textId="77777777" w:rsidR="00AE61B1" w:rsidRDefault="00AE61B1" w:rsidP="006A0783"/>
    <w:p w14:paraId="6CD73E02" w14:textId="77777777" w:rsidR="0016459C" w:rsidRDefault="0016459C" w:rsidP="006A0783">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13124465" w14:textId="77777777" w:rsidTr="00214B2D">
        <w:trPr>
          <w:trHeight w:val="1200"/>
        </w:trPr>
        <w:tc>
          <w:tcPr>
            <w:tcW w:w="1134" w:type="dxa"/>
            <w:tcBorders>
              <w:top w:val="nil"/>
              <w:left w:val="nil"/>
              <w:bottom w:val="nil"/>
              <w:right w:val="nil"/>
            </w:tcBorders>
            <w:shd w:val="clear" w:color="000000" w:fill="002060"/>
            <w:noWrap/>
            <w:vAlign w:val="center"/>
          </w:tcPr>
          <w:p w14:paraId="1872D0FC"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07C80993"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2023FE75" w14:textId="1F9B8138"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Operational Efficiency</w:t>
            </w:r>
          </w:p>
          <w:p w14:paraId="1FE58EDF"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44A6B59D"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4A920F2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605BC06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AF01D15"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2898924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030C45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69E87AC4"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6BAB08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36DD3136" w14:textId="77777777" w:rsidR="00886CDA" w:rsidRPr="00886CDA" w:rsidRDefault="00886CDA" w:rsidP="00886CDA">
      <w:pPr>
        <w:rPr>
          <w:b/>
          <w:bCs/>
        </w:rPr>
      </w:pPr>
      <w:r w:rsidRPr="00886CDA">
        <w:rPr>
          <w:b/>
          <w:bCs/>
        </w:rPr>
        <w:t>Asset Growth:</w:t>
      </w:r>
    </w:p>
    <w:p w14:paraId="5EB5C1E7" w14:textId="14DA3473" w:rsidR="00886CDA" w:rsidRPr="00886CDA" w:rsidRDefault="00886CDA" w:rsidP="00886CDA">
      <w:pPr>
        <w:numPr>
          <w:ilvl w:val="0"/>
          <w:numId w:val="20"/>
        </w:numPr>
        <w:spacing w:after="40"/>
        <w:rPr>
          <w:b/>
          <w:bCs/>
        </w:rPr>
      </w:pPr>
      <w:r w:rsidRPr="00886CDA">
        <w:rPr>
          <w:b/>
          <w:bCs/>
        </w:rPr>
        <w:t xml:space="preserve">Total Assets </w:t>
      </w:r>
      <w:r w:rsidRPr="00886CDA">
        <w:rPr>
          <w:b/>
          <w:bCs/>
          <w:color w:val="FF0000"/>
        </w:rPr>
        <w:t xml:space="preserve">grew by </w:t>
      </w:r>
      <w:r w:rsidR="0008638F">
        <w:rPr>
          <w:b/>
          <w:bCs/>
          <w:color w:val="FF0000"/>
        </w:rPr>
        <w:t>9</w:t>
      </w:r>
      <w:r w:rsidRPr="00886CDA">
        <w:rPr>
          <w:b/>
          <w:bCs/>
          <w:color w:val="FF0000"/>
        </w:rPr>
        <w:t xml:space="preserve">% </w:t>
      </w:r>
      <w:r w:rsidRPr="00886CDA">
        <w:rPr>
          <w:b/>
          <w:bCs/>
        </w:rPr>
        <w:t>from 2020 to 2022</w:t>
      </w:r>
    </w:p>
    <w:p w14:paraId="7DDC9A39" w14:textId="1A207826" w:rsidR="00886CDA" w:rsidRPr="00886CDA" w:rsidRDefault="00886CDA" w:rsidP="00886CDA">
      <w:pPr>
        <w:numPr>
          <w:ilvl w:val="0"/>
          <w:numId w:val="20"/>
        </w:numPr>
        <w:spacing w:after="40"/>
        <w:rPr>
          <w:b/>
          <w:bCs/>
        </w:rPr>
      </w:pPr>
      <w:r w:rsidRPr="00886CDA">
        <w:rPr>
          <w:b/>
          <w:bCs/>
        </w:rPr>
        <w:t xml:space="preserve">Current Assets </w:t>
      </w:r>
      <w:r w:rsidRPr="00886CDA">
        <w:rPr>
          <w:b/>
          <w:bCs/>
          <w:color w:val="FF0000"/>
        </w:rPr>
        <w:t xml:space="preserve">declined by </w:t>
      </w:r>
      <w:r w:rsidR="0008638F">
        <w:rPr>
          <w:b/>
          <w:bCs/>
          <w:color w:val="FF0000"/>
        </w:rPr>
        <w:t>6</w:t>
      </w:r>
      <w:r w:rsidRPr="00886CDA">
        <w:rPr>
          <w:b/>
          <w:bCs/>
          <w:color w:val="FF0000"/>
        </w:rPr>
        <w:t>%</w:t>
      </w:r>
      <w:r w:rsidRPr="00886CDA">
        <w:rPr>
          <w:b/>
          <w:bCs/>
        </w:rPr>
        <w:t xml:space="preserve"> from 2020 to 2022</w:t>
      </w:r>
    </w:p>
    <w:p w14:paraId="13157EB6" w14:textId="77777777" w:rsidR="00886CDA" w:rsidRDefault="00886CDA" w:rsidP="00886CDA">
      <w:pPr>
        <w:numPr>
          <w:ilvl w:val="0"/>
          <w:numId w:val="20"/>
        </w:numPr>
        <w:spacing w:after="40"/>
        <w:rPr>
          <w:b/>
          <w:bCs/>
        </w:rPr>
      </w:pPr>
      <w:r w:rsidRPr="00886CDA">
        <w:rPr>
          <w:b/>
          <w:bCs/>
        </w:rPr>
        <w:t xml:space="preserve">Non-Current Assets </w:t>
      </w:r>
      <w:r w:rsidRPr="00886CDA">
        <w:rPr>
          <w:b/>
          <w:bCs/>
          <w:color w:val="FF0000"/>
        </w:rPr>
        <w:t xml:space="preserve">increased by 20.6% </w:t>
      </w:r>
      <w:r w:rsidRPr="00886CDA">
        <w:rPr>
          <w:b/>
          <w:bCs/>
        </w:rPr>
        <w:t>from 2020 to 2022</w:t>
      </w:r>
    </w:p>
    <w:p w14:paraId="047C27AC" w14:textId="77777777" w:rsidR="00886CDA" w:rsidRPr="00886CDA" w:rsidRDefault="00886CDA" w:rsidP="00886CDA">
      <w:pPr>
        <w:spacing w:after="40"/>
        <w:ind w:left="720"/>
        <w:rPr>
          <w:b/>
          <w:bCs/>
        </w:rPr>
      </w:pPr>
    </w:p>
    <w:p w14:paraId="3AAAC54A" w14:textId="77777777" w:rsidR="00886CDA" w:rsidRPr="00886CDA" w:rsidRDefault="00886CDA" w:rsidP="00886CDA">
      <w:pPr>
        <w:rPr>
          <w:b/>
          <w:bCs/>
        </w:rPr>
      </w:pPr>
      <w:r w:rsidRPr="00886CDA">
        <w:rPr>
          <w:b/>
          <w:bCs/>
        </w:rPr>
        <w:t>Key Observations:</w:t>
      </w:r>
    </w:p>
    <w:p w14:paraId="445F7210" w14:textId="77777777" w:rsidR="00886CDA" w:rsidRPr="00886CDA" w:rsidRDefault="00886CDA" w:rsidP="00886CDA">
      <w:pPr>
        <w:numPr>
          <w:ilvl w:val="0"/>
          <w:numId w:val="21"/>
        </w:numPr>
        <w:spacing w:after="40"/>
        <w:rPr>
          <w:b/>
          <w:bCs/>
        </w:rPr>
      </w:pPr>
      <w:r w:rsidRPr="00886CDA">
        <w:rPr>
          <w:b/>
          <w:bCs/>
        </w:rPr>
        <w:t xml:space="preserve">Minimal growth in total assets </w:t>
      </w:r>
      <w:r w:rsidRPr="00886CDA">
        <w:rPr>
          <w:b/>
          <w:bCs/>
          <w:color w:val="FF0000"/>
        </w:rPr>
        <w:t xml:space="preserve">(0.5%) </w:t>
      </w:r>
      <w:r w:rsidRPr="00886CDA">
        <w:rPr>
          <w:b/>
          <w:bCs/>
        </w:rPr>
        <w:t>from 2021 to 2022</w:t>
      </w:r>
    </w:p>
    <w:p w14:paraId="1CA7A2E9" w14:textId="77777777" w:rsidR="00886CDA" w:rsidRPr="00886CDA" w:rsidRDefault="00886CDA" w:rsidP="00886CDA">
      <w:pPr>
        <w:numPr>
          <w:ilvl w:val="0"/>
          <w:numId w:val="21"/>
        </w:numPr>
        <w:spacing w:after="40"/>
        <w:rPr>
          <w:b/>
          <w:bCs/>
        </w:rPr>
      </w:pPr>
      <w:r w:rsidRPr="00886CDA">
        <w:rPr>
          <w:b/>
          <w:bCs/>
        </w:rPr>
        <w:t>Shift towards long-term assets over the period</w:t>
      </w:r>
    </w:p>
    <w:p w14:paraId="662188FA" w14:textId="77777777" w:rsidR="00886CDA" w:rsidRPr="00886CDA" w:rsidRDefault="00886CDA" w:rsidP="00886CDA">
      <w:pPr>
        <w:numPr>
          <w:ilvl w:val="0"/>
          <w:numId w:val="21"/>
        </w:numPr>
        <w:spacing w:after="40"/>
        <w:rPr>
          <w:b/>
          <w:bCs/>
        </w:rPr>
      </w:pPr>
      <w:r w:rsidRPr="00886CDA">
        <w:rPr>
          <w:b/>
          <w:bCs/>
          <w:color w:val="FF0000"/>
        </w:rPr>
        <w:t xml:space="preserve">Stable current asset position with 0.4% growth </w:t>
      </w:r>
      <w:r w:rsidRPr="00886CDA">
        <w:rPr>
          <w:b/>
          <w:bCs/>
        </w:rPr>
        <w:t>in 2022</w:t>
      </w:r>
    </w:p>
    <w:p w14:paraId="2941C7A1" w14:textId="77777777" w:rsidR="00E069F0" w:rsidRPr="00AE61B1" w:rsidRDefault="00E069F0" w:rsidP="006A0783">
      <w:pPr>
        <w:rPr>
          <w:b/>
          <w:bCs/>
        </w:rPr>
      </w:pPr>
    </w:p>
    <w:p w14:paraId="336ECC8A" w14:textId="77777777" w:rsidR="00AE61B1" w:rsidRPr="00AE61B1" w:rsidRDefault="00AE61B1" w:rsidP="00AE61B1">
      <w:pPr>
        <w:rPr>
          <w:b/>
          <w:bCs/>
        </w:rPr>
      </w:pPr>
      <w:r w:rsidRPr="00AE61B1">
        <w:rPr>
          <w:b/>
          <w:bCs/>
        </w:rPr>
        <w:t>Asset Utilization:</w:t>
      </w:r>
    </w:p>
    <w:p w14:paraId="3CA991C4" w14:textId="5CF6890A" w:rsidR="00AE61B1" w:rsidRPr="00AE61B1" w:rsidRDefault="00AE61B1" w:rsidP="00AE61B1">
      <w:pPr>
        <w:numPr>
          <w:ilvl w:val="0"/>
          <w:numId w:val="9"/>
        </w:numPr>
        <w:spacing w:after="40"/>
        <w:rPr>
          <w:b/>
          <w:bCs/>
          <w:color w:val="FF0000"/>
        </w:rPr>
      </w:pPr>
      <w:r w:rsidRPr="00AE61B1">
        <w:rPr>
          <w:b/>
          <w:bCs/>
        </w:rPr>
        <w:t xml:space="preserve">Total Asset Turnover: </w:t>
      </w:r>
      <w:r w:rsidRPr="00AE61B1">
        <w:rPr>
          <w:b/>
          <w:bCs/>
          <w:color w:val="FF0000"/>
        </w:rPr>
        <w:t>1.1 (improved)</w:t>
      </w:r>
    </w:p>
    <w:p w14:paraId="5049D88E" w14:textId="327566D3" w:rsidR="00AE61B1" w:rsidRPr="00AE61B1" w:rsidRDefault="00AE61B1" w:rsidP="00AE61B1">
      <w:pPr>
        <w:numPr>
          <w:ilvl w:val="0"/>
          <w:numId w:val="9"/>
        </w:numPr>
        <w:spacing w:after="40"/>
        <w:rPr>
          <w:b/>
          <w:bCs/>
          <w:color w:val="FF0000"/>
        </w:rPr>
      </w:pPr>
      <w:r w:rsidRPr="00AE61B1">
        <w:rPr>
          <w:b/>
          <w:bCs/>
        </w:rPr>
        <w:t xml:space="preserve">Fixed Asset Turnover: </w:t>
      </w:r>
      <w:r w:rsidRPr="00AE61B1">
        <w:rPr>
          <w:b/>
          <w:bCs/>
          <w:color w:val="FF0000"/>
        </w:rPr>
        <w:t>1.8 (improved)</w:t>
      </w:r>
    </w:p>
    <w:p w14:paraId="3C059CF2" w14:textId="6AAE0EA9" w:rsidR="00AE61B1" w:rsidRPr="00AE61B1" w:rsidRDefault="00AE61B1" w:rsidP="00AE61B1">
      <w:pPr>
        <w:numPr>
          <w:ilvl w:val="0"/>
          <w:numId w:val="9"/>
        </w:numPr>
        <w:spacing w:after="40"/>
        <w:rPr>
          <w:b/>
          <w:bCs/>
          <w:color w:val="FF0000"/>
        </w:rPr>
      </w:pPr>
      <w:r w:rsidRPr="00AE61B1">
        <w:rPr>
          <w:b/>
          <w:bCs/>
        </w:rPr>
        <w:t xml:space="preserve">Inventory Turnover: </w:t>
      </w:r>
      <w:r w:rsidRPr="00AE61B1">
        <w:rPr>
          <w:b/>
          <w:bCs/>
          <w:color w:val="FF0000"/>
        </w:rPr>
        <w:t>45.2 (efficient)</w:t>
      </w:r>
    </w:p>
    <w:p w14:paraId="1B6EBDC1" w14:textId="77777777" w:rsidR="00AE61B1" w:rsidRPr="00AE61B1" w:rsidRDefault="00AE61B1" w:rsidP="00AE61B1">
      <w:pPr>
        <w:spacing w:after="40"/>
        <w:ind w:left="720"/>
        <w:rPr>
          <w:b/>
          <w:bCs/>
        </w:rPr>
      </w:pPr>
    </w:p>
    <w:p w14:paraId="3E62D631" w14:textId="77777777" w:rsidR="00AE61B1" w:rsidRPr="00AE61B1" w:rsidRDefault="00AE61B1" w:rsidP="00AE61B1">
      <w:pPr>
        <w:rPr>
          <w:b/>
          <w:bCs/>
        </w:rPr>
      </w:pPr>
      <w:r w:rsidRPr="00AE61B1">
        <w:rPr>
          <w:b/>
          <w:bCs/>
        </w:rPr>
        <w:t>Improvements Noted:</w:t>
      </w:r>
    </w:p>
    <w:p w14:paraId="70BFED50" w14:textId="77777777" w:rsidR="00AE61B1" w:rsidRPr="00AE61B1" w:rsidRDefault="00AE61B1" w:rsidP="00AE61B1">
      <w:pPr>
        <w:numPr>
          <w:ilvl w:val="0"/>
          <w:numId w:val="10"/>
        </w:numPr>
        <w:spacing w:after="40"/>
        <w:rPr>
          <w:b/>
          <w:bCs/>
          <w:color w:val="FF0000"/>
        </w:rPr>
      </w:pPr>
      <w:r w:rsidRPr="00AE61B1">
        <w:rPr>
          <w:b/>
          <w:bCs/>
          <w:color w:val="FF0000"/>
        </w:rPr>
        <w:t>Better asset utilization ratios</w:t>
      </w:r>
    </w:p>
    <w:p w14:paraId="0E001C43" w14:textId="77777777" w:rsidR="00AE61B1" w:rsidRPr="00AE61B1" w:rsidRDefault="00AE61B1" w:rsidP="00AE61B1">
      <w:pPr>
        <w:numPr>
          <w:ilvl w:val="0"/>
          <w:numId w:val="10"/>
        </w:numPr>
        <w:spacing w:after="40"/>
        <w:rPr>
          <w:b/>
          <w:bCs/>
          <w:color w:val="FF0000"/>
        </w:rPr>
      </w:pPr>
      <w:r w:rsidRPr="00AE61B1">
        <w:rPr>
          <w:b/>
          <w:bCs/>
          <w:color w:val="FF0000"/>
        </w:rPr>
        <w:t>Optimized inventory management</w:t>
      </w:r>
    </w:p>
    <w:p w14:paraId="3548F61B" w14:textId="77777777" w:rsidR="00AE61B1" w:rsidRPr="00AE61B1" w:rsidRDefault="00AE61B1" w:rsidP="00AE61B1">
      <w:pPr>
        <w:numPr>
          <w:ilvl w:val="0"/>
          <w:numId w:val="10"/>
        </w:numPr>
        <w:spacing w:after="40"/>
        <w:rPr>
          <w:b/>
          <w:bCs/>
          <w:color w:val="FF0000"/>
        </w:rPr>
      </w:pPr>
      <w:r w:rsidRPr="00AE61B1">
        <w:rPr>
          <w:b/>
          <w:bCs/>
          <w:color w:val="FF0000"/>
        </w:rPr>
        <w:t>Increased operational efficiency</w:t>
      </w:r>
    </w:p>
    <w:p w14:paraId="17EF1F37" w14:textId="77777777" w:rsidR="00AE61B1" w:rsidRDefault="00AE61B1" w:rsidP="006A0783"/>
    <w:p w14:paraId="1ABD0601" w14:textId="01C44C7F" w:rsidR="00AE61B1" w:rsidRDefault="005D4E4D" w:rsidP="006A0783">
      <w:r>
        <w:rPr>
          <w:noProof/>
        </w:rPr>
        <w:drawing>
          <wp:inline distT="0" distB="0" distL="0" distR="0" wp14:anchorId="62B7470D" wp14:editId="429C3119">
            <wp:extent cx="6088380" cy="2743200"/>
            <wp:effectExtent l="0" t="0" r="7620" b="0"/>
            <wp:docPr id="1519659064" name="Chart 1">
              <a:extLst xmlns:a="http://schemas.openxmlformats.org/drawingml/2006/main">
                <a:ext uri="{FF2B5EF4-FFF2-40B4-BE49-F238E27FC236}">
                  <a16:creationId xmlns:a16="http://schemas.microsoft.com/office/drawing/2014/main" id="{6C09F559-1E5C-C613-8BCA-634470C5B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3F61F7" w14:textId="77777777" w:rsidR="005D4E4D" w:rsidRDefault="005D4E4D" w:rsidP="00AE61B1"/>
    <w:p w14:paraId="1E73C43C" w14:textId="703F9B8D" w:rsidR="00AE61B1" w:rsidRPr="00AE61B1" w:rsidRDefault="00AE61B1" w:rsidP="00AE61B1">
      <w:pPr>
        <w:rPr>
          <w:b/>
          <w:bCs/>
          <w:sz w:val="28"/>
          <w:szCs w:val="28"/>
        </w:rPr>
      </w:pPr>
      <w:r w:rsidRPr="00AE61B1">
        <w:rPr>
          <w:b/>
          <w:bCs/>
          <w:sz w:val="28"/>
          <w:szCs w:val="28"/>
        </w:rPr>
        <w:t>Financial Structure</w:t>
      </w:r>
    </w:p>
    <w:p w14:paraId="5A3C075D" w14:textId="77777777" w:rsidR="00AE61B1" w:rsidRPr="00AE61B1" w:rsidRDefault="00AE61B1" w:rsidP="00AE61B1">
      <w:pPr>
        <w:rPr>
          <w:b/>
          <w:bCs/>
        </w:rPr>
      </w:pPr>
      <w:r w:rsidRPr="00AE61B1">
        <w:rPr>
          <w:b/>
          <w:bCs/>
        </w:rPr>
        <w:lastRenderedPageBreak/>
        <w:t>Debt Position:</w:t>
      </w:r>
    </w:p>
    <w:p w14:paraId="4BF373A5" w14:textId="6BDA4C83" w:rsidR="00AE61B1" w:rsidRPr="00AE61B1" w:rsidRDefault="00AE61B1" w:rsidP="00AE61B1">
      <w:pPr>
        <w:numPr>
          <w:ilvl w:val="0"/>
          <w:numId w:val="12"/>
        </w:numPr>
        <w:spacing w:after="40"/>
        <w:rPr>
          <w:b/>
          <w:bCs/>
        </w:rPr>
      </w:pPr>
      <w:r w:rsidRPr="00AE61B1">
        <w:rPr>
          <w:b/>
          <w:bCs/>
        </w:rPr>
        <w:t xml:space="preserve">Debt-to-Equity: </w:t>
      </w:r>
      <w:r w:rsidRPr="00AE61B1">
        <w:rPr>
          <w:b/>
          <w:bCs/>
          <w:color w:val="FF0000"/>
        </w:rPr>
        <w:t xml:space="preserve">Increased to </w:t>
      </w:r>
      <w:r w:rsidR="0008638F">
        <w:rPr>
          <w:b/>
          <w:bCs/>
          <w:color w:val="FF0000"/>
        </w:rPr>
        <w:t>6</w:t>
      </w:r>
    </w:p>
    <w:p w14:paraId="55A85A41" w14:textId="77777777" w:rsidR="00AE61B1" w:rsidRPr="00AE61B1" w:rsidRDefault="00AE61B1" w:rsidP="00AE61B1">
      <w:pPr>
        <w:numPr>
          <w:ilvl w:val="0"/>
          <w:numId w:val="12"/>
        </w:numPr>
        <w:spacing w:after="40"/>
        <w:rPr>
          <w:b/>
          <w:bCs/>
        </w:rPr>
      </w:pPr>
      <w:r w:rsidRPr="00AE61B1">
        <w:rPr>
          <w:b/>
          <w:bCs/>
        </w:rPr>
        <w:t xml:space="preserve">Interest Coverage: </w:t>
      </w:r>
      <w:r w:rsidRPr="00AE61B1">
        <w:rPr>
          <w:b/>
          <w:bCs/>
          <w:color w:val="FF0000"/>
        </w:rPr>
        <w:t>355.60x</w:t>
      </w:r>
    </w:p>
    <w:p w14:paraId="369B5D3C" w14:textId="30B61FD2" w:rsidR="00AE61B1" w:rsidRDefault="00AE61B1" w:rsidP="00AE61B1">
      <w:pPr>
        <w:numPr>
          <w:ilvl w:val="0"/>
          <w:numId w:val="12"/>
        </w:numPr>
        <w:spacing w:after="40"/>
        <w:rPr>
          <w:b/>
          <w:bCs/>
        </w:rPr>
      </w:pPr>
      <w:r w:rsidRPr="00AE61B1">
        <w:rPr>
          <w:b/>
          <w:bCs/>
        </w:rPr>
        <w:t xml:space="preserve">Debt Coverage: </w:t>
      </w:r>
      <w:r w:rsidRPr="00AE61B1">
        <w:rPr>
          <w:b/>
          <w:bCs/>
          <w:color w:val="FF0000"/>
        </w:rPr>
        <w:t>5.3x</w:t>
      </w:r>
    </w:p>
    <w:p w14:paraId="2EC41718" w14:textId="77777777" w:rsidR="00AE61B1" w:rsidRPr="00AE61B1" w:rsidRDefault="00AE61B1" w:rsidP="00AE61B1">
      <w:pPr>
        <w:spacing w:after="40"/>
        <w:ind w:left="720"/>
        <w:rPr>
          <w:b/>
          <w:bCs/>
        </w:rPr>
      </w:pPr>
    </w:p>
    <w:p w14:paraId="015496AD" w14:textId="77777777" w:rsidR="00AE61B1" w:rsidRPr="00AE61B1" w:rsidRDefault="00AE61B1" w:rsidP="00AE61B1">
      <w:pPr>
        <w:rPr>
          <w:b/>
          <w:bCs/>
        </w:rPr>
      </w:pPr>
      <w:r w:rsidRPr="00AE61B1">
        <w:rPr>
          <w:b/>
          <w:bCs/>
        </w:rPr>
        <w:t>Risk Assessment:</w:t>
      </w:r>
    </w:p>
    <w:p w14:paraId="25251017" w14:textId="77777777" w:rsidR="00AE61B1" w:rsidRPr="00AE61B1" w:rsidRDefault="00AE61B1" w:rsidP="00AE61B1">
      <w:pPr>
        <w:numPr>
          <w:ilvl w:val="0"/>
          <w:numId w:val="13"/>
        </w:numPr>
        <w:spacing w:after="40"/>
        <w:rPr>
          <w:b/>
          <w:bCs/>
        </w:rPr>
      </w:pPr>
      <w:r w:rsidRPr="00AE61B1">
        <w:rPr>
          <w:b/>
          <w:bCs/>
          <w:color w:val="FF0000"/>
        </w:rPr>
        <w:t xml:space="preserve">Higher leverage </w:t>
      </w:r>
      <w:r w:rsidRPr="00AE61B1">
        <w:rPr>
          <w:b/>
          <w:bCs/>
        </w:rPr>
        <w:t>but manageable</w:t>
      </w:r>
    </w:p>
    <w:p w14:paraId="19E70066" w14:textId="77777777" w:rsidR="00AE61B1" w:rsidRPr="00AE61B1" w:rsidRDefault="00AE61B1" w:rsidP="00AE61B1">
      <w:pPr>
        <w:numPr>
          <w:ilvl w:val="0"/>
          <w:numId w:val="13"/>
        </w:numPr>
        <w:spacing w:after="40"/>
        <w:rPr>
          <w:b/>
          <w:bCs/>
          <w:color w:val="FF0000"/>
        </w:rPr>
      </w:pPr>
      <w:r w:rsidRPr="00AE61B1">
        <w:rPr>
          <w:b/>
          <w:bCs/>
          <w:color w:val="FF0000"/>
        </w:rPr>
        <w:t>Strong interest coverage</w:t>
      </w:r>
    </w:p>
    <w:p w14:paraId="4E071751" w14:textId="77777777" w:rsidR="00AE61B1" w:rsidRDefault="00AE61B1" w:rsidP="00AE61B1">
      <w:pPr>
        <w:numPr>
          <w:ilvl w:val="0"/>
          <w:numId w:val="13"/>
        </w:numPr>
        <w:spacing w:after="40"/>
        <w:rPr>
          <w:b/>
          <w:bCs/>
          <w:color w:val="FF0000"/>
        </w:rPr>
      </w:pPr>
      <w:r w:rsidRPr="00AE61B1">
        <w:rPr>
          <w:b/>
          <w:bCs/>
          <w:color w:val="FF0000"/>
        </w:rPr>
        <w:t>Adequate cash flow coverage</w:t>
      </w:r>
    </w:p>
    <w:p w14:paraId="67E7364C" w14:textId="77777777" w:rsidR="005D4E4D" w:rsidRDefault="005D4E4D" w:rsidP="005D4E4D">
      <w:pPr>
        <w:spacing w:after="40"/>
        <w:ind w:left="720"/>
        <w:rPr>
          <w:b/>
          <w:bCs/>
          <w:color w:val="FF0000"/>
        </w:rPr>
      </w:pPr>
    </w:p>
    <w:p w14:paraId="20D134E1" w14:textId="77777777" w:rsidR="005D4E4D" w:rsidRDefault="005D4E4D" w:rsidP="005D4E4D">
      <w:pPr>
        <w:spacing w:after="40"/>
        <w:ind w:left="720"/>
        <w:rPr>
          <w:b/>
          <w:bCs/>
          <w:color w:val="FF0000"/>
        </w:rPr>
      </w:pPr>
    </w:p>
    <w:p w14:paraId="34688CE8" w14:textId="12FC9F21" w:rsidR="00773F4A" w:rsidRDefault="00254226" w:rsidP="005D4E4D">
      <w:pPr>
        <w:spacing w:after="40"/>
        <w:ind w:left="720"/>
        <w:rPr>
          <w:b/>
          <w:bCs/>
          <w:color w:val="FF0000"/>
        </w:rPr>
      </w:pPr>
      <w:r>
        <w:rPr>
          <w:noProof/>
        </w:rPr>
        <w:drawing>
          <wp:inline distT="0" distB="0" distL="0" distR="0" wp14:anchorId="00717308" wp14:editId="73E604E4">
            <wp:extent cx="5326380" cy="2567940"/>
            <wp:effectExtent l="0" t="0" r="7620" b="3810"/>
            <wp:docPr id="86309265" name="Chart 1">
              <a:extLst xmlns:a="http://schemas.openxmlformats.org/drawingml/2006/main">
                <a:ext uri="{FF2B5EF4-FFF2-40B4-BE49-F238E27FC236}">
                  <a16:creationId xmlns:a16="http://schemas.microsoft.com/office/drawing/2014/main" id="{D06CEE1B-4502-A10F-0DD9-40D904FCC3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3ABC6CF" w14:textId="77777777" w:rsidR="00773F4A" w:rsidRDefault="00773F4A" w:rsidP="005D4E4D">
      <w:pPr>
        <w:spacing w:after="40"/>
        <w:ind w:left="720"/>
        <w:rPr>
          <w:b/>
          <w:bCs/>
          <w:color w:val="FF0000"/>
        </w:rPr>
      </w:pPr>
    </w:p>
    <w:p w14:paraId="3902775E" w14:textId="77777777" w:rsidR="00773F4A" w:rsidRDefault="00773F4A" w:rsidP="005D4E4D">
      <w:pPr>
        <w:spacing w:after="40"/>
        <w:ind w:left="720"/>
        <w:rPr>
          <w:b/>
          <w:bCs/>
          <w:color w:val="FF0000"/>
        </w:rPr>
      </w:pPr>
    </w:p>
    <w:p w14:paraId="53EAF08D" w14:textId="77777777" w:rsidR="00773F4A" w:rsidRDefault="00773F4A" w:rsidP="00773F4A">
      <w:pPr>
        <w:spacing w:after="40"/>
        <w:ind w:left="720"/>
        <w:rPr>
          <w:b/>
          <w:bCs/>
          <w:color w:val="FF0000"/>
        </w:rPr>
      </w:pPr>
      <w:r>
        <w:rPr>
          <w:noProof/>
        </w:rPr>
        <w:drawing>
          <wp:inline distT="0" distB="0" distL="0" distR="0" wp14:anchorId="51BE0C10" wp14:editId="75C5CF53">
            <wp:extent cx="5341620" cy="1653540"/>
            <wp:effectExtent l="0" t="0" r="11430" b="3810"/>
            <wp:docPr id="330825481" name="Chart 1">
              <a:extLst xmlns:a="http://schemas.openxmlformats.org/drawingml/2006/main">
                <a:ext uri="{FF2B5EF4-FFF2-40B4-BE49-F238E27FC236}">
                  <a16:creationId xmlns:a16="http://schemas.microsoft.com/office/drawing/2014/main" id="{6B6D233D-459A-C44F-5BCE-C0748DFA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3E39842" w14:textId="77777777" w:rsidR="00254226" w:rsidRDefault="00254226" w:rsidP="00773F4A">
      <w:pPr>
        <w:spacing w:after="40"/>
        <w:ind w:left="720"/>
        <w:rPr>
          <w:b/>
          <w:bCs/>
          <w:sz w:val="28"/>
          <w:szCs w:val="28"/>
          <w:u w:val="single"/>
        </w:rPr>
      </w:pPr>
    </w:p>
    <w:p w14:paraId="0D9E192A" w14:textId="77777777" w:rsidR="00254226" w:rsidRDefault="00254226" w:rsidP="00773F4A">
      <w:pPr>
        <w:spacing w:after="40"/>
        <w:ind w:left="720"/>
        <w:rPr>
          <w:b/>
          <w:bCs/>
          <w:sz w:val="28"/>
          <w:szCs w:val="28"/>
          <w:u w:val="single"/>
        </w:rPr>
      </w:pPr>
    </w:p>
    <w:p w14:paraId="76BF3278" w14:textId="77777777" w:rsidR="0016459C" w:rsidRDefault="0016459C" w:rsidP="00254226">
      <w:pPr>
        <w:spacing w:after="40"/>
        <w:rPr>
          <w:b/>
          <w:bCs/>
          <w:sz w:val="28"/>
          <w:szCs w:val="28"/>
          <w:u w:val="single"/>
        </w:rPr>
      </w:pPr>
    </w:p>
    <w:p w14:paraId="3E44310D" w14:textId="77777777" w:rsidR="0016459C" w:rsidRDefault="0016459C" w:rsidP="00254226">
      <w:pPr>
        <w:spacing w:after="40"/>
        <w:rPr>
          <w:b/>
          <w:bCs/>
          <w:sz w:val="28"/>
          <w:szCs w:val="28"/>
          <w:u w:val="single"/>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54AED2B4" w14:textId="77777777" w:rsidTr="00214B2D">
        <w:trPr>
          <w:trHeight w:val="1200"/>
        </w:trPr>
        <w:tc>
          <w:tcPr>
            <w:tcW w:w="1134" w:type="dxa"/>
            <w:tcBorders>
              <w:top w:val="nil"/>
              <w:left w:val="nil"/>
              <w:bottom w:val="nil"/>
              <w:right w:val="nil"/>
            </w:tcBorders>
            <w:shd w:val="clear" w:color="000000" w:fill="002060"/>
            <w:noWrap/>
            <w:vAlign w:val="center"/>
          </w:tcPr>
          <w:p w14:paraId="591A89C0"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6A237645" w14:textId="7777777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p>
          <w:p w14:paraId="6D7D2801" w14:textId="77DB1507"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Market Performance</w:t>
            </w:r>
          </w:p>
          <w:p w14:paraId="7574A0A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16431A7B"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275B9A01"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002FF07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A29698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1C2983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11567057"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C2084D6"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694C74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76397570" w14:textId="77777777" w:rsidR="00AE61B1" w:rsidRPr="00AE61B1" w:rsidRDefault="00AE61B1" w:rsidP="0016459C">
      <w:pPr>
        <w:spacing w:after="40"/>
        <w:rPr>
          <w:b/>
          <w:bCs/>
          <w:sz w:val="28"/>
          <w:szCs w:val="28"/>
        </w:rPr>
      </w:pPr>
    </w:p>
    <w:p w14:paraId="5C74ED9C" w14:textId="77777777" w:rsidR="00AE61B1" w:rsidRPr="00AE61B1" w:rsidRDefault="00AE61B1" w:rsidP="00886CDA">
      <w:pPr>
        <w:spacing w:after="40"/>
        <w:rPr>
          <w:b/>
          <w:bCs/>
        </w:rPr>
      </w:pPr>
      <w:r w:rsidRPr="00AE61B1">
        <w:rPr>
          <w:b/>
          <w:bCs/>
        </w:rPr>
        <w:t>Investment Metrics:</w:t>
      </w:r>
    </w:p>
    <w:p w14:paraId="0CCC717C" w14:textId="77777777" w:rsidR="00AE61B1" w:rsidRPr="00AE61B1" w:rsidRDefault="00AE61B1" w:rsidP="00886CDA">
      <w:pPr>
        <w:pStyle w:val="ListParagraph"/>
        <w:numPr>
          <w:ilvl w:val="1"/>
          <w:numId w:val="13"/>
        </w:numPr>
        <w:spacing w:after="40"/>
        <w:rPr>
          <w:b/>
          <w:bCs/>
          <w:color w:val="FF0000"/>
        </w:rPr>
      </w:pPr>
      <w:r w:rsidRPr="00AE61B1">
        <w:rPr>
          <w:b/>
          <w:bCs/>
        </w:rPr>
        <w:t>ROE:</w:t>
      </w:r>
      <w:r w:rsidRPr="00AE61B1">
        <w:rPr>
          <w:b/>
          <w:bCs/>
          <w:color w:val="FF0000"/>
        </w:rPr>
        <w:t xml:space="preserve"> Improved to 197%</w:t>
      </w:r>
    </w:p>
    <w:p w14:paraId="1A2A6689" w14:textId="77777777" w:rsidR="00AE61B1" w:rsidRPr="00AE61B1" w:rsidRDefault="00AE61B1" w:rsidP="00886CDA">
      <w:pPr>
        <w:pStyle w:val="ListParagraph"/>
        <w:numPr>
          <w:ilvl w:val="1"/>
          <w:numId w:val="13"/>
        </w:numPr>
        <w:spacing w:after="40"/>
        <w:rPr>
          <w:b/>
          <w:bCs/>
          <w:color w:val="FF0000"/>
        </w:rPr>
      </w:pPr>
      <w:r w:rsidRPr="00AE61B1">
        <w:rPr>
          <w:b/>
          <w:bCs/>
        </w:rPr>
        <w:t>ROCE:</w:t>
      </w:r>
      <w:r w:rsidRPr="00AE61B1">
        <w:rPr>
          <w:b/>
          <w:bCs/>
          <w:color w:val="FF0000"/>
        </w:rPr>
        <w:t xml:space="preserve"> Increased to 60%</w:t>
      </w:r>
    </w:p>
    <w:p w14:paraId="67AC49FE" w14:textId="55EF9A39" w:rsidR="00AE61B1" w:rsidRDefault="00AE61B1" w:rsidP="00886CDA">
      <w:pPr>
        <w:pStyle w:val="ListParagraph"/>
        <w:numPr>
          <w:ilvl w:val="1"/>
          <w:numId w:val="13"/>
        </w:numPr>
        <w:spacing w:after="40"/>
        <w:rPr>
          <w:b/>
          <w:bCs/>
          <w:color w:val="FF0000"/>
        </w:rPr>
      </w:pPr>
      <w:r w:rsidRPr="00AE61B1">
        <w:rPr>
          <w:b/>
          <w:bCs/>
        </w:rPr>
        <w:t xml:space="preserve">P/E Ratio: </w:t>
      </w:r>
      <w:r w:rsidRPr="00AE61B1">
        <w:rPr>
          <w:b/>
          <w:bCs/>
          <w:color w:val="FF0000"/>
        </w:rPr>
        <w:t>Decreased to 24.3</w:t>
      </w:r>
    </w:p>
    <w:p w14:paraId="0FEA737C" w14:textId="77777777" w:rsidR="00AE61B1" w:rsidRPr="00AE61B1" w:rsidRDefault="00AE61B1" w:rsidP="00AE61B1">
      <w:pPr>
        <w:pStyle w:val="ListParagraph"/>
        <w:spacing w:after="40"/>
        <w:rPr>
          <w:b/>
          <w:bCs/>
          <w:color w:val="FF0000"/>
        </w:rPr>
      </w:pPr>
    </w:p>
    <w:p w14:paraId="4B1CBAB8" w14:textId="77777777" w:rsidR="00886CDA" w:rsidRPr="00886CDA" w:rsidRDefault="00AE61B1" w:rsidP="00886CDA">
      <w:pPr>
        <w:spacing w:after="40"/>
        <w:rPr>
          <w:b/>
          <w:bCs/>
        </w:rPr>
      </w:pPr>
      <w:r w:rsidRPr="00886CDA">
        <w:rPr>
          <w:b/>
          <w:bCs/>
        </w:rPr>
        <w:t>Shareholder Returns:</w:t>
      </w:r>
      <w:r w:rsidR="00886CDA" w:rsidRPr="00886CDA">
        <w:rPr>
          <w:b/>
          <w:bCs/>
        </w:rPr>
        <w:t xml:space="preserve"> </w:t>
      </w:r>
    </w:p>
    <w:p w14:paraId="43E73FB3" w14:textId="77777777" w:rsidR="00886CDA" w:rsidRPr="00886CDA" w:rsidRDefault="00886CDA" w:rsidP="00886CDA">
      <w:pPr>
        <w:pStyle w:val="ListParagraph"/>
        <w:numPr>
          <w:ilvl w:val="1"/>
          <w:numId w:val="18"/>
        </w:numPr>
        <w:spacing w:after="40"/>
        <w:rPr>
          <w:b/>
          <w:bCs/>
          <w:color w:val="FF0000"/>
        </w:rPr>
      </w:pPr>
      <w:r w:rsidRPr="00886CDA">
        <w:rPr>
          <w:b/>
          <w:bCs/>
          <w:color w:val="FF0000"/>
        </w:rPr>
        <w:t>Yield around 0.6%</w:t>
      </w:r>
    </w:p>
    <w:p w14:paraId="58C3A98F" w14:textId="11D15D9C" w:rsidR="00886CDA" w:rsidRDefault="00886CDA" w:rsidP="00886CDA">
      <w:pPr>
        <w:pStyle w:val="ListParagraph"/>
        <w:numPr>
          <w:ilvl w:val="1"/>
          <w:numId w:val="18"/>
        </w:numPr>
        <w:spacing w:after="40"/>
        <w:rPr>
          <w:b/>
          <w:bCs/>
          <w:color w:val="FF0000"/>
        </w:rPr>
      </w:pPr>
      <w:r w:rsidRPr="00886CDA">
        <w:rPr>
          <w:b/>
          <w:bCs/>
          <w:color w:val="FF0000"/>
        </w:rPr>
        <w:t>Improved valuation met</w:t>
      </w:r>
      <w:r>
        <w:rPr>
          <w:b/>
          <w:bCs/>
          <w:color w:val="FF0000"/>
        </w:rPr>
        <w:t>rics</w:t>
      </w:r>
    </w:p>
    <w:p w14:paraId="47A344C6" w14:textId="7AF17C84" w:rsidR="00886CDA" w:rsidRPr="00886CDA" w:rsidRDefault="00886CDA" w:rsidP="00886CDA">
      <w:pPr>
        <w:pStyle w:val="ListParagraph"/>
        <w:numPr>
          <w:ilvl w:val="1"/>
          <w:numId w:val="18"/>
        </w:numPr>
        <w:spacing w:after="40"/>
        <w:rPr>
          <w:b/>
          <w:bCs/>
          <w:color w:val="FF0000"/>
        </w:rPr>
      </w:pPr>
      <w:r>
        <w:rPr>
          <w:b/>
          <w:bCs/>
          <w:color w:val="FF0000"/>
        </w:rPr>
        <w:t>Consistent dividend growth</w:t>
      </w:r>
    </w:p>
    <w:p w14:paraId="658DFEE2" w14:textId="77777777" w:rsidR="00AE61B1" w:rsidRDefault="00AE61B1" w:rsidP="00AE61B1">
      <w:pPr>
        <w:spacing w:after="40"/>
        <w:ind w:left="720"/>
        <w:rPr>
          <w:b/>
          <w:bCs/>
          <w:color w:val="FF0000"/>
        </w:rPr>
      </w:pPr>
    </w:p>
    <w:p w14:paraId="68D130AA" w14:textId="7E8BAF78" w:rsidR="00773F4A" w:rsidRDefault="00773F4A" w:rsidP="00AE61B1">
      <w:pPr>
        <w:spacing w:after="40"/>
        <w:ind w:left="720"/>
        <w:rPr>
          <w:b/>
          <w:bCs/>
          <w:color w:val="FF0000"/>
        </w:rPr>
      </w:pPr>
      <w:r>
        <w:rPr>
          <w:noProof/>
        </w:rPr>
        <w:drawing>
          <wp:inline distT="0" distB="0" distL="0" distR="0" wp14:anchorId="4FD7946A" wp14:editId="1DE64870">
            <wp:extent cx="5219700" cy="2743200"/>
            <wp:effectExtent l="0" t="0" r="0" b="0"/>
            <wp:docPr id="1062828334" name="Chart 1">
              <a:extLst xmlns:a="http://schemas.openxmlformats.org/drawingml/2006/main">
                <a:ext uri="{FF2B5EF4-FFF2-40B4-BE49-F238E27FC236}">
                  <a16:creationId xmlns:a16="http://schemas.microsoft.com/office/drawing/2014/main" id="{9E566DE0-8DF7-43DC-85FF-D5E1BCBB3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FBFB5A2" w14:textId="77777777" w:rsidR="00254226" w:rsidRDefault="00254226" w:rsidP="00AE61B1">
      <w:pPr>
        <w:spacing w:after="40"/>
        <w:ind w:left="720"/>
        <w:rPr>
          <w:b/>
          <w:bCs/>
          <w:color w:val="FF0000"/>
        </w:rPr>
      </w:pPr>
    </w:p>
    <w:p w14:paraId="6437E94B" w14:textId="360B2F6E" w:rsidR="00254226" w:rsidRPr="00AE61B1" w:rsidRDefault="00254226" w:rsidP="00AE61B1">
      <w:pPr>
        <w:spacing w:after="40"/>
        <w:ind w:left="720"/>
        <w:rPr>
          <w:b/>
          <w:bCs/>
          <w:color w:val="FF0000"/>
        </w:rPr>
      </w:pPr>
      <w:r>
        <w:rPr>
          <w:noProof/>
        </w:rPr>
        <w:drawing>
          <wp:inline distT="0" distB="0" distL="0" distR="0" wp14:anchorId="66276A12" wp14:editId="0C7C574D">
            <wp:extent cx="5265420" cy="2255520"/>
            <wp:effectExtent l="0" t="0" r="11430" b="11430"/>
            <wp:docPr id="111498417" name="Chart 1">
              <a:extLst xmlns:a="http://schemas.openxmlformats.org/drawingml/2006/main">
                <a:ext uri="{FF2B5EF4-FFF2-40B4-BE49-F238E27FC236}">
                  <a16:creationId xmlns:a16="http://schemas.microsoft.com/office/drawing/2014/main" id="{B3A3CC99-AC48-4FEA-F6EB-60889043D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FEA973" w14:textId="77777777" w:rsidR="00AE61B1" w:rsidRDefault="00AE61B1" w:rsidP="006A0783"/>
    <w:p w14:paraId="092E8E89" w14:textId="77777777" w:rsidR="0016459C" w:rsidRDefault="0016459C" w:rsidP="00254226">
      <w:pPr>
        <w:rPr>
          <w:b/>
          <w:bCs/>
          <w:sz w:val="28"/>
          <w:szCs w:val="28"/>
        </w:rPr>
      </w:pPr>
    </w:p>
    <w:tbl>
      <w:tblPr>
        <w:tblpPr w:leftFromText="180" w:rightFromText="180" w:horzAnchor="page" w:tblpX="1" w:tblpY="-1332"/>
        <w:tblW w:w="16346" w:type="dxa"/>
        <w:tblLook w:val="04A0" w:firstRow="1" w:lastRow="0" w:firstColumn="1" w:lastColumn="0" w:noHBand="0" w:noVBand="1"/>
      </w:tblPr>
      <w:tblGrid>
        <w:gridCol w:w="1134"/>
        <w:gridCol w:w="5292"/>
        <w:gridCol w:w="1880"/>
        <w:gridCol w:w="1600"/>
        <w:gridCol w:w="1640"/>
        <w:gridCol w:w="960"/>
        <w:gridCol w:w="960"/>
        <w:gridCol w:w="960"/>
        <w:gridCol w:w="960"/>
        <w:gridCol w:w="960"/>
      </w:tblGrid>
      <w:tr w:rsidR="0016459C" w:rsidRPr="006A0783" w14:paraId="364C804C" w14:textId="77777777" w:rsidTr="00214B2D">
        <w:trPr>
          <w:trHeight w:val="1200"/>
        </w:trPr>
        <w:tc>
          <w:tcPr>
            <w:tcW w:w="1134" w:type="dxa"/>
            <w:tcBorders>
              <w:top w:val="nil"/>
              <w:left w:val="nil"/>
              <w:bottom w:val="nil"/>
              <w:right w:val="nil"/>
            </w:tcBorders>
            <w:shd w:val="clear" w:color="000000" w:fill="002060"/>
            <w:noWrap/>
            <w:vAlign w:val="center"/>
          </w:tcPr>
          <w:p w14:paraId="5A1ECA6D" w14:textId="77777777" w:rsidR="0016459C" w:rsidRPr="0016459C" w:rsidRDefault="0016459C" w:rsidP="00214B2D">
            <w:pPr>
              <w:ind w:left="720"/>
              <w:jc w:val="center"/>
              <w:rPr>
                <w:rFonts w:ascii="Calibri" w:eastAsia="Times New Roman" w:hAnsi="Calibri" w:cs="Calibri"/>
                <w:b/>
                <w:bCs/>
                <w:color w:val="FFFFFF"/>
                <w:kern w:val="0"/>
                <w:sz w:val="40"/>
                <w:szCs w:val="40"/>
                <w14:ligatures w14:val="none"/>
              </w:rPr>
            </w:pPr>
          </w:p>
        </w:tc>
        <w:tc>
          <w:tcPr>
            <w:tcW w:w="5292" w:type="dxa"/>
            <w:tcBorders>
              <w:top w:val="nil"/>
              <w:left w:val="nil"/>
              <w:bottom w:val="nil"/>
              <w:right w:val="nil"/>
            </w:tcBorders>
            <w:shd w:val="clear" w:color="000000" w:fill="002060"/>
            <w:noWrap/>
            <w:vAlign w:val="bottom"/>
            <w:hideMark/>
          </w:tcPr>
          <w:p w14:paraId="7E7BB649" w14:textId="13A1259C" w:rsidR="0016459C" w:rsidRPr="0016459C" w:rsidRDefault="0016459C" w:rsidP="00214B2D">
            <w:pPr>
              <w:spacing w:after="0" w:line="240" w:lineRule="auto"/>
              <w:rPr>
                <w:rFonts w:ascii="Calibri" w:eastAsia="Times New Roman" w:hAnsi="Calibri" w:cs="Calibri"/>
                <w:b/>
                <w:bCs/>
                <w:color w:val="FFFFFF"/>
                <w:kern w:val="0"/>
                <w:sz w:val="40"/>
                <w:szCs w:val="40"/>
                <w14:ligatures w14:val="none"/>
              </w:rPr>
            </w:pPr>
            <w:r>
              <w:rPr>
                <w:rFonts w:ascii="Calibri" w:eastAsia="Times New Roman" w:hAnsi="Calibri" w:cs="Calibri"/>
                <w:b/>
                <w:bCs/>
                <w:color w:val="FFFFFF"/>
                <w:kern w:val="0"/>
                <w:sz w:val="40"/>
                <w:szCs w:val="40"/>
                <w14:ligatures w14:val="none"/>
              </w:rPr>
              <w:t>Future Outlook</w:t>
            </w:r>
          </w:p>
          <w:p w14:paraId="6B0D0760" w14:textId="77777777" w:rsidR="0016459C" w:rsidRPr="0016459C" w:rsidRDefault="0016459C" w:rsidP="00214B2D">
            <w:pPr>
              <w:spacing w:after="60"/>
              <w:rPr>
                <w:b/>
                <w:bCs/>
                <w:color w:val="FF0000"/>
                <w:sz w:val="40"/>
                <w:szCs w:val="40"/>
              </w:rPr>
            </w:pPr>
          </w:p>
        </w:tc>
        <w:tc>
          <w:tcPr>
            <w:tcW w:w="1880" w:type="dxa"/>
            <w:tcBorders>
              <w:top w:val="nil"/>
              <w:left w:val="nil"/>
              <w:bottom w:val="nil"/>
              <w:right w:val="nil"/>
            </w:tcBorders>
            <w:shd w:val="clear" w:color="000000" w:fill="002060"/>
            <w:noWrap/>
            <w:vAlign w:val="bottom"/>
            <w:hideMark/>
          </w:tcPr>
          <w:p w14:paraId="6DE0EDA0"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00" w:type="dxa"/>
            <w:tcBorders>
              <w:top w:val="nil"/>
              <w:left w:val="nil"/>
              <w:bottom w:val="nil"/>
              <w:right w:val="nil"/>
            </w:tcBorders>
            <w:shd w:val="clear" w:color="000000" w:fill="002060"/>
            <w:noWrap/>
            <w:vAlign w:val="bottom"/>
            <w:hideMark/>
          </w:tcPr>
          <w:p w14:paraId="690907C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1640" w:type="dxa"/>
            <w:tcBorders>
              <w:top w:val="nil"/>
              <w:left w:val="nil"/>
              <w:bottom w:val="nil"/>
              <w:right w:val="nil"/>
            </w:tcBorders>
            <w:shd w:val="clear" w:color="000000" w:fill="002060"/>
            <w:noWrap/>
            <w:vAlign w:val="bottom"/>
            <w:hideMark/>
          </w:tcPr>
          <w:p w14:paraId="1A7CA32E"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A8CEA89"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4B0E66E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28EA3A8"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3529218C"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c>
          <w:tcPr>
            <w:tcW w:w="960" w:type="dxa"/>
            <w:tcBorders>
              <w:top w:val="nil"/>
              <w:left w:val="nil"/>
              <w:bottom w:val="nil"/>
              <w:right w:val="nil"/>
            </w:tcBorders>
            <w:shd w:val="clear" w:color="000000" w:fill="002060"/>
            <w:noWrap/>
            <w:vAlign w:val="bottom"/>
            <w:hideMark/>
          </w:tcPr>
          <w:p w14:paraId="05F8D693" w14:textId="77777777" w:rsidR="0016459C" w:rsidRPr="006A0783" w:rsidRDefault="0016459C" w:rsidP="00214B2D">
            <w:pPr>
              <w:spacing w:after="0" w:line="240" w:lineRule="auto"/>
              <w:jc w:val="center"/>
              <w:rPr>
                <w:rFonts w:ascii="Calibri" w:eastAsia="Times New Roman" w:hAnsi="Calibri" w:cs="Calibri"/>
                <w:color w:val="FFFFFF"/>
                <w:kern w:val="0"/>
                <w14:ligatures w14:val="none"/>
              </w:rPr>
            </w:pPr>
            <w:r w:rsidRPr="006A0783">
              <w:rPr>
                <w:rFonts w:ascii="Calibri" w:eastAsia="Times New Roman" w:hAnsi="Calibri" w:cs="Calibri"/>
                <w:color w:val="FFFFFF"/>
                <w:kern w:val="0"/>
                <w14:ligatures w14:val="none"/>
              </w:rPr>
              <w:t> </w:t>
            </w:r>
          </w:p>
        </w:tc>
      </w:tr>
    </w:tbl>
    <w:p w14:paraId="51FC51F2" w14:textId="77777777" w:rsidR="0016459C" w:rsidRDefault="0016459C" w:rsidP="00254226">
      <w:pPr>
        <w:rPr>
          <w:b/>
          <w:bCs/>
        </w:rPr>
      </w:pPr>
    </w:p>
    <w:p w14:paraId="2BBFF93B" w14:textId="282C9928" w:rsidR="00254226" w:rsidRPr="00254226" w:rsidRDefault="00254226" w:rsidP="00254226">
      <w:pPr>
        <w:rPr>
          <w:b/>
          <w:bCs/>
        </w:rPr>
      </w:pPr>
      <w:r w:rsidRPr="00254226">
        <w:rPr>
          <w:b/>
          <w:bCs/>
        </w:rPr>
        <w:t xml:space="preserve">Based on the financial trends, Apple shows consistently </w:t>
      </w:r>
      <w:r w:rsidRPr="00254226">
        <w:rPr>
          <w:b/>
          <w:bCs/>
          <w:color w:val="FF0000"/>
        </w:rPr>
        <w:t>strong fundamentals with several key positive indicators</w:t>
      </w:r>
      <w:r w:rsidRPr="00254226">
        <w:rPr>
          <w:b/>
          <w:bCs/>
        </w:rPr>
        <w:t xml:space="preserve">. The company has maintained impressive revenue growth, </w:t>
      </w:r>
      <w:r w:rsidRPr="00254226">
        <w:rPr>
          <w:b/>
          <w:bCs/>
          <w:color w:val="FF0000"/>
        </w:rPr>
        <w:t>reaching $394.3 billion in 2022, while demonstrating improved operational efficiency through expanding gross margins from 38% to 43%. Their cash flow generation remains robust, with free cash flow per share increasing to $7,460.9, and they continue to deliver healthy returns on capital, evidenced by ROE of 197% and ROCE of 60%.</w:t>
      </w:r>
    </w:p>
    <w:p w14:paraId="7EC91676" w14:textId="77777777" w:rsidR="00254226" w:rsidRPr="00254226" w:rsidRDefault="00254226" w:rsidP="00254226">
      <w:pPr>
        <w:rPr>
          <w:b/>
          <w:bCs/>
        </w:rPr>
      </w:pPr>
      <w:r w:rsidRPr="00254226">
        <w:rPr>
          <w:b/>
          <w:bCs/>
        </w:rPr>
        <w:t xml:space="preserve">However, certain areas require careful attention as the company moves forward. The working capital position has shifted into </w:t>
      </w:r>
      <w:r w:rsidRPr="00254226">
        <w:rPr>
          <w:b/>
          <w:bCs/>
          <w:color w:val="FF0000"/>
        </w:rPr>
        <w:t>negative territory at -$18.6 billion</w:t>
      </w:r>
      <w:r w:rsidRPr="00254226">
        <w:rPr>
          <w:b/>
          <w:bCs/>
        </w:rPr>
        <w:t xml:space="preserve">, with the </w:t>
      </w:r>
      <w:r w:rsidRPr="00254226">
        <w:rPr>
          <w:b/>
          <w:bCs/>
          <w:color w:val="FF0000"/>
        </w:rPr>
        <w:t>current ratio declining to 0.88, indicating potential liquidity pressures. The increasing leverage, shown by a debt-to-equity ratio of 5.96, while manageable given strong interest coverage of 355.60x,</w:t>
      </w:r>
      <w:r w:rsidRPr="00254226">
        <w:rPr>
          <w:b/>
          <w:bCs/>
        </w:rPr>
        <w:t xml:space="preserve"> suggests a need for careful debt management. The declining liquidity ratios, particularly the quick ratio at 0.85 and cash ratio at 0.15, warrant monitoring.</w:t>
      </w:r>
    </w:p>
    <w:p w14:paraId="21D2B478" w14:textId="77777777" w:rsidR="00666F2D" w:rsidRDefault="00254226" w:rsidP="00254226">
      <w:pPr>
        <w:rPr>
          <w:b/>
          <w:bCs/>
        </w:rPr>
      </w:pPr>
      <w:r w:rsidRPr="00254226">
        <w:rPr>
          <w:b/>
          <w:bCs/>
        </w:rPr>
        <w:t xml:space="preserve">Looking ahead, Apple's </w:t>
      </w:r>
      <w:r w:rsidRPr="00254226">
        <w:rPr>
          <w:b/>
          <w:bCs/>
          <w:color w:val="FF0000"/>
        </w:rPr>
        <w:t xml:space="preserve">strong market position and growing services segment </w:t>
      </w:r>
      <w:r w:rsidRPr="00254226">
        <w:rPr>
          <w:b/>
          <w:bCs/>
        </w:rPr>
        <w:t xml:space="preserve">provide a solid foundation for continued success. The company's consistent investment in R&amp;D at 6-7% of revenue, combined with </w:t>
      </w:r>
      <w:r w:rsidRPr="00254226">
        <w:rPr>
          <w:b/>
          <w:bCs/>
          <w:color w:val="FF0000"/>
        </w:rPr>
        <w:t>stable operating expenses at 17% of revenue</w:t>
      </w:r>
      <w:r w:rsidRPr="00254226">
        <w:rPr>
          <w:b/>
          <w:bCs/>
        </w:rPr>
        <w:t>, positions them well for future innovation and growth.</w:t>
      </w:r>
    </w:p>
    <w:p w14:paraId="036F9865" w14:textId="2B621A30" w:rsidR="00254226" w:rsidRPr="00254226" w:rsidRDefault="00254226" w:rsidP="00254226">
      <w:pPr>
        <w:rPr>
          <w:b/>
          <w:bCs/>
          <w:color w:val="FF0000"/>
        </w:rPr>
      </w:pPr>
      <w:r w:rsidRPr="00254226">
        <w:rPr>
          <w:b/>
          <w:bCs/>
          <w:color w:val="FF0000"/>
        </w:rPr>
        <w:t>While the immediate focus should be on working capital optimization and leverage management, the underlying business fundamentals and operational efficiency suggest positive long-term prospects, particularly in the expanding services ecosystem and potential new product categories.</w:t>
      </w:r>
    </w:p>
    <w:p w14:paraId="61B31F01" w14:textId="77777777" w:rsidR="00E069F0" w:rsidRDefault="00E069F0" w:rsidP="006A0783"/>
    <w:p w14:paraId="760E1D1D" w14:textId="77777777" w:rsidR="00E069F0" w:rsidRDefault="00E069F0" w:rsidP="006A0783"/>
    <w:p w14:paraId="2AD16B8E" w14:textId="77777777" w:rsidR="00886CDA" w:rsidRDefault="00886CDA" w:rsidP="006A0783"/>
    <w:p w14:paraId="12D8B52F" w14:textId="77777777" w:rsidR="00886CDA" w:rsidRDefault="00886CDA" w:rsidP="006A0783"/>
    <w:p w14:paraId="34FE2DBF" w14:textId="77777777" w:rsidR="00886CDA" w:rsidRDefault="00886CDA" w:rsidP="006A0783"/>
    <w:p w14:paraId="782B9E20" w14:textId="77777777" w:rsidR="00886CDA" w:rsidRDefault="00886CDA" w:rsidP="006A0783"/>
    <w:p w14:paraId="03CD0DCD" w14:textId="77777777" w:rsidR="00886CDA" w:rsidRDefault="00886CDA" w:rsidP="006A0783"/>
    <w:p w14:paraId="7B4688E8" w14:textId="77777777" w:rsidR="00886CDA" w:rsidRDefault="00886CDA" w:rsidP="006A0783"/>
    <w:p w14:paraId="65C23528" w14:textId="77777777" w:rsidR="00886CDA" w:rsidRDefault="00886CDA" w:rsidP="006A0783"/>
    <w:p w14:paraId="48450BD6" w14:textId="7166F666" w:rsidR="00886CDA" w:rsidRDefault="00886CDA" w:rsidP="006A0783"/>
    <w:p w14:paraId="10077AB0" w14:textId="77777777" w:rsidR="00886CDA" w:rsidRDefault="00886CDA" w:rsidP="006A0783"/>
    <w:p w14:paraId="642E7AE8" w14:textId="77777777" w:rsidR="00886CDA" w:rsidRDefault="00886CDA" w:rsidP="006A0783"/>
    <w:p w14:paraId="0B95649C" w14:textId="77777777" w:rsidR="00886CDA" w:rsidRDefault="00886CDA" w:rsidP="006A0783"/>
    <w:p w14:paraId="5195C7DB" w14:textId="77777777" w:rsidR="00886CDA" w:rsidRDefault="00886CDA" w:rsidP="006A0783"/>
    <w:p w14:paraId="5D8279C2" w14:textId="77777777" w:rsidR="00886CDA" w:rsidRPr="006A0783" w:rsidRDefault="00886CDA" w:rsidP="006A0783"/>
    <w:sectPr w:rsidR="00886CDA" w:rsidRPr="006A0783" w:rsidSect="0008638F">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D6D0" w14:textId="77777777" w:rsidR="00863759" w:rsidRDefault="00863759" w:rsidP="0008638F">
      <w:pPr>
        <w:spacing w:after="0" w:line="240" w:lineRule="auto"/>
      </w:pPr>
      <w:r>
        <w:separator/>
      </w:r>
    </w:p>
  </w:endnote>
  <w:endnote w:type="continuationSeparator" w:id="0">
    <w:p w14:paraId="14F0BACF" w14:textId="77777777" w:rsidR="00863759" w:rsidRDefault="00863759" w:rsidP="00086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A29AD" w14:textId="77777777" w:rsidR="00863759" w:rsidRDefault="00863759" w:rsidP="0008638F">
      <w:pPr>
        <w:spacing w:after="0" w:line="240" w:lineRule="auto"/>
      </w:pPr>
      <w:r>
        <w:separator/>
      </w:r>
    </w:p>
  </w:footnote>
  <w:footnote w:type="continuationSeparator" w:id="0">
    <w:p w14:paraId="6FE94D64" w14:textId="77777777" w:rsidR="00863759" w:rsidRDefault="00863759" w:rsidP="00086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B2B8A"/>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91915"/>
    <w:multiLevelType w:val="hybridMultilevel"/>
    <w:tmpl w:val="EB98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972147"/>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6720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A606E"/>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44FF9"/>
    <w:multiLevelType w:val="multilevel"/>
    <w:tmpl w:val="737A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D1933"/>
    <w:multiLevelType w:val="multilevel"/>
    <w:tmpl w:val="BA502B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0F3608"/>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021A3"/>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AC3750"/>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381684"/>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32F10"/>
    <w:multiLevelType w:val="multilevel"/>
    <w:tmpl w:val="656EC7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0D431B"/>
    <w:multiLevelType w:val="multilevel"/>
    <w:tmpl w:val="29109A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B68ED"/>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F7669"/>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1876A2"/>
    <w:multiLevelType w:val="multilevel"/>
    <w:tmpl w:val="EB2A4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A123AB"/>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763946"/>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145FF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70291"/>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20A32"/>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5685A"/>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05130"/>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E0275"/>
    <w:multiLevelType w:val="multilevel"/>
    <w:tmpl w:val="49B2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0974659">
    <w:abstractNumId w:val="5"/>
  </w:num>
  <w:num w:numId="2" w16cid:durableId="1355840364">
    <w:abstractNumId w:val="8"/>
  </w:num>
  <w:num w:numId="3" w16cid:durableId="715814963">
    <w:abstractNumId w:val="1"/>
  </w:num>
  <w:num w:numId="4" w16cid:durableId="415588567">
    <w:abstractNumId w:val="19"/>
  </w:num>
  <w:num w:numId="5" w16cid:durableId="1213883848">
    <w:abstractNumId w:val="15"/>
  </w:num>
  <w:num w:numId="6" w16cid:durableId="531694432">
    <w:abstractNumId w:val="21"/>
  </w:num>
  <w:num w:numId="7" w16cid:durableId="1202402165">
    <w:abstractNumId w:val="2"/>
  </w:num>
  <w:num w:numId="8" w16cid:durableId="1883445376">
    <w:abstractNumId w:val="14"/>
  </w:num>
  <w:num w:numId="9" w16cid:durableId="75825286">
    <w:abstractNumId w:val="10"/>
  </w:num>
  <w:num w:numId="10" w16cid:durableId="303240237">
    <w:abstractNumId w:val="13"/>
  </w:num>
  <w:num w:numId="11" w16cid:durableId="807088378">
    <w:abstractNumId w:val="11"/>
  </w:num>
  <w:num w:numId="12" w16cid:durableId="833376763">
    <w:abstractNumId w:val="4"/>
  </w:num>
  <w:num w:numId="13" w16cid:durableId="468474464">
    <w:abstractNumId w:val="16"/>
  </w:num>
  <w:num w:numId="14" w16cid:durableId="1138232062">
    <w:abstractNumId w:val="6"/>
  </w:num>
  <w:num w:numId="15" w16cid:durableId="1629236188">
    <w:abstractNumId w:val="18"/>
  </w:num>
  <w:num w:numId="16" w16cid:durableId="1597906261">
    <w:abstractNumId w:val="17"/>
  </w:num>
  <w:num w:numId="17" w16cid:durableId="1450050086">
    <w:abstractNumId w:val="3"/>
  </w:num>
  <w:num w:numId="18" w16cid:durableId="22177279">
    <w:abstractNumId w:val="9"/>
  </w:num>
  <w:num w:numId="19" w16cid:durableId="1497695988">
    <w:abstractNumId w:val="22"/>
  </w:num>
  <w:num w:numId="20" w16cid:durableId="40713880">
    <w:abstractNumId w:val="0"/>
  </w:num>
  <w:num w:numId="21" w16cid:durableId="2143647981">
    <w:abstractNumId w:val="23"/>
  </w:num>
  <w:num w:numId="22" w16cid:durableId="1448348206">
    <w:abstractNumId w:val="12"/>
  </w:num>
  <w:num w:numId="23" w16cid:durableId="140586174">
    <w:abstractNumId w:val="7"/>
  </w:num>
  <w:num w:numId="24" w16cid:durableId="12121166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83"/>
    <w:rsid w:val="0008638F"/>
    <w:rsid w:val="0016459C"/>
    <w:rsid w:val="00254226"/>
    <w:rsid w:val="002F15D3"/>
    <w:rsid w:val="00317881"/>
    <w:rsid w:val="00592061"/>
    <w:rsid w:val="005D4E4D"/>
    <w:rsid w:val="00666F2D"/>
    <w:rsid w:val="006A0783"/>
    <w:rsid w:val="006E7EC5"/>
    <w:rsid w:val="00736BC3"/>
    <w:rsid w:val="007732B4"/>
    <w:rsid w:val="00773F4A"/>
    <w:rsid w:val="00821721"/>
    <w:rsid w:val="00863759"/>
    <w:rsid w:val="008863EF"/>
    <w:rsid w:val="00886CDA"/>
    <w:rsid w:val="009260FC"/>
    <w:rsid w:val="00960194"/>
    <w:rsid w:val="00962D64"/>
    <w:rsid w:val="009E656D"/>
    <w:rsid w:val="00AD1290"/>
    <w:rsid w:val="00AE61B1"/>
    <w:rsid w:val="00B3459D"/>
    <w:rsid w:val="00E069F0"/>
    <w:rsid w:val="00E83940"/>
    <w:rsid w:val="00F620D7"/>
    <w:rsid w:val="00FB2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032CE"/>
  <w15:chartTrackingRefBased/>
  <w15:docId w15:val="{9522393F-62C8-46CE-B856-54B7958A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9F0"/>
    <w:pPr>
      <w:ind w:left="720"/>
      <w:contextualSpacing/>
    </w:pPr>
  </w:style>
  <w:style w:type="character" w:styleId="Hyperlink">
    <w:name w:val="Hyperlink"/>
    <w:basedOn w:val="DefaultParagraphFont"/>
    <w:uiPriority w:val="99"/>
    <w:unhideWhenUsed/>
    <w:rsid w:val="00E83940"/>
    <w:rPr>
      <w:color w:val="0563C1" w:themeColor="hyperlink"/>
      <w:u w:val="single"/>
    </w:rPr>
  </w:style>
  <w:style w:type="character" w:styleId="UnresolvedMention">
    <w:name w:val="Unresolved Mention"/>
    <w:basedOn w:val="DefaultParagraphFont"/>
    <w:uiPriority w:val="99"/>
    <w:semiHidden/>
    <w:unhideWhenUsed/>
    <w:rsid w:val="00E83940"/>
    <w:rPr>
      <w:color w:val="605E5C"/>
      <w:shd w:val="clear" w:color="auto" w:fill="E1DFDD"/>
    </w:rPr>
  </w:style>
  <w:style w:type="paragraph" w:styleId="Header">
    <w:name w:val="header"/>
    <w:basedOn w:val="Normal"/>
    <w:link w:val="HeaderChar"/>
    <w:uiPriority w:val="99"/>
    <w:unhideWhenUsed/>
    <w:rsid w:val="00086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38F"/>
  </w:style>
  <w:style w:type="paragraph" w:styleId="Footer">
    <w:name w:val="footer"/>
    <w:basedOn w:val="Normal"/>
    <w:link w:val="FooterChar"/>
    <w:uiPriority w:val="99"/>
    <w:unhideWhenUsed/>
    <w:rsid w:val="00086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39353">
      <w:bodyDiv w:val="1"/>
      <w:marLeft w:val="0"/>
      <w:marRight w:val="0"/>
      <w:marTop w:val="0"/>
      <w:marBottom w:val="0"/>
      <w:divBdr>
        <w:top w:val="none" w:sz="0" w:space="0" w:color="auto"/>
        <w:left w:val="none" w:sz="0" w:space="0" w:color="auto"/>
        <w:bottom w:val="none" w:sz="0" w:space="0" w:color="auto"/>
        <w:right w:val="none" w:sz="0" w:space="0" w:color="auto"/>
      </w:divBdr>
    </w:div>
    <w:div w:id="231084485">
      <w:bodyDiv w:val="1"/>
      <w:marLeft w:val="0"/>
      <w:marRight w:val="0"/>
      <w:marTop w:val="0"/>
      <w:marBottom w:val="0"/>
      <w:divBdr>
        <w:top w:val="none" w:sz="0" w:space="0" w:color="auto"/>
        <w:left w:val="none" w:sz="0" w:space="0" w:color="auto"/>
        <w:bottom w:val="none" w:sz="0" w:space="0" w:color="auto"/>
        <w:right w:val="none" w:sz="0" w:space="0" w:color="auto"/>
      </w:divBdr>
    </w:div>
    <w:div w:id="239415726">
      <w:bodyDiv w:val="1"/>
      <w:marLeft w:val="0"/>
      <w:marRight w:val="0"/>
      <w:marTop w:val="0"/>
      <w:marBottom w:val="0"/>
      <w:divBdr>
        <w:top w:val="none" w:sz="0" w:space="0" w:color="auto"/>
        <w:left w:val="none" w:sz="0" w:space="0" w:color="auto"/>
        <w:bottom w:val="none" w:sz="0" w:space="0" w:color="auto"/>
        <w:right w:val="none" w:sz="0" w:space="0" w:color="auto"/>
      </w:divBdr>
    </w:div>
    <w:div w:id="249513441">
      <w:bodyDiv w:val="1"/>
      <w:marLeft w:val="0"/>
      <w:marRight w:val="0"/>
      <w:marTop w:val="0"/>
      <w:marBottom w:val="0"/>
      <w:divBdr>
        <w:top w:val="none" w:sz="0" w:space="0" w:color="auto"/>
        <w:left w:val="none" w:sz="0" w:space="0" w:color="auto"/>
        <w:bottom w:val="none" w:sz="0" w:space="0" w:color="auto"/>
        <w:right w:val="none" w:sz="0" w:space="0" w:color="auto"/>
      </w:divBdr>
    </w:div>
    <w:div w:id="288898656">
      <w:bodyDiv w:val="1"/>
      <w:marLeft w:val="0"/>
      <w:marRight w:val="0"/>
      <w:marTop w:val="0"/>
      <w:marBottom w:val="0"/>
      <w:divBdr>
        <w:top w:val="none" w:sz="0" w:space="0" w:color="auto"/>
        <w:left w:val="none" w:sz="0" w:space="0" w:color="auto"/>
        <w:bottom w:val="none" w:sz="0" w:space="0" w:color="auto"/>
        <w:right w:val="none" w:sz="0" w:space="0" w:color="auto"/>
      </w:divBdr>
    </w:div>
    <w:div w:id="376394114">
      <w:bodyDiv w:val="1"/>
      <w:marLeft w:val="0"/>
      <w:marRight w:val="0"/>
      <w:marTop w:val="0"/>
      <w:marBottom w:val="0"/>
      <w:divBdr>
        <w:top w:val="none" w:sz="0" w:space="0" w:color="auto"/>
        <w:left w:val="none" w:sz="0" w:space="0" w:color="auto"/>
        <w:bottom w:val="none" w:sz="0" w:space="0" w:color="auto"/>
        <w:right w:val="none" w:sz="0" w:space="0" w:color="auto"/>
      </w:divBdr>
    </w:div>
    <w:div w:id="614558294">
      <w:bodyDiv w:val="1"/>
      <w:marLeft w:val="0"/>
      <w:marRight w:val="0"/>
      <w:marTop w:val="0"/>
      <w:marBottom w:val="0"/>
      <w:divBdr>
        <w:top w:val="none" w:sz="0" w:space="0" w:color="auto"/>
        <w:left w:val="none" w:sz="0" w:space="0" w:color="auto"/>
        <w:bottom w:val="none" w:sz="0" w:space="0" w:color="auto"/>
        <w:right w:val="none" w:sz="0" w:space="0" w:color="auto"/>
      </w:divBdr>
    </w:div>
    <w:div w:id="769354810">
      <w:bodyDiv w:val="1"/>
      <w:marLeft w:val="0"/>
      <w:marRight w:val="0"/>
      <w:marTop w:val="0"/>
      <w:marBottom w:val="0"/>
      <w:divBdr>
        <w:top w:val="none" w:sz="0" w:space="0" w:color="auto"/>
        <w:left w:val="none" w:sz="0" w:space="0" w:color="auto"/>
        <w:bottom w:val="none" w:sz="0" w:space="0" w:color="auto"/>
        <w:right w:val="none" w:sz="0" w:space="0" w:color="auto"/>
      </w:divBdr>
    </w:div>
    <w:div w:id="791443132">
      <w:bodyDiv w:val="1"/>
      <w:marLeft w:val="0"/>
      <w:marRight w:val="0"/>
      <w:marTop w:val="0"/>
      <w:marBottom w:val="0"/>
      <w:divBdr>
        <w:top w:val="none" w:sz="0" w:space="0" w:color="auto"/>
        <w:left w:val="none" w:sz="0" w:space="0" w:color="auto"/>
        <w:bottom w:val="none" w:sz="0" w:space="0" w:color="auto"/>
        <w:right w:val="none" w:sz="0" w:space="0" w:color="auto"/>
      </w:divBdr>
    </w:div>
    <w:div w:id="796989192">
      <w:bodyDiv w:val="1"/>
      <w:marLeft w:val="0"/>
      <w:marRight w:val="0"/>
      <w:marTop w:val="0"/>
      <w:marBottom w:val="0"/>
      <w:divBdr>
        <w:top w:val="none" w:sz="0" w:space="0" w:color="auto"/>
        <w:left w:val="none" w:sz="0" w:space="0" w:color="auto"/>
        <w:bottom w:val="none" w:sz="0" w:space="0" w:color="auto"/>
        <w:right w:val="none" w:sz="0" w:space="0" w:color="auto"/>
      </w:divBdr>
    </w:div>
    <w:div w:id="798769282">
      <w:bodyDiv w:val="1"/>
      <w:marLeft w:val="0"/>
      <w:marRight w:val="0"/>
      <w:marTop w:val="0"/>
      <w:marBottom w:val="0"/>
      <w:divBdr>
        <w:top w:val="none" w:sz="0" w:space="0" w:color="auto"/>
        <w:left w:val="none" w:sz="0" w:space="0" w:color="auto"/>
        <w:bottom w:val="none" w:sz="0" w:space="0" w:color="auto"/>
        <w:right w:val="none" w:sz="0" w:space="0" w:color="auto"/>
      </w:divBdr>
    </w:div>
    <w:div w:id="887297017">
      <w:bodyDiv w:val="1"/>
      <w:marLeft w:val="0"/>
      <w:marRight w:val="0"/>
      <w:marTop w:val="0"/>
      <w:marBottom w:val="0"/>
      <w:divBdr>
        <w:top w:val="none" w:sz="0" w:space="0" w:color="auto"/>
        <w:left w:val="none" w:sz="0" w:space="0" w:color="auto"/>
        <w:bottom w:val="none" w:sz="0" w:space="0" w:color="auto"/>
        <w:right w:val="none" w:sz="0" w:space="0" w:color="auto"/>
      </w:divBdr>
    </w:div>
    <w:div w:id="951014941">
      <w:bodyDiv w:val="1"/>
      <w:marLeft w:val="0"/>
      <w:marRight w:val="0"/>
      <w:marTop w:val="0"/>
      <w:marBottom w:val="0"/>
      <w:divBdr>
        <w:top w:val="none" w:sz="0" w:space="0" w:color="auto"/>
        <w:left w:val="none" w:sz="0" w:space="0" w:color="auto"/>
        <w:bottom w:val="none" w:sz="0" w:space="0" w:color="auto"/>
        <w:right w:val="none" w:sz="0" w:space="0" w:color="auto"/>
      </w:divBdr>
    </w:div>
    <w:div w:id="1041781198">
      <w:bodyDiv w:val="1"/>
      <w:marLeft w:val="0"/>
      <w:marRight w:val="0"/>
      <w:marTop w:val="0"/>
      <w:marBottom w:val="0"/>
      <w:divBdr>
        <w:top w:val="none" w:sz="0" w:space="0" w:color="auto"/>
        <w:left w:val="none" w:sz="0" w:space="0" w:color="auto"/>
        <w:bottom w:val="none" w:sz="0" w:space="0" w:color="auto"/>
        <w:right w:val="none" w:sz="0" w:space="0" w:color="auto"/>
      </w:divBdr>
    </w:div>
    <w:div w:id="1072697824">
      <w:bodyDiv w:val="1"/>
      <w:marLeft w:val="0"/>
      <w:marRight w:val="0"/>
      <w:marTop w:val="0"/>
      <w:marBottom w:val="0"/>
      <w:divBdr>
        <w:top w:val="none" w:sz="0" w:space="0" w:color="auto"/>
        <w:left w:val="none" w:sz="0" w:space="0" w:color="auto"/>
        <w:bottom w:val="none" w:sz="0" w:space="0" w:color="auto"/>
        <w:right w:val="none" w:sz="0" w:space="0" w:color="auto"/>
      </w:divBdr>
    </w:div>
    <w:div w:id="1232035095">
      <w:bodyDiv w:val="1"/>
      <w:marLeft w:val="0"/>
      <w:marRight w:val="0"/>
      <w:marTop w:val="0"/>
      <w:marBottom w:val="0"/>
      <w:divBdr>
        <w:top w:val="none" w:sz="0" w:space="0" w:color="auto"/>
        <w:left w:val="none" w:sz="0" w:space="0" w:color="auto"/>
        <w:bottom w:val="none" w:sz="0" w:space="0" w:color="auto"/>
        <w:right w:val="none" w:sz="0" w:space="0" w:color="auto"/>
      </w:divBdr>
    </w:div>
    <w:div w:id="1517646464">
      <w:bodyDiv w:val="1"/>
      <w:marLeft w:val="0"/>
      <w:marRight w:val="0"/>
      <w:marTop w:val="0"/>
      <w:marBottom w:val="0"/>
      <w:divBdr>
        <w:top w:val="none" w:sz="0" w:space="0" w:color="auto"/>
        <w:left w:val="none" w:sz="0" w:space="0" w:color="auto"/>
        <w:bottom w:val="none" w:sz="0" w:space="0" w:color="auto"/>
        <w:right w:val="none" w:sz="0" w:space="0" w:color="auto"/>
      </w:divBdr>
    </w:div>
    <w:div w:id="1592346881">
      <w:bodyDiv w:val="1"/>
      <w:marLeft w:val="0"/>
      <w:marRight w:val="0"/>
      <w:marTop w:val="0"/>
      <w:marBottom w:val="0"/>
      <w:divBdr>
        <w:top w:val="none" w:sz="0" w:space="0" w:color="auto"/>
        <w:left w:val="none" w:sz="0" w:space="0" w:color="auto"/>
        <w:bottom w:val="none" w:sz="0" w:space="0" w:color="auto"/>
        <w:right w:val="none" w:sz="0" w:space="0" w:color="auto"/>
      </w:divBdr>
    </w:div>
    <w:div w:id="1746801528">
      <w:bodyDiv w:val="1"/>
      <w:marLeft w:val="0"/>
      <w:marRight w:val="0"/>
      <w:marTop w:val="0"/>
      <w:marBottom w:val="0"/>
      <w:divBdr>
        <w:top w:val="none" w:sz="0" w:space="0" w:color="auto"/>
        <w:left w:val="none" w:sz="0" w:space="0" w:color="auto"/>
        <w:bottom w:val="none" w:sz="0" w:space="0" w:color="auto"/>
        <w:right w:val="none" w:sz="0" w:space="0" w:color="auto"/>
      </w:divBdr>
    </w:div>
    <w:div w:id="1826243788">
      <w:bodyDiv w:val="1"/>
      <w:marLeft w:val="0"/>
      <w:marRight w:val="0"/>
      <w:marTop w:val="0"/>
      <w:marBottom w:val="0"/>
      <w:divBdr>
        <w:top w:val="none" w:sz="0" w:space="0" w:color="auto"/>
        <w:left w:val="none" w:sz="0" w:space="0" w:color="auto"/>
        <w:bottom w:val="none" w:sz="0" w:space="0" w:color="auto"/>
        <w:right w:val="none" w:sz="0" w:space="0" w:color="auto"/>
      </w:divBdr>
    </w:div>
    <w:div w:id="1864514677">
      <w:bodyDiv w:val="1"/>
      <w:marLeft w:val="0"/>
      <w:marRight w:val="0"/>
      <w:marTop w:val="0"/>
      <w:marBottom w:val="0"/>
      <w:divBdr>
        <w:top w:val="none" w:sz="0" w:space="0" w:color="auto"/>
        <w:left w:val="none" w:sz="0" w:space="0" w:color="auto"/>
        <w:bottom w:val="none" w:sz="0" w:space="0" w:color="auto"/>
        <w:right w:val="none" w:sz="0" w:space="0" w:color="auto"/>
      </w:divBdr>
    </w:div>
    <w:div w:id="1881239058">
      <w:bodyDiv w:val="1"/>
      <w:marLeft w:val="0"/>
      <w:marRight w:val="0"/>
      <w:marTop w:val="0"/>
      <w:marBottom w:val="0"/>
      <w:divBdr>
        <w:top w:val="none" w:sz="0" w:space="0" w:color="auto"/>
        <w:left w:val="none" w:sz="0" w:space="0" w:color="auto"/>
        <w:bottom w:val="none" w:sz="0" w:space="0" w:color="auto"/>
        <w:right w:val="none" w:sz="0" w:space="0" w:color="auto"/>
      </w:divBdr>
    </w:div>
    <w:div w:id="2033024102">
      <w:bodyDiv w:val="1"/>
      <w:marLeft w:val="0"/>
      <w:marRight w:val="0"/>
      <w:marTop w:val="0"/>
      <w:marBottom w:val="0"/>
      <w:divBdr>
        <w:top w:val="none" w:sz="0" w:space="0" w:color="auto"/>
        <w:left w:val="none" w:sz="0" w:space="0" w:color="auto"/>
        <w:bottom w:val="none" w:sz="0" w:space="0" w:color="auto"/>
        <w:right w:val="none" w:sz="0" w:space="0" w:color="auto"/>
      </w:divBdr>
    </w:div>
    <w:div w:id="2090691795">
      <w:bodyDiv w:val="1"/>
      <w:marLeft w:val="0"/>
      <w:marRight w:val="0"/>
      <w:marTop w:val="0"/>
      <w:marBottom w:val="0"/>
      <w:divBdr>
        <w:top w:val="none" w:sz="0" w:space="0" w:color="auto"/>
        <w:left w:val="none" w:sz="0" w:space="0" w:color="auto"/>
        <w:bottom w:val="none" w:sz="0" w:space="0" w:color="auto"/>
        <w:right w:val="none" w:sz="0" w:space="0" w:color="auto"/>
      </w:divBdr>
    </w:div>
    <w:div w:id="2098861134">
      <w:bodyDiv w:val="1"/>
      <w:marLeft w:val="0"/>
      <w:marRight w:val="0"/>
      <w:marTop w:val="0"/>
      <w:marBottom w:val="0"/>
      <w:divBdr>
        <w:top w:val="none" w:sz="0" w:space="0" w:color="auto"/>
        <w:left w:val="none" w:sz="0" w:space="0" w:color="auto"/>
        <w:bottom w:val="none" w:sz="0" w:space="0" w:color="auto"/>
        <w:right w:val="none" w:sz="0" w:space="0" w:color="auto"/>
      </w:divBdr>
    </w:div>
    <w:div w:id="210360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Downloads\71728906252441_Task%201%20Ratio%20Calculation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t>Revenue Category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Ratios'!$H$56</c:f>
              <c:strCache>
                <c:ptCount val="1"/>
                <c:pt idx="0">
                  <c:v>Gross margin</c:v>
                </c:pt>
              </c:strCache>
            </c:strRef>
          </c:tx>
          <c:spPr>
            <a:solidFill>
              <a:schemeClr val="accent2"/>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Ratios'!$I$56:$K$56</c:f>
              <c:numCache>
                <c:formatCode>0%</c:formatCode>
                <c:ptCount val="3"/>
                <c:pt idx="0">
                  <c:v>0.43309630561360085</c:v>
                </c:pt>
                <c:pt idx="1">
                  <c:v>0.41779359625167778</c:v>
                </c:pt>
                <c:pt idx="2">
                  <c:v>0.38233247727810865</c:v>
                </c:pt>
              </c:numCache>
            </c:numRef>
          </c:val>
          <c:extLst>
            <c:ext xmlns:c16="http://schemas.microsoft.com/office/drawing/2014/chart" uri="{C3380CC4-5D6E-409C-BE32-E72D297353CC}">
              <c16:uniqueId val="{00000000-3AD8-4F92-8764-CE462AC1BBE1}"/>
            </c:ext>
          </c:extLst>
        </c:ser>
        <c:ser>
          <c:idx val="2"/>
          <c:order val="2"/>
          <c:tx>
            <c:strRef>
              <c:f>'List of Ratios'!$H$57</c:f>
              <c:strCache>
                <c:ptCount val="1"/>
                <c:pt idx="0">
                  <c:v>EBIT margin</c:v>
                </c:pt>
              </c:strCache>
            </c:strRef>
          </c:tx>
          <c:spPr>
            <a:solidFill>
              <a:schemeClr val="accent3"/>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Ratios'!$I$57:$K$57</c:f>
              <c:numCache>
                <c:formatCode>0%</c:formatCode>
                <c:ptCount val="3"/>
                <c:pt idx="0">
                  <c:v>0.30119342273437344</c:v>
                </c:pt>
                <c:pt idx="1">
                  <c:v>0.29923431661185784</c:v>
                </c:pt>
                <c:pt idx="2">
                  <c:v>0.24732346137733821</c:v>
                </c:pt>
              </c:numCache>
            </c:numRef>
          </c:val>
          <c:extLst>
            <c:ext xmlns:c16="http://schemas.microsoft.com/office/drawing/2014/chart" uri="{C3380CC4-5D6E-409C-BE32-E72D297353CC}">
              <c16:uniqueId val="{00000001-3AD8-4F92-8764-CE462AC1BBE1}"/>
            </c:ext>
          </c:extLst>
        </c:ser>
        <c:dLbls>
          <c:showLegendKey val="0"/>
          <c:showVal val="0"/>
          <c:showCatName val="0"/>
          <c:showSerName val="0"/>
          <c:showPercent val="0"/>
          <c:showBubbleSize val="0"/>
        </c:dLbls>
        <c:gapWidth val="219"/>
        <c:overlap val="-27"/>
        <c:axId val="1147179743"/>
        <c:axId val="1147186463"/>
        <c:extLst>
          <c:ext xmlns:c15="http://schemas.microsoft.com/office/drawing/2012/chart" uri="{02D57815-91ED-43cb-92C2-25804820EDAC}">
            <c15:filteredBarSeries>
              <c15:ser>
                <c:idx val="0"/>
                <c:order val="0"/>
                <c:tx>
                  <c:strRef>
                    <c:extLst>
                      <c:ext uri="{02D57815-91ED-43cb-92C2-25804820EDAC}">
                        <c15:formulaRef>
                          <c15:sqref>'List of Ratios'!$H$55</c15:sqref>
                        </c15:formulaRef>
                      </c:ext>
                    </c:extLst>
                    <c:strCache>
                      <c:ptCount val="1"/>
                    </c:strCache>
                  </c:strRef>
                </c:tx>
                <c:spPr>
                  <a:solidFill>
                    <a:schemeClr val="accent1"/>
                  </a:solidFill>
                  <a:ln>
                    <a:noFill/>
                  </a:ln>
                  <a:effectLst/>
                </c:spPr>
                <c:invertIfNegative val="0"/>
                <c:cat>
                  <c:numRef>
                    <c:extLst>
                      <c:ext uri="{02D57815-91ED-43cb-92C2-25804820EDAC}">
                        <c15:formulaRef>
                          <c15:sqref>'List of Ratios'!$I$54:$K$54</c15:sqref>
                        </c15:formulaRef>
                      </c:ext>
                    </c:extLst>
                    <c:numCache>
                      <c:formatCode>General</c:formatCode>
                      <c:ptCount val="3"/>
                      <c:pt idx="0">
                        <c:v>2022</c:v>
                      </c:pt>
                      <c:pt idx="1">
                        <c:v>2021</c:v>
                      </c:pt>
                      <c:pt idx="2">
                        <c:v>2020</c:v>
                      </c:pt>
                    </c:numCache>
                  </c:numRef>
                </c:cat>
                <c:val>
                  <c:numRef>
                    <c:extLst>
                      <c:ext uri="{02D57815-91ED-43cb-92C2-25804820EDAC}">
                        <c15:formulaRef>
                          <c15:sqref>'List of Ratios'!$I$55:$K$55</c15:sqref>
                        </c15:formulaRef>
                      </c:ext>
                    </c:extLst>
                    <c:numCache>
                      <c:formatCode>General</c:formatCode>
                      <c:ptCount val="3"/>
                    </c:numCache>
                  </c:numRef>
                </c:val>
                <c:extLst>
                  <c:ext xmlns:c16="http://schemas.microsoft.com/office/drawing/2014/chart" uri="{C3380CC4-5D6E-409C-BE32-E72D297353CC}">
                    <c16:uniqueId val="{00000002-3AD8-4F92-8764-CE462AC1BBE1}"/>
                  </c:ext>
                </c:extLst>
              </c15:ser>
            </c15:filteredBarSeries>
          </c:ext>
        </c:extLst>
      </c:barChart>
      <c:catAx>
        <c:axId val="1147179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47186463"/>
        <c:crosses val="autoZero"/>
        <c:auto val="1"/>
        <c:lblAlgn val="ctr"/>
        <c:lblOffset val="100"/>
        <c:noMultiLvlLbl val="0"/>
      </c:catAx>
      <c:valAx>
        <c:axId val="1147186463"/>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47179743"/>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b="1"/>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Ratios'!$H$85</c:f>
              <c:strCache>
                <c:ptCount val="1"/>
                <c:pt idx="0">
                  <c:v>Debt coverage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 of Ratios'!$I$83:$K$83</c:f>
              <c:numCache>
                <c:formatCode>General</c:formatCode>
                <c:ptCount val="3"/>
                <c:pt idx="0">
                  <c:v>2022</c:v>
                </c:pt>
                <c:pt idx="1">
                  <c:v>2021</c:v>
                </c:pt>
                <c:pt idx="2">
                  <c:v>2020</c:v>
                </c:pt>
              </c:numCache>
            </c:numRef>
          </c:cat>
          <c:val>
            <c:numRef>
              <c:f>'List of Ratios'!$I$85:$K$85</c:f>
              <c:numCache>
                <c:formatCode>0.00</c:formatCode>
                <c:ptCount val="3"/>
                <c:pt idx="0">
                  <c:v>5.3229788751225602</c:v>
                </c:pt>
                <c:pt idx="1">
                  <c:v>3.8810558563693358</c:v>
                </c:pt>
                <c:pt idx="2">
                  <c:v>5.3017675757818123</c:v>
                </c:pt>
              </c:numCache>
            </c:numRef>
          </c:val>
          <c:extLst>
            <c:ext xmlns:c16="http://schemas.microsoft.com/office/drawing/2014/chart" uri="{C3380CC4-5D6E-409C-BE32-E72D297353CC}">
              <c16:uniqueId val="{00000000-522B-4399-8EC1-9F420D372271}"/>
            </c:ext>
          </c:extLst>
        </c:ser>
        <c:dLbls>
          <c:dLblPos val="outEnd"/>
          <c:showLegendKey val="0"/>
          <c:showVal val="1"/>
          <c:showCatName val="0"/>
          <c:showSerName val="0"/>
          <c:showPercent val="0"/>
          <c:showBubbleSize val="0"/>
        </c:dLbls>
        <c:gapWidth val="100"/>
        <c:overlap val="-24"/>
        <c:axId val="1468614367"/>
        <c:axId val="1468631647"/>
        <c:extLst>
          <c:ext xmlns:c15="http://schemas.microsoft.com/office/drawing/2012/chart" uri="{02D57815-91ED-43cb-92C2-25804820EDAC}">
            <c15:filteredBarSeries>
              <c15:ser>
                <c:idx val="0"/>
                <c:order val="0"/>
                <c:tx>
                  <c:strRef>
                    <c:extLst>
                      <c:ext uri="{02D57815-91ED-43cb-92C2-25804820EDAC}">
                        <c15:formulaRef>
                          <c15:sqref>'List of Ratios'!$H$84</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'List of Ratios'!$I$83:$K$83</c15:sqref>
                        </c15:formulaRef>
                      </c:ext>
                    </c:extLst>
                    <c:numCache>
                      <c:formatCode>General</c:formatCode>
                      <c:ptCount val="3"/>
                      <c:pt idx="0">
                        <c:v>2022</c:v>
                      </c:pt>
                      <c:pt idx="1">
                        <c:v>2021</c:v>
                      </c:pt>
                      <c:pt idx="2">
                        <c:v>2020</c:v>
                      </c:pt>
                    </c:numCache>
                  </c:numRef>
                </c:cat>
                <c:val>
                  <c:numRef>
                    <c:extLst>
                      <c:ext uri="{02D57815-91ED-43cb-92C2-25804820EDAC}">
                        <c15:formulaRef>
                          <c15:sqref>'List of Ratios'!$I$84:$K$84</c15:sqref>
                        </c15:formulaRef>
                      </c:ext>
                    </c:extLst>
                    <c:numCache>
                      <c:formatCode>General</c:formatCode>
                      <c:ptCount val="3"/>
                    </c:numCache>
                  </c:numRef>
                </c:val>
                <c:extLst>
                  <c:ext xmlns:c16="http://schemas.microsoft.com/office/drawing/2014/chart" uri="{C3380CC4-5D6E-409C-BE32-E72D297353CC}">
                    <c16:uniqueId val="{00000001-522B-4399-8EC1-9F420D372271}"/>
                  </c:ext>
                </c:extLst>
              </c15:ser>
            </c15:filteredBarSeries>
          </c:ext>
        </c:extLst>
      </c:barChart>
      <c:catAx>
        <c:axId val="146861436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1647"/>
        <c:crosses val="autoZero"/>
        <c:auto val="1"/>
        <c:lblAlgn val="ctr"/>
        <c:lblOffset val="100"/>
        <c:noMultiLvlLbl val="0"/>
      </c:catAx>
      <c:valAx>
        <c:axId val="146863164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143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Returns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Ratios'!$I$87</c:f>
              <c:strCache>
                <c:ptCount val="1"/>
                <c:pt idx="0">
                  <c:v>2022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Ratios'!$H$88:$H$90</c:f>
              <c:strCache>
                <c:ptCount val="3"/>
                <c:pt idx="0">
                  <c:v>Return on assets (ROA)</c:v>
                </c:pt>
                <c:pt idx="1">
                  <c:v>Return on equity (ROE)</c:v>
                </c:pt>
                <c:pt idx="2">
                  <c:v>Return on capital employed (ROCE)</c:v>
                </c:pt>
              </c:strCache>
            </c:strRef>
          </c:cat>
          <c:val>
            <c:numRef>
              <c:f>'List of Ratios'!$I$88:$I$90</c:f>
              <c:numCache>
                <c:formatCode>0.00</c:formatCode>
                <c:ptCount val="3"/>
                <c:pt idx="0" formatCode="0%">
                  <c:v>0.28292440929256851</c:v>
                </c:pt>
                <c:pt idx="1">
                  <c:v>1.9695887275023682</c:v>
                </c:pt>
                <c:pt idx="2">
                  <c:v>0.59751072831823238</c:v>
                </c:pt>
              </c:numCache>
            </c:numRef>
          </c:val>
          <c:extLst>
            <c:ext xmlns:c16="http://schemas.microsoft.com/office/drawing/2014/chart" uri="{C3380CC4-5D6E-409C-BE32-E72D297353CC}">
              <c16:uniqueId val="{00000000-5CEF-40CE-945A-2694E142EC80}"/>
            </c:ext>
          </c:extLst>
        </c:ser>
        <c:ser>
          <c:idx val="1"/>
          <c:order val="1"/>
          <c:tx>
            <c:strRef>
              <c:f>'List of Ratios'!$J$87</c:f>
              <c:strCache>
                <c:ptCount val="1"/>
                <c:pt idx="0">
                  <c:v>2021</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Ratios'!$H$88:$H$90</c:f>
              <c:strCache>
                <c:ptCount val="3"/>
                <c:pt idx="0">
                  <c:v>Return on assets (ROA)</c:v>
                </c:pt>
                <c:pt idx="1">
                  <c:v>Return on equity (ROE)</c:v>
                </c:pt>
                <c:pt idx="2">
                  <c:v>Return on capital employed (ROCE)</c:v>
                </c:pt>
              </c:strCache>
            </c:strRef>
          </c:cat>
          <c:val>
            <c:numRef>
              <c:f>'List of Ratios'!$J$88:$J$90</c:f>
              <c:numCache>
                <c:formatCode>0.00</c:formatCode>
                <c:ptCount val="3"/>
                <c:pt idx="0" formatCode="0%">
                  <c:v>0.26974205275183616</c:v>
                </c:pt>
                <c:pt idx="1">
                  <c:v>1.5007132667617689</c:v>
                </c:pt>
                <c:pt idx="2">
                  <c:v>0.48538717015266869</c:v>
                </c:pt>
              </c:numCache>
            </c:numRef>
          </c:val>
          <c:extLst>
            <c:ext xmlns:c16="http://schemas.microsoft.com/office/drawing/2014/chart" uri="{C3380CC4-5D6E-409C-BE32-E72D297353CC}">
              <c16:uniqueId val="{00000001-5CEF-40CE-945A-2694E142EC80}"/>
            </c:ext>
          </c:extLst>
        </c:ser>
        <c:ser>
          <c:idx val="2"/>
          <c:order val="2"/>
          <c:tx>
            <c:strRef>
              <c:f>'List of Ratios'!$K$87</c:f>
              <c:strCache>
                <c:ptCount val="1"/>
                <c:pt idx="0">
                  <c:v>2020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Ratios'!$H$88:$H$90</c:f>
              <c:strCache>
                <c:ptCount val="3"/>
                <c:pt idx="0">
                  <c:v>Return on assets (ROA)</c:v>
                </c:pt>
                <c:pt idx="1">
                  <c:v>Return on equity (ROE)</c:v>
                </c:pt>
                <c:pt idx="2">
                  <c:v>Return on capital employed (ROCE)</c:v>
                </c:pt>
              </c:strCache>
            </c:strRef>
          </c:cat>
          <c:val>
            <c:numRef>
              <c:f>'List of Ratios'!$K$88:$K$90</c:f>
              <c:numCache>
                <c:formatCode>0.00</c:formatCode>
                <c:ptCount val="3"/>
                <c:pt idx="0" formatCode="0%">
                  <c:v>0.1772557180259843</c:v>
                </c:pt>
                <c:pt idx="1">
                  <c:v>0.87866358530127486</c:v>
                </c:pt>
                <c:pt idx="2">
                  <c:v>0.31073337727006445</c:v>
                </c:pt>
              </c:numCache>
            </c:numRef>
          </c:val>
          <c:extLst>
            <c:ext xmlns:c16="http://schemas.microsoft.com/office/drawing/2014/chart" uri="{C3380CC4-5D6E-409C-BE32-E72D297353CC}">
              <c16:uniqueId val="{00000002-5CEF-40CE-945A-2694E142EC80}"/>
            </c:ext>
          </c:extLst>
        </c:ser>
        <c:dLbls>
          <c:showLegendKey val="0"/>
          <c:showVal val="0"/>
          <c:showCatName val="0"/>
          <c:showSerName val="0"/>
          <c:showPercent val="0"/>
          <c:showBubbleSize val="0"/>
        </c:dLbls>
        <c:gapWidth val="100"/>
        <c:overlap val="-24"/>
        <c:axId val="1566892351"/>
        <c:axId val="1566884191"/>
      </c:barChart>
      <c:catAx>
        <c:axId val="1566892351"/>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84191"/>
        <c:crosses val="autoZero"/>
        <c:auto val="1"/>
        <c:lblAlgn val="ctr"/>
        <c:lblOffset val="100"/>
        <c:noMultiLvlLbl val="0"/>
      </c:catAx>
      <c:valAx>
        <c:axId val="15668841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92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'List of Ratios'!$H$93</c:f>
              <c:strCache>
                <c:ptCount val="1"/>
                <c:pt idx="0">
                  <c:v>Dividend yield</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'List of Ratios'!$I$92:$K$92</c:f>
              <c:numCache>
                <c:formatCode>General</c:formatCode>
                <c:ptCount val="3"/>
                <c:pt idx="0">
                  <c:v>2022</c:v>
                </c:pt>
                <c:pt idx="1">
                  <c:v>2021</c:v>
                </c:pt>
                <c:pt idx="2">
                  <c:v>2020</c:v>
                </c:pt>
              </c:numCache>
            </c:numRef>
          </c:cat>
          <c:val>
            <c:numRef>
              <c:f>'List of Ratios'!$I$93:$K$93</c:f>
              <c:numCache>
                <c:formatCode>0.00%</c:formatCode>
                <c:ptCount val="3"/>
                <c:pt idx="0">
                  <c:v>6.0666666666666673E-3</c:v>
                </c:pt>
                <c:pt idx="1">
                  <c:v>5.2543587294005259E-3</c:v>
                </c:pt>
                <c:pt idx="2">
                  <c:v>2.0661157024793389E-2</c:v>
                </c:pt>
              </c:numCache>
            </c:numRef>
          </c:val>
          <c:extLst>
            <c:ext xmlns:c16="http://schemas.microsoft.com/office/drawing/2014/chart" uri="{C3380CC4-5D6E-409C-BE32-E72D297353CC}">
              <c16:uniqueId val="{00000000-A7E3-43A1-BB3B-985E5B3E7D57}"/>
            </c:ext>
          </c:extLst>
        </c:ser>
        <c:dLbls>
          <c:dLblPos val="inEnd"/>
          <c:showLegendKey val="0"/>
          <c:showVal val="1"/>
          <c:showCatName val="0"/>
          <c:showSerName val="0"/>
          <c:showPercent val="0"/>
          <c:showBubbleSize val="0"/>
        </c:dLbls>
        <c:gapWidth val="41"/>
        <c:axId val="1566882751"/>
        <c:axId val="1566880831"/>
      </c:barChart>
      <c:catAx>
        <c:axId val="15668827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566880831"/>
        <c:crosses val="autoZero"/>
        <c:auto val="1"/>
        <c:lblAlgn val="ctr"/>
        <c:lblOffset val="100"/>
        <c:noMultiLvlLbl val="0"/>
      </c:catAx>
      <c:valAx>
        <c:axId val="1566880831"/>
        <c:scaling>
          <c:orientation val="minMax"/>
        </c:scaling>
        <c:delete val="1"/>
        <c:axPos val="l"/>
        <c:numFmt formatCode="0.00%" sourceLinked="1"/>
        <c:majorTickMark val="none"/>
        <c:minorTickMark val="none"/>
        <c:tickLblPos val="nextTo"/>
        <c:crossAx val="156688275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Ratios'!$H$56</c:f>
              <c:strCache>
                <c:ptCount val="1"/>
                <c:pt idx="0">
                  <c:v>Gross margin</c:v>
                </c:pt>
              </c:strCache>
            </c:strRef>
          </c:tx>
          <c:spPr>
            <a:solidFill>
              <a:schemeClr val="accent6">
                <a:tint val="77000"/>
              </a:schemeClr>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Ratios'!$I$56:$K$56</c:f>
              <c:numCache>
                <c:formatCode>0%</c:formatCode>
                <c:ptCount val="3"/>
                <c:pt idx="0">
                  <c:v>0.43309630561360085</c:v>
                </c:pt>
                <c:pt idx="1">
                  <c:v>0.41779359625167778</c:v>
                </c:pt>
                <c:pt idx="2">
                  <c:v>0.38233247727810865</c:v>
                </c:pt>
              </c:numCache>
            </c:numRef>
          </c:val>
          <c:extLst>
            <c:ext xmlns:c16="http://schemas.microsoft.com/office/drawing/2014/chart" uri="{C3380CC4-5D6E-409C-BE32-E72D297353CC}">
              <c16:uniqueId val="{00000000-E17E-4C40-A6A2-B697181BEEF7}"/>
            </c:ext>
          </c:extLst>
        </c:ser>
        <c:dLbls>
          <c:showLegendKey val="0"/>
          <c:showVal val="0"/>
          <c:showCatName val="0"/>
          <c:showSerName val="0"/>
          <c:showPercent val="0"/>
          <c:showBubbleSize val="0"/>
        </c:dLbls>
        <c:gapWidth val="219"/>
        <c:overlap val="-27"/>
        <c:axId val="1468632127"/>
        <c:axId val="1468626847"/>
        <c:extLst>
          <c:ext xmlns:c15="http://schemas.microsoft.com/office/drawing/2012/chart" uri="{02D57815-91ED-43cb-92C2-25804820EDAC}">
            <c15:filteredBarSeries>
              <c15:ser>
                <c:idx val="0"/>
                <c:order val="0"/>
                <c:tx>
                  <c:strRef>
                    <c:extLst>
                      <c:ext uri="{02D57815-91ED-43cb-92C2-25804820EDAC}">
                        <c15:formulaRef>
                          <c15:sqref>'List of Ratios'!$H$55</c15:sqref>
                        </c15:formulaRef>
                      </c:ext>
                    </c:extLst>
                    <c:strCache>
                      <c:ptCount val="1"/>
                    </c:strCache>
                  </c:strRef>
                </c:tx>
                <c:spPr>
                  <a:solidFill>
                    <a:schemeClr val="accent6">
                      <a:shade val="76000"/>
                    </a:schemeClr>
                  </a:solidFill>
                  <a:ln>
                    <a:noFill/>
                  </a:ln>
                  <a:effectLst/>
                </c:spPr>
                <c:invertIfNegative val="0"/>
                <c:cat>
                  <c:numRef>
                    <c:extLst>
                      <c:ext uri="{02D57815-91ED-43cb-92C2-25804820EDAC}">
                        <c15:formulaRef>
                          <c15:sqref>'List of Ratios'!$I$54:$K$54</c15:sqref>
                        </c15:formulaRef>
                      </c:ext>
                    </c:extLst>
                    <c:numCache>
                      <c:formatCode>General</c:formatCode>
                      <c:ptCount val="3"/>
                      <c:pt idx="0">
                        <c:v>2022</c:v>
                      </c:pt>
                      <c:pt idx="1">
                        <c:v>2021</c:v>
                      </c:pt>
                      <c:pt idx="2">
                        <c:v>2020</c:v>
                      </c:pt>
                    </c:numCache>
                  </c:numRef>
                </c:cat>
                <c:val>
                  <c:numRef>
                    <c:extLst>
                      <c:ext uri="{02D57815-91ED-43cb-92C2-25804820EDAC}">
                        <c15:formulaRef>
                          <c15:sqref>'List of Ratios'!$I$55:$K$55</c15:sqref>
                        </c15:formulaRef>
                      </c:ext>
                    </c:extLst>
                    <c:numCache>
                      <c:formatCode>General</c:formatCode>
                      <c:ptCount val="3"/>
                    </c:numCache>
                  </c:numRef>
                </c:val>
                <c:extLst>
                  <c:ext xmlns:c16="http://schemas.microsoft.com/office/drawing/2014/chart" uri="{C3380CC4-5D6E-409C-BE32-E72D297353CC}">
                    <c16:uniqueId val="{00000001-E17E-4C40-A6A2-B697181BEEF7}"/>
                  </c:ext>
                </c:extLst>
              </c15:ser>
            </c15:filteredBarSeries>
          </c:ext>
        </c:extLst>
      </c:barChart>
      <c:catAx>
        <c:axId val="1468632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26847"/>
        <c:crosses val="autoZero"/>
        <c:auto val="1"/>
        <c:lblAlgn val="ctr"/>
        <c:lblOffset val="100"/>
        <c:noMultiLvlLbl val="0"/>
      </c:catAx>
      <c:valAx>
        <c:axId val="146862684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21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Profitability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Ratios'!$H$56</c:f>
              <c:strCache>
                <c:ptCount val="1"/>
                <c:pt idx="0">
                  <c:v>Gross margin</c:v>
                </c:pt>
              </c:strCache>
            </c:strRef>
          </c:tx>
          <c:spPr>
            <a:solidFill>
              <a:schemeClr val="accent5"/>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Ratios'!$I$56:$K$56</c:f>
              <c:numCache>
                <c:formatCode>0%</c:formatCode>
                <c:ptCount val="3"/>
                <c:pt idx="0">
                  <c:v>0.43309630561360085</c:v>
                </c:pt>
                <c:pt idx="1">
                  <c:v>0.41779359625167778</c:v>
                </c:pt>
                <c:pt idx="2">
                  <c:v>0.38233247727810865</c:v>
                </c:pt>
              </c:numCache>
            </c:numRef>
          </c:val>
          <c:extLst>
            <c:ext xmlns:c16="http://schemas.microsoft.com/office/drawing/2014/chart" uri="{C3380CC4-5D6E-409C-BE32-E72D297353CC}">
              <c16:uniqueId val="{00000000-7934-4524-99CB-DF91BFE0360C}"/>
            </c:ext>
          </c:extLst>
        </c:ser>
        <c:ser>
          <c:idx val="2"/>
          <c:order val="2"/>
          <c:tx>
            <c:strRef>
              <c:f>'List of Ratios'!$H$57</c:f>
              <c:strCache>
                <c:ptCount val="1"/>
                <c:pt idx="0">
                  <c:v>EBIT margin</c:v>
                </c:pt>
              </c:strCache>
            </c:strRef>
          </c:tx>
          <c:spPr>
            <a:solidFill>
              <a:schemeClr val="accent4"/>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Ratios'!$I$57:$K$57</c:f>
              <c:numCache>
                <c:formatCode>0%</c:formatCode>
                <c:ptCount val="3"/>
                <c:pt idx="0">
                  <c:v>0.30119342273437344</c:v>
                </c:pt>
                <c:pt idx="1">
                  <c:v>0.29923431661185784</c:v>
                </c:pt>
                <c:pt idx="2">
                  <c:v>0.24732346137733821</c:v>
                </c:pt>
              </c:numCache>
            </c:numRef>
          </c:val>
          <c:extLst>
            <c:ext xmlns:c16="http://schemas.microsoft.com/office/drawing/2014/chart" uri="{C3380CC4-5D6E-409C-BE32-E72D297353CC}">
              <c16:uniqueId val="{00000001-7934-4524-99CB-DF91BFE0360C}"/>
            </c:ext>
          </c:extLst>
        </c:ser>
        <c:ser>
          <c:idx val="3"/>
          <c:order val="3"/>
          <c:tx>
            <c:strRef>
              <c:f>'List of Ratios'!$H$58</c:f>
              <c:strCache>
                <c:ptCount val="1"/>
                <c:pt idx="0">
                  <c:v>Net margin</c:v>
                </c:pt>
              </c:strCache>
            </c:strRef>
          </c:tx>
          <c:spPr>
            <a:solidFill>
              <a:schemeClr val="accent6">
                <a:lumMod val="60000"/>
              </a:schemeClr>
            </a:solidFill>
            <a:ln>
              <a:noFill/>
            </a:ln>
            <a:effectLst/>
          </c:spPr>
          <c:invertIfNegative val="0"/>
          <c:cat>
            <c:numRef>
              <c:f>'List of Ratios'!$I$54:$K$54</c:f>
              <c:numCache>
                <c:formatCode>General</c:formatCode>
                <c:ptCount val="3"/>
                <c:pt idx="0">
                  <c:v>2022</c:v>
                </c:pt>
                <c:pt idx="1">
                  <c:v>2021</c:v>
                </c:pt>
                <c:pt idx="2">
                  <c:v>2020</c:v>
                </c:pt>
              </c:numCache>
            </c:numRef>
          </c:cat>
          <c:val>
            <c:numRef>
              <c:f>'List of Ratios'!$I$58:$K$58</c:f>
              <c:numCache>
                <c:formatCode>0%</c:formatCode>
                <c:ptCount val="3"/>
                <c:pt idx="0">
                  <c:v>0.25309640705199732</c:v>
                </c:pt>
                <c:pt idx="1">
                  <c:v>0.25881793355694238</c:v>
                </c:pt>
                <c:pt idx="2">
                  <c:v>0.20913611278072236</c:v>
                </c:pt>
              </c:numCache>
            </c:numRef>
          </c:val>
          <c:extLst>
            <c:ext xmlns:c16="http://schemas.microsoft.com/office/drawing/2014/chart" uri="{C3380CC4-5D6E-409C-BE32-E72D297353CC}">
              <c16:uniqueId val="{00000002-7934-4524-99CB-DF91BFE0360C}"/>
            </c:ext>
          </c:extLst>
        </c:ser>
        <c:dLbls>
          <c:showLegendKey val="0"/>
          <c:showVal val="0"/>
          <c:showCatName val="0"/>
          <c:showSerName val="0"/>
          <c:showPercent val="0"/>
          <c:showBubbleSize val="0"/>
        </c:dLbls>
        <c:gapWidth val="219"/>
        <c:overlap val="-27"/>
        <c:axId val="1566906751"/>
        <c:axId val="1566905791"/>
        <c:extLst>
          <c:ext xmlns:c15="http://schemas.microsoft.com/office/drawing/2012/chart" uri="{02D57815-91ED-43cb-92C2-25804820EDAC}">
            <c15:filteredBarSeries>
              <c15:ser>
                <c:idx val="0"/>
                <c:order val="0"/>
                <c:tx>
                  <c:strRef>
                    <c:extLst>
                      <c:ext uri="{02D57815-91ED-43cb-92C2-25804820EDAC}">
                        <c15:formulaRef>
                          <c15:sqref>'List of Ratios'!$H$55</c15:sqref>
                        </c15:formulaRef>
                      </c:ext>
                    </c:extLst>
                    <c:strCache>
                      <c:ptCount val="1"/>
                    </c:strCache>
                  </c:strRef>
                </c:tx>
                <c:spPr>
                  <a:solidFill>
                    <a:schemeClr val="accent6"/>
                  </a:solidFill>
                  <a:ln>
                    <a:noFill/>
                  </a:ln>
                  <a:effectLst/>
                </c:spPr>
                <c:invertIfNegative val="0"/>
                <c:cat>
                  <c:numRef>
                    <c:extLst>
                      <c:ext uri="{02D57815-91ED-43cb-92C2-25804820EDAC}">
                        <c15:formulaRef>
                          <c15:sqref>'List of Ratios'!$I$54:$K$54</c15:sqref>
                        </c15:formulaRef>
                      </c:ext>
                    </c:extLst>
                    <c:numCache>
                      <c:formatCode>General</c:formatCode>
                      <c:ptCount val="3"/>
                      <c:pt idx="0">
                        <c:v>2022</c:v>
                      </c:pt>
                      <c:pt idx="1">
                        <c:v>2021</c:v>
                      </c:pt>
                      <c:pt idx="2">
                        <c:v>2020</c:v>
                      </c:pt>
                    </c:numCache>
                  </c:numRef>
                </c:cat>
                <c:val>
                  <c:numRef>
                    <c:extLst>
                      <c:ext uri="{02D57815-91ED-43cb-92C2-25804820EDAC}">
                        <c15:formulaRef>
                          <c15:sqref>'List of Ratios'!$I$55:$K$55</c15:sqref>
                        </c15:formulaRef>
                      </c:ext>
                    </c:extLst>
                    <c:numCache>
                      <c:formatCode>General</c:formatCode>
                      <c:ptCount val="3"/>
                    </c:numCache>
                  </c:numRef>
                </c:val>
                <c:extLst>
                  <c:ext xmlns:c16="http://schemas.microsoft.com/office/drawing/2014/chart" uri="{C3380CC4-5D6E-409C-BE32-E72D297353CC}">
                    <c16:uniqueId val="{00000003-7934-4524-99CB-DF91BFE0360C}"/>
                  </c:ext>
                </c:extLst>
              </c15:ser>
            </c15:filteredBarSeries>
          </c:ext>
        </c:extLst>
      </c:barChart>
      <c:catAx>
        <c:axId val="1566906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905791"/>
        <c:crosses val="autoZero"/>
        <c:auto val="1"/>
        <c:lblAlgn val="ctr"/>
        <c:lblOffset val="100"/>
        <c:noMultiLvlLbl val="0"/>
      </c:catAx>
      <c:valAx>
        <c:axId val="15669057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9067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Ratios'!$H$63</c:f>
              <c:strCache>
                <c:ptCount val="1"/>
                <c:pt idx="0">
                  <c:v>Earnings per share (EPS)</c:v>
                </c:pt>
              </c:strCache>
            </c:strRef>
          </c:tx>
          <c:spPr>
            <a:solidFill>
              <a:schemeClr val="accent2"/>
            </a:solidFill>
            <a:ln>
              <a:noFill/>
            </a:ln>
            <a:effectLst/>
          </c:spPr>
          <c:invertIfNegative val="0"/>
          <c:cat>
            <c:numRef>
              <c:f>'List of Ratios'!$I$61:$K$61</c:f>
              <c:numCache>
                <c:formatCode>General</c:formatCode>
                <c:ptCount val="3"/>
                <c:pt idx="0">
                  <c:v>2022</c:v>
                </c:pt>
                <c:pt idx="1">
                  <c:v>2021</c:v>
                </c:pt>
                <c:pt idx="2">
                  <c:v>2020</c:v>
                </c:pt>
              </c:numCache>
            </c:numRef>
          </c:cat>
          <c:val>
            <c:numRef>
              <c:f>'List of Ratios'!$I$63:$K$63</c:f>
              <c:numCache>
                <c:formatCode>General</c:formatCode>
                <c:ptCount val="3"/>
                <c:pt idx="0">
                  <c:v>6.15</c:v>
                </c:pt>
                <c:pt idx="1">
                  <c:v>5.67</c:v>
                </c:pt>
                <c:pt idx="2">
                  <c:v>3.31</c:v>
                </c:pt>
              </c:numCache>
            </c:numRef>
          </c:val>
          <c:extLst>
            <c:ext xmlns:c16="http://schemas.microsoft.com/office/drawing/2014/chart" uri="{C3380CC4-5D6E-409C-BE32-E72D297353CC}">
              <c16:uniqueId val="{00000000-61BC-468B-8C72-C44E91FA91B5}"/>
            </c:ext>
          </c:extLst>
        </c:ser>
        <c:dLbls>
          <c:showLegendKey val="0"/>
          <c:showVal val="0"/>
          <c:showCatName val="0"/>
          <c:showSerName val="0"/>
          <c:showPercent val="0"/>
          <c:showBubbleSize val="0"/>
        </c:dLbls>
        <c:gapWidth val="219"/>
        <c:overlap val="-27"/>
        <c:axId val="1566890431"/>
        <c:axId val="1566875551"/>
        <c:extLst>
          <c:ext xmlns:c15="http://schemas.microsoft.com/office/drawing/2012/chart" uri="{02D57815-91ED-43cb-92C2-25804820EDAC}">
            <c15:filteredBarSeries>
              <c15:ser>
                <c:idx val="0"/>
                <c:order val="0"/>
                <c:tx>
                  <c:strRef>
                    <c:extLst>
                      <c:ext uri="{02D57815-91ED-43cb-92C2-25804820EDAC}">
                        <c15:formulaRef>
                          <c15:sqref>'List of Ratios'!$H$62</c15:sqref>
                        </c15:formulaRef>
                      </c:ext>
                    </c:extLst>
                    <c:strCache>
                      <c:ptCount val="1"/>
                    </c:strCache>
                  </c:strRef>
                </c:tx>
                <c:spPr>
                  <a:solidFill>
                    <a:schemeClr val="accent1"/>
                  </a:solidFill>
                  <a:ln>
                    <a:noFill/>
                  </a:ln>
                  <a:effectLst/>
                </c:spPr>
                <c:invertIfNegative val="0"/>
                <c:cat>
                  <c:numRef>
                    <c:extLst>
                      <c:ext uri="{02D57815-91ED-43cb-92C2-25804820EDAC}">
                        <c15:formulaRef>
                          <c15:sqref>'List of Ratios'!$I$61:$K$61</c15:sqref>
                        </c15:formulaRef>
                      </c:ext>
                    </c:extLst>
                    <c:numCache>
                      <c:formatCode>General</c:formatCode>
                      <c:ptCount val="3"/>
                      <c:pt idx="0">
                        <c:v>2022</c:v>
                      </c:pt>
                      <c:pt idx="1">
                        <c:v>2021</c:v>
                      </c:pt>
                      <c:pt idx="2">
                        <c:v>2020</c:v>
                      </c:pt>
                    </c:numCache>
                  </c:numRef>
                </c:cat>
                <c:val>
                  <c:numRef>
                    <c:extLst>
                      <c:ext uri="{02D57815-91ED-43cb-92C2-25804820EDAC}">
                        <c15:formulaRef>
                          <c15:sqref>'List of Ratios'!$I$62:$K$62</c15:sqref>
                        </c15:formulaRef>
                      </c:ext>
                    </c:extLst>
                    <c:numCache>
                      <c:formatCode>General</c:formatCode>
                      <c:ptCount val="3"/>
                    </c:numCache>
                  </c:numRef>
                </c:val>
                <c:extLst>
                  <c:ext xmlns:c16="http://schemas.microsoft.com/office/drawing/2014/chart" uri="{C3380CC4-5D6E-409C-BE32-E72D297353CC}">
                    <c16:uniqueId val="{00000001-61BC-468B-8C72-C44E91FA91B5}"/>
                  </c:ext>
                </c:extLst>
              </c15:ser>
            </c15:filteredBarSeries>
          </c:ext>
        </c:extLst>
      </c:barChart>
      <c:catAx>
        <c:axId val="1566890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75551"/>
        <c:crosses val="autoZero"/>
        <c:auto val="1"/>
        <c:lblAlgn val="ctr"/>
        <c:lblOffset val="100"/>
        <c:noMultiLvlLbl val="0"/>
      </c:catAx>
      <c:valAx>
        <c:axId val="156687555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90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Ratios'!$H$66</c:f>
              <c:strCache>
                <c:ptCount val="1"/>
                <c:pt idx="0">
                  <c:v>COGS (Cost of goods sold)</c:v>
                </c:pt>
              </c:strCache>
            </c:strRef>
          </c:tx>
          <c:spPr>
            <a:ln w="28575" cap="rnd">
              <a:solidFill>
                <a:schemeClr val="accent1"/>
              </a:solidFill>
              <a:round/>
            </a:ln>
            <a:effectLst/>
          </c:spPr>
          <c:marker>
            <c:symbol val="none"/>
          </c:marker>
          <c:val>
            <c:numRef>
              <c:f>'List of Ratios'!$I$66:$K$66</c:f>
              <c:numCache>
                <c:formatCode>0%</c:formatCode>
                <c:ptCount val="3"/>
                <c:pt idx="0">
                  <c:v>0.56690369438639909</c:v>
                </c:pt>
                <c:pt idx="1">
                  <c:v>0.58220640374832222</c:v>
                </c:pt>
                <c:pt idx="2">
                  <c:v>0.61766752272189129</c:v>
                </c:pt>
              </c:numCache>
            </c:numRef>
          </c:val>
          <c:smooth val="0"/>
          <c:extLst>
            <c:ext xmlns:c16="http://schemas.microsoft.com/office/drawing/2014/chart" uri="{C3380CC4-5D6E-409C-BE32-E72D297353CC}">
              <c16:uniqueId val="{00000000-A72E-4F9F-A99A-3AF54D6B4BAB}"/>
            </c:ext>
          </c:extLst>
        </c:ser>
        <c:dLbls>
          <c:showLegendKey val="0"/>
          <c:showVal val="0"/>
          <c:showCatName val="0"/>
          <c:showSerName val="0"/>
          <c:showPercent val="0"/>
          <c:showBubbleSize val="0"/>
        </c:dLbls>
        <c:smooth val="0"/>
        <c:axId val="1468635007"/>
        <c:axId val="1468617247"/>
      </c:lineChart>
      <c:catAx>
        <c:axId val="1468635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17247"/>
        <c:crosses val="autoZero"/>
        <c:auto val="1"/>
        <c:lblAlgn val="ctr"/>
        <c:lblOffset val="100"/>
        <c:noMultiLvlLbl val="0"/>
      </c:catAx>
      <c:valAx>
        <c:axId val="146861724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5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Ratios'!$H$69</c:f>
              <c:strCache>
                <c:ptCount val="1"/>
                <c:pt idx="0">
                  <c:v>Capex as a percentage of sales</c:v>
                </c:pt>
              </c:strCache>
            </c:strRef>
          </c:tx>
          <c:spPr>
            <a:solidFill>
              <a:schemeClr val="accent1"/>
            </a:solidFill>
            <a:ln>
              <a:noFill/>
            </a:ln>
            <a:effectLst/>
          </c:spPr>
          <c:invertIfNegative val="0"/>
          <c:cat>
            <c:numRef>
              <c:f>'List of Ratios'!$I$68:$K$68</c:f>
              <c:numCache>
                <c:formatCode>General</c:formatCode>
                <c:ptCount val="3"/>
                <c:pt idx="0">
                  <c:v>2022</c:v>
                </c:pt>
                <c:pt idx="1">
                  <c:v>2021</c:v>
                </c:pt>
                <c:pt idx="2">
                  <c:v>2020</c:v>
                </c:pt>
              </c:numCache>
            </c:numRef>
          </c:cat>
          <c:val>
            <c:numRef>
              <c:f>'List of Ratios'!$I$69:$K$69</c:f>
              <c:numCache>
                <c:formatCode>0%</c:formatCode>
                <c:ptCount val="3"/>
                <c:pt idx="0">
                  <c:v>0.10680702359457102</c:v>
                </c:pt>
                <c:pt idx="1">
                  <c:v>0.10781346957631821</c:v>
                </c:pt>
                <c:pt idx="2">
                  <c:v>0.13393075059650655</c:v>
                </c:pt>
              </c:numCache>
            </c:numRef>
          </c:val>
          <c:extLst>
            <c:ext xmlns:c16="http://schemas.microsoft.com/office/drawing/2014/chart" uri="{C3380CC4-5D6E-409C-BE32-E72D297353CC}">
              <c16:uniqueId val="{00000000-2552-403D-8AB1-C252CECFC7ED}"/>
            </c:ext>
          </c:extLst>
        </c:ser>
        <c:ser>
          <c:idx val="1"/>
          <c:order val="1"/>
          <c:tx>
            <c:strRef>
              <c:f>'List of Ratios'!$H$70</c:f>
              <c:strCache>
                <c:ptCount val="1"/>
                <c:pt idx="0">
                  <c:v>Capex as a percentage of fixed assets</c:v>
                </c:pt>
              </c:strCache>
            </c:strRef>
          </c:tx>
          <c:spPr>
            <a:solidFill>
              <a:schemeClr val="accent2"/>
            </a:solidFill>
            <a:ln>
              <a:noFill/>
            </a:ln>
            <a:effectLst/>
          </c:spPr>
          <c:invertIfNegative val="0"/>
          <c:cat>
            <c:numRef>
              <c:f>'List of Ratios'!$I$68:$K$68</c:f>
              <c:numCache>
                <c:formatCode>General</c:formatCode>
                <c:ptCount val="3"/>
                <c:pt idx="0">
                  <c:v>2022</c:v>
                </c:pt>
                <c:pt idx="1">
                  <c:v>2021</c:v>
                </c:pt>
                <c:pt idx="2">
                  <c:v>2020</c:v>
                </c:pt>
              </c:numCache>
            </c:numRef>
          </c:cat>
          <c:val>
            <c:numRef>
              <c:f>'List of Ratios'!$I$70:$K$70</c:f>
              <c:numCache>
                <c:formatCode>0%</c:formatCode>
                <c:ptCount val="3"/>
                <c:pt idx="0">
                  <c:v>0.19377501725327811</c:v>
                </c:pt>
                <c:pt idx="1">
                  <c:v>0.18245237456399249</c:v>
                </c:pt>
                <c:pt idx="2">
                  <c:v>0.20405716664354101</c:v>
                </c:pt>
              </c:numCache>
            </c:numRef>
          </c:val>
          <c:extLst>
            <c:ext xmlns:c16="http://schemas.microsoft.com/office/drawing/2014/chart" uri="{C3380CC4-5D6E-409C-BE32-E72D297353CC}">
              <c16:uniqueId val="{00000001-2552-403D-8AB1-C252CECFC7ED}"/>
            </c:ext>
          </c:extLst>
        </c:ser>
        <c:dLbls>
          <c:showLegendKey val="0"/>
          <c:showVal val="0"/>
          <c:showCatName val="0"/>
          <c:showSerName val="0"/>
          <c:showPercent val="0"/>
          <c:showBubbleSize val="0"/>
        </c:dLbls>
        <c:gapWidth val="219"/>
        <c:overlap val="-27"/>
        <c:axId val="1566888511"/>
        <c:axId val="1566895231"/>
      </c:barChart>
      <c:catAx>
        <c:axId val="1566888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95231"/>
        <c:crosses val="autoZero"/>
        <c:auto val="1"/>
        <c:lblAlgn val="ctr"/>
        <c:lblOffset val="100"/>
        <c:noMultiLvlLbl val="0"/>
      </c:catAx>
      <c:valAx>
        <c:axId val="156689523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6888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Working Capital</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'List of Ratios'!$I$72</c:f>
              <c:strCache>
                <c:ptCount val="1"/>
                <c:pt idx="0">
                  <c:v>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Ratios'!$H$73:$H$76</c:f>
              <c:strCache>
                <c:ptCount val="4"/>
                <c:pt idx="0">
                  <c:v>Inventory Days</c:v>
                </c:pt>
                <c:pt idx="1">
                  <c:v>Payable Days</c:v>
                </c:pt>
                <c:pt idx="2">
                  <c:v>Receivable Days</c:v>
                </c:pt>
                <c:pt idx="3">
                  <c:v>Net trading cycle</c:v>
                </c:pt>
              </c:strCache>
            </c:strRef>
          </c:cat>
          <c:val>
            <c:numRef>
              <c:f>'List of Ratios'!$I$73:$I$76</c:f>
              <c:numCache>
                <c:formatCode>0.00</c:formatCode>
                <c:ptCount val="4"/>
                <c:pt idx="0">
                  <c:v>8.0756980666171607</c:v>
                </c:pt>
                <c:pt idx="1">
                  <c:v>104.68527730310541</c:v>
                </c:pt>
                <c:pt idx="2">
                  <c:v>26.087825363656655</c:v>
                </c:pt>
                <c:pt idx="3">
                  <c:v>-70.521753872831596</c:v>
                </c:pt>
              </c:numCache>
            </c:numRef>
          </c:val>
          <c:extLst>
            <c:ext xmlns:c16="http://schemas.microsoft.com/office/drawing/2014/chart" uri="{C3380CC4-5D6E-409C-BE32-E72D297353CC}">
              <c16:uniqueId val="{00000000-3727-42F6-B6F1-F0CAB94FD84A}"/>
            </c:ext>
          </c:extLst>
        </c:ser>
        <c:ser>
          <c:idx val="1"/>
          <c:order val="1"/>
          <c:tx>
            <c:strRef>
              <c:f>'List of Ratios'!$J$72</c:f>
              <c:strCache>
                <c:ptCount val="1"/>
                <c:pt idx="0">
                  <c:v>2021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Ratios'!$H$73:$H$76</c:f>
              <c:strCache>
                <c:ptCount val="4"/>
                <c:pt idx="0">
                  <c:v>Inventory Days</c:v>
                </c:pt>
                <c:pt idx="1">
                  <c:v>Payable Days</c:v>
                </c:pt>
                <c:pt idx="2">
                  <c:v>Receivable Days</c:v>
                </c:pt>
                <c:pt idx="3">
                  <c:v>Net trading cycle</c:v>
                </c:pt>
              </c:strCache>
            </c:strRef>
          </c:cat>
          <c:val>
            <c:numRef>
              <c:f>'List of Ratios'!$J$73:$J$76</c:f>
              <c:numCache>
                <c:formatCode>0.00</c:formatCode>
                <c:ptCount val="4"/>
                <c:pt idx="0">
                  <c:v>11.27659274770989</c:v>
                </c:pt>
                <c:pt idx="1">
                  <c:v>93.85107122231561</c:v>
                </c:pt>
                <c:pt idx="2">
                  <c:v>26.219311841713203</c:v>
                </c:pt>
                <c:pt idx="3">
                  <c:v>-56.355166632892519</c:v>
                </c:pt>
              </c:numCache>
            </c:numRef>
          </c:val>
          <c:extLst>
            <c:ext xmlns:c16="http://schemas.microsoft.com/office/drawing/2014/chart" uri="{C3380CC4-5D6E-409C-BE32-E72D297353CC}">
              <c16:uniqueId val="{00000001-3727-42F6-B6F1-F0CAB94FD84A}"/>
            </c:ext>
          </c:extLst>
        </c:ser>
        <c:ser>
          <c:idx val="2"/>
          <c:order val="2"/>
          <c:tx>
            <c:strRef>
              <c:f>'List of Ratios'!$K$72</c:f>
              <c:strCache>
                <c:ptCount val="1"/>
                <c:pt idx="0">
                  <c:v>2020</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'List of Ratios'!$H$73:$H$76</c:f>
              <c:strCache>
                <c:ptCount val="4"/>
                <c:pt idx="0">
                  <c:v>Inventory Days</c:v>
                </c:pt>
                <c:pt idx="1">
                  <c:v>Payable Days</c:v>
                </c:pt>
                <c:pt idx="2">
                  <c:v>Receivable Days</c:v>
                </c:pt>
                <c:pt idx="3">
                  <c:v>Net trading cycle</c:v>
                </c:pt>
              </c:strCache>
            </c:strRef>
          </c:cat>
          <c:val>
            <c:numRef>
              <c:f>'List of Ratios'!$K$73:$K$76</c:f>
              <c:numCache>
                <c:formatCode>0.00</c:formatCode>
                <c:ptCount val="4"/>
                <c:pt idx="0">
                  <c:v>8.7418833562358813</c:v>
                </c:pt>
                <c:pt idx="1">
                  <c:v>91.048189715674184</c:v>
                </c:pt>
                <c:pt idx="2">
                  <c:v>21.433437152796753</c:v>
                </c:pt>
                <c:pt idx="3">
                  <c:v>-60.872869206641553</c:v>
                </c:pt>
              </c:numCache>
            </c:numRef>
          </c:val>
          <c:extLst>
            <c:ext xmlns:c16="http://schemas.microsoft.com/office/drawing/2014/chart" uri="{C3380CC4-5D6E-409C-BE32-E72D297353CC}">
              <c16:uniqueId val="{00000002-3727-42F6-B6F1-F0CAB94FD84A}"/>
            </c:ext>
          </c:extLst>
        </c:ser>
        <c:dLbls>
          <c:showLegendKey val="0"/>
          <c:showVal val="0"/>
          <c:showCatName val="0"/>
          <c:showSerName val="0"/>
          <c:showPercent val="0"/>
          <c:showBubbleSize val="0"/>
        </c:dLbls>
        <c:gapWidth val="100"/>
        <c:overlap val="-24"/>
        <c:axId val="1468637887"/>
        <c:axId val="1468609567"/>
      </c:barChart>
      <c:catAx>
        <c:axId val="146863788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09567"/>
        <c:crosses val="autoZero"/>
        <c:auto val="1"/>
        <c:lblAlgn val="ctr"/>
        <c:lblOffset val="100"/>
        <c:noMultiLvlLbl val="0"/>
      </c:catAx>
      <c:valAx>
        <c:axId val="14686095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7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'List of Ratios'!$H$80</c:f>
              <c:strCache>
                <c:ptCount val="1"/>
                <c:pt idx="0">
                  <c:v>Total assets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'List of Ratios'!$I$78:$K$78</c:f>
              <c:numCache>
                <c:formatCode>General</c:formatCode>
                <c:ptCount val="3"/>
                <c:pt idx="0">
                  <c:v>2022</c:v>
                </c:pt>
                <c:pt idx="1">
                  <c:v>2021</c:v>
                </c:pt>
                <c:pt idx="2">
                  <c:v>2020</c:v>
                </c:pt>
              </c:numCache>
            </c:numRef>
          </c:cat>
          <c:val>
            <c:numRef>
              <c:f>'List of Ratios'!$I$80:$K$80</c:f>
              <c:numCache>
                <c:formatCode>_(* #,##0_);_(* \(#,##0\);_(* "-"??_);_(@_)</c:formatCode>
                <c:ptCount val="3"/>
                <c:pt idx="0">
                  <c:v>352755</c:v>
                </c:pt>
                <c:pt idx="1">
                  <c:v>351002</c:v>
                </c:pt>
                <c:pt idx="2">
                  <c:v>323888</c:v>
                </c:pt>
              </c:numCache>
            </c:numRef>
          </c:val>
          <c:extLst>
            <c:ext xmlns:c16="http://schemas.microsoft.com/office/drawing/2014/chart" uri="{C3380CC4-5D6E-409C-BE32-E72D297353CC}">
              <c16:uniqueId val="{00000000-6B24-4760-8E31-A745F36CAC2B}"/>
            </c:ext>
          </c:extLst>
        </c:ser>
        <c:dLbls>
          <c:showLegendKey val="0"/>
          <c:showVal val="0"/>
          <c:showCatName val="0"/>
          <c:showSerName val="0"/>
          <c:showPercent val="0"/>
          <c:showBubbleSize val="0"/>
        </c:dLbls>
        <c:gapWidth val="100"/>
        <c:overlap val="-24"/>
        <c:axId val="1468629247"/>
        <c:axId val="1468630687"/>
        <c:extLst>
          <c:ext xmlns:c15="http://schemas.microsoft.com/office/drawing/2012/chart" uri="{02D57815-91ED-43cb-92C2-25804820EDAC}">
            <c15:filteredBarSeries>
              <c15:ser>
                <c:idx val="0"/>
                <c:order val="0"/>
                <c:tx>
                  <c:strRef>
                    <c:extLst>
                      <c:ext uri="{02D57815-91ED-43cb-92C2-25804820EDAC}">
                        <c15:formulaRef>
                          <c15:sqref>'List of Ratios'!$H$79</c15:sqref>
                        </c15:formulaRef>
                      </c:ext>
                    </c:extLst>
                    <c:strCache>
                      <c:ptCount val="1"/>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extLst>
                      <c:ext uri="{02D57815-91ED-43cb-92C2-25804820EDAC}">
                        <c15:formulaRef>
                          <c15:sqref>'List of Ratios'!$I$78:$K$78</c15:sqref>
                        </c15:formulaRef>
                      </c:ext>
                    </c:extLst>
                    <c:numCache>
                      <c:formatCode>General</c:formatCode>
                      <c:ptCount val="3"/>
                      <c:pt idx="0">
                        <c:v>2022</c:v>
                      </c:pt>
                      <c:pt idx="1">
                        <c:v>2021</c:v>
                      </c:pt>
                      <c:pt idx="2">
                        <c:v>2020</c:v>
                      </c:pt>
                    </c:numCache>
                  </c:numRef>
                </c:cat>
                <c:val>
                  <c:numRef>
                    <c:extLst>
                      <c:ext uri="{02D57815-91ED-43cb-92C2-25804820EDAC}">
                        <c15:formulaRef>
                          <c15:sqref>'List of Ratios'!$I$79:$K$79</c15:sqref>
                        </c15:formulaRef>
                      </c:ext>
                    </c:extLst>
                    <c:numCache>
                      <c:formatCode>General</c:formatCode>
                      <c:ptCount val="3"/>
                    </c:numCache>
                  </c:numRef>
                </c:val>
                <c:extLst>
                  <c:ext xmlns:c16="http://schemas.microsoft.com/office/drawing/2014/chart" uri="{C3380CC4-5D6E-409C-BE32-E72D297353CC}">
                    <c16:uniqueId val="{00000001-6B24-4760-8E31-A745F36CAC2B}"/>
                  </c:ext>
                </c:extLst>
              </c15:ser>
            </c15:filteredBarSeries>
          </c:ext>
        </c:extLst>
      </c:barChart>
      <c:catAx>
        <c:axId val="146862924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30687"/>
        <c:crosses val="autoZero"/>
        <c:auto val="1"/>
        <c:lblAlgn val="ctr"/>
        <c:lblOffset val="100"/>
        <c:noMultiLvlLbl val="0"/>
      </c:catAx>
      <c:valAx>
        <c:axId val="1468630687"/>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6292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Solvency Analysis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'List of Ratios'!$H$96</c:f>
              <c:strCache>
                <c:ptCount val="1"/>
                <c:pt idx="0">
                  <c:v>Debt to equity (D/E)</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'List of Ratios'!$I$95:$K$95</c:f>
              <c:numCache>
                <c:formatCode>General</c:formatCode>
                <c:ptCount val="3"/>
                <c:pt idx="0">
                  <c:v>2022</c:v>
                </c:pt>
                <c:pt idx="1">
                  <c:v>2021</c:v>
                </c:pt>
                <c:pt idx="2">
                  <c:v>2020</c:v>
                </c:pt>
              </c:numCache>
            </c:numRef>
          </c:cat>
          <c:val>
            <c:numRef>
              <c:f>'List of Ratios'!$I$96:$K$96</c:f>
              <c:numCache>
                <c:formatCode>0.00</c:formatCode>
                <c:ptCount val="3"/>
                <c:pt idx="0">
                  <c:v>5.9615369434796337</c:v>
                </c:pt>
                <c:pt idx="1">
                  <c:v>4.5635124425423994</c:v>
                </c:pt>
                <c:pt idx="2">
                  <c:v>3.9570394404566951</c:v>
                </c:pt>
              </c:numCache>
            </c:numRef>
          </c:val>
          <c:smooth val="0"/>
          <c:extLst>
            <c:ext xmlns:c16="http://schemas.microsoft.com/office/drawing/2014/chart" uri="{C3380CC4-5D6E-409C-BE32-E72D297353CC}">
              <c16:uniqueId val="{00000000-29F7-4A92-A8DC-18995BFD5819}"/>
            </c:ext>
          </c:extLst>
        </c:ser>
        <c:ser>
          <c:idx val="1"/>
          <c:order val="1"/>
          <c:tx>
            <c:strRef>
              <c:f>'List of Ratios'!$H$97</c:f>
              <c:strCache>
                <c:ptCount val="1"/>
                <c:pt idx="0">
                  <c:v>Times interest earned</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'List of Ratios'!$I$95:$K$95</c:f>
              <c:numCache>
                <c:formatCode>General</c:formatCode>
                <c:ptCount val="3"/>
                <c:pt idx="0">
                  <c:v>2022</c:v>
                </c:pt>
                <c:pt idx="1">
                  <c:v>2021</c:v>
                </c:pt>
                <c:pt idx="2">
                  <c:v>2020</c:v>
                </c:pt>
              </c:numCache>
            </c:numRef>
          </c:cat>
          <c:val>
            <c:numRef>
              <c:f>'List of Ratios'!$I$97:$K$97</c:f>
              <c:numCache>
                <c:formatCode>0.00</c:formatCode>
                <c:ptCount val="3"/>
                <c:pt idx="0">
                  <c:v>355.59580838323353</c:v>
                </c:pt>
                <c:pt idx="1">
                  <c:v>424.2829457364341</c:v>
                </c:pt>
                <c:pt idx="2">
                  <c:v>84.550435865504355</c:v>
                </c:pt>
              </c:numCache>
            </c:numRef>
          </c:val>
          <c:smooth val="0"/>
          <c:extLst>
            <c:ext xmlns:c16="http://schemas.microsoft.com/office/drawing/2014/chart" uri="{C3380CC4-5D6E-409C-BE32-E72D297353CC}">
              <c16:uniqueId val="{00000001-29F7-4A92-A8DC-18995BFD5819}"/>
            </c:ext>
          </c:extLst>
        </c:ser>
        <c:dLbls>
          <c:showLegendKey val="0"/>
          <c:showVal val="0"/>
          <c:showCatName val="0"/>
          <c:showSerName val="0"/>
          <c:showPercent val="0"/>
          <c:showBubbleSize val="0"/>
        </c:dLbls>
        <c:smooth val="0"/>
        <c:axId val="1416382927"/>
        <c:axId val="1416381967"/>
      </c:lineChart>
      <c:catAx>
        <c:axId val="14163829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381967"/>
        <c:crosses val="autoZero"/>
        <c:auto val="1"/>
        <c:lblAlgn val="ctr"/>
        <c:lblOffset val="100"/>
        <c:noMultiLvlLbl val="0"/>
      </c:catAx>
      <c:valAx>
        <c:axId val="1416381967"/>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38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3ADC5-B8B4-4540-B533-39145299AC3A}">
  <ds:schemaRefs>
    <ds:schemaRef ds:uri="http://schemas.openxmlformats.org/officeDocument/2006/bibliography"/>
  </ds:schemaRefs>
</ds:datastoreItem>
</file>

<file path=docMetadata/LabelInfo.xml><?xml version="1.0" encoding="utf-8"?>
<clbl:labelList xmlns:clbl="http://schemas.microsoft.com/office/2020/mipLabelMetadata">
  <clbl:label id="{e3608b1d-a8c6-4d15-8d70-1c8023f30311}" enabled="1" method="Privileged" siteId="{53b7cac7-14be-46d4-be43-f2ad9244d90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G</dc:creator>
  <cp:keywords/>
  <dc:description/>
  <cp:lastModifiedBy>Waqas Albert</cp:lastModifiedBy>
  <cp:revision>2</cp:revision>
  <dcterms:created xsi:type="dcterms:W3CDTF">2024-10-21T12:32:00Z</dcterms:created>
  <dcterms:modified xsi:type="dcterms:W3CDTF">2024-10-21T12:32:00Z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6c1d57f4-5dc9-42c5-9995-8ba61a6d5b06</vt:lpwstr>
  </property>
</Properties>
</file>