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ABFBB" w14:textId="02588445" w:rsidR="00BA3E0E" w:rsidRDefault="00E960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6BF4" wp14:editId="18D70CC8">
                <wp:simplePos x="0" y="0"/>
                <wp:positionH relativeFrom="margin">
                  <wp:align>right</wp:align>
                </wp:positionH>
                <wp:positionV relativeFrom="paragraph">
                  <wp:posOffset>6740525</wp:posOffset>
                </wp:positionV>
                <wp:extent cx="3924300" cy="237744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1691" w14:textId="07CC9AED" w:rsidR="00995EE6" w:rsidRDefault="00BA3E0E" w:rsidP="00BA3E0E">
                            <w:pPr>
                              <w:rPr>
                                <w:highlight w:val="green"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 w:rsidR="00E96052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995EE6">
                              <w:rPr>
                                <w:highlight w:val="green"/>
                              </w:rPr>
                              <w:t xml:space="preserve"> </w:t>
                            </w:r>
                          </w:p>
                          <w:p w14:paraId="0F55EEE3" w14:textId="3C77BEB8" w:rsidR="00E96052" w:rsidRPr="00995EE6" w:rsidRDefault="00E96052" w:rsidP="00BA3E0E">
                            <w:pPr>
                              <w:rPr>
                                <w:highlight w:val="green"/>
                              </w:rPr>
                            </w:pPr>
                            <w:r w:rsidRPr="00E96052">
                              <w:t xml:space="preserve">Driven by strong revenue growth and EBIT margin expansion of </w:t>
                            </w:r>
                            <w:r w:rsidR="007A6739">
                              <w:t>110</w:t>
                            </w:r>
                            <w:r w:rsidRPr="00E96052">
                              <w:t xml:space="preserve"> bps (from </w:t>
                            </w:r>
                            <w:r>
                              <w:t>14.7</w:t>
                            </w:r>
                            <w:r w:rsidRPr="00E96052">
                              <w:t xml:space="preserve">% in FY22 to </w:t>
                            </w:r>
                            <w:r>
                              <w:t>15.8</w:t>
                            </w:r>
                            <w:r w:rsidRPr="00E96052">
                              <w:t xml:space="preserve">% in FY23 &amp; </w:t>
                            </w:r>
                            <w:r>
                              <w:t>16.8%</w:t>
                            </w:r>
                            <w:r w:rsidRPr="00E96052">
                              <w:t xml:space="preserve"> in FY 24), the EPS is expected to grow by </w:t>
                            </w:r>
                            <w:r>
                              <w:t>9.3</w:t>
                            </w:r>
                            <w:r w:rsidRPr="00E96052">
                              <w:t xml:space="preserve">% in FY23 to USD </w:t>
                            </w:r>
                            <w:r>
                              <w:t>$4.10</w:t>
                            </w:r>
                          </w:p>
                          <w:p w14:paraId="729C1CF0" w14:textId="77777777" w:rsidR="00BA3E0E" w:rsidRDefault="00BA3E0E" w:rsidP="00BA3E0E">
                            <w:r>
                              <w:t>FCFF will see consistent growth of between 8-12% each year.</w:t>
                            </w:r>
                          </w:p>
                          <w:p w14:paraId="6A0F0651" w14:textId="77777777" w:rsidR="00BA3E0E" w:rsidRDefault="00BA3E0E" w:rsidP="00BA3E0E">
                            <w:r>
                              <w:t xml:space="preserve">Capex growth should be stable, keeping a very low 1.5% of revenue. </w:t>
                            </w:r>
                          </w:p>
                          <w:p w14:paraId="5D723740" w14:textId="77777777" w:rsidR="00BA3E0E" w:rsidRPr="00B92FD6" w:rsidRDefault="00BA3E0E" w:rsidP="00BA3E0E">
                            <w:r>
                              <w:t>Nike’s focus on production improvements and direct-to-consumer digital efforts are set to reap the benefits of the current positive trends.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76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7.8pt;margin-top:530.75pt;width:309pt;height:187.2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">
                <v:textbox>
                  <w:txbxContent>
                    <w:p w14:paraId="24B91691" w14:textId="07CC9AED" w:rsidR="00995EE6" w:rsidRDefault="00BA3E0E" w:rsidP="00BA3E0E">
                      <w:pPr>
                        <w:rPr>
                          <w:highlight w:val="green"/>
                        </w:rPr>
                      </w:pPr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 w:rsidR="00E96052">
                        <w:rPr>
                          <w:b/>
                          <w:bCs/>
                        </w:rPr>
                        <w:t>:</w:t>
                      </w:r>
                      <w:r w:rsidR="00995EE6">
                        <w:rPr>
                          <w:highlight w:val="green"/>
                        </w:rPr>
                        <w:t xml:space="preserve"> </w:t>
                      </w:r>
                    </w:p>
                    <w:p w14:paraId="0F55EEE3" w14:textId="3C77BEB8" w:rsidR="00E96052" w:rsidRPr="00995EE6" w:rsidRDefault="00E96052" w:rsidP="00BA3E0E">
                      <w:pPr>
                        <w:rPr>
                          <w:highlight w:val="green"/>
                        </w:rPr>
                      </w:pPr>
                      <w:r w:rsidRPr="00E96052">
                        <w:t xml:space="preserve">Driven by strong revenue growth and EBIT margin expansion of </w:t>
                      </w:r>
                      <w:r w:rsidR="007A6739">
                        <w:t>110</w:t>
                      </w:r>
                      <w:r w:rsidRPr="00E96052">
                        <w:t xml:space="preserve"> bps (from </w:t>
                      </w:r>
                      <w:r>
                        <w:t>14.7</w:t>
                      </w:r>
                      <w:r w:rsidRPr="00E96052">
                        <w:t xml:space="preserve">% in FY22 to </w:t>
                      </w:r>
                      <w:r>
                        <w:t>15.8</w:t>
                      </w:r>
                      <w:r w:rsidRPr="00E96052">
                        <w:t xml:space="preserve">% in FY23 &amp; </w:t>
                      </w:r>
                      <w:r>
                        <w:t>16.8%</w:t>
                      </w:r>
                      <w:r w:rsidRPr="00E96052">
                        <w:t xml:space="preserve"> in FY 24), the EPS is expected to grow by </w:t>
                      </w:r>
                      <w:r>
                        <w:t>9.3</w:t>
                      </w:r>
                      <w:r w:rsidRPr="00E96052">
                        <w:t xml:space="preserve">% in FY23 to USD </w:t>
                      </w:r>
                      <w:r>
                        <w:t>$4.10</w:t>
                      </w:r>
                    </w:p>
                    <w:p w14:paraId="729C1CF0" w14:textId="77777777" w:rsidR="00BA3E0E" w:rsidRDefault="00BA3E0E" w:rsidP="00BA3E0E">
                      <w:r>
                        <w:t>FCFF will see consistent growth of between 8-12% each year.</w:t>
                      </w:r>
                    </w:p>
                    <w:p w14:paraId="6A0F0651" w14:textId="77777777" w:rsidR="00BA3E0E" w:rsidRDefault="00BA3E0E" w:rsidP="00BA3E0E">
                      <w:r>
                        <w:t xml:space="preserve">Capex growth should be stable, keeping a very low 1.5% of revenue. </w:t>
                      </w:r>
                    </w:p>
                    <w:p w14:paraId="5D723740" w14:textId="77777777" w:rsidR="00BA3E0E" w:rsidRPr="00B92FD6" w:rsidRDefault="00BA3E0E" w:rsidP="00BA3E0E">
                      <w:r>
                        <w:t>Nike’s focus on production improvements and direct-to-consumer digital efforts are set to reap the benefits of the current positive trends.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B2B14" wp14:editId="6A1A561C">
                <wp:simplePos x="0" y="0"/>
                <wp:positionH relativeFrom="margin">
                  <wp:posOffset>2933700</wp:posOffset>
                </wp:positionH>
                <wp:positionV relativeFrom="paragraph">
                  <wp:posOffset>3048000</wp:posOffset>
                </wp:positionV>
                <wp:extent cx="3909060" cy="2080260"/>
                <wp:effectExtent l="0" t="0" r="15240" b="152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4159" w14:textId="0998C4B5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We expect revenue growth to be stable at around 8% per annum</w:t>
                            </w:r>
                            <w:r w:rsidR="00C84109">
                              <w:t xml:space="preserve"> from 2023 onwards</w:t>
                            </w:r>
                            <w:r>
                              <w:t>, with the greatest segment growth occurring in EMEA and APLA regions. Greater China has great potential for growth but is still unstable due to the impact of COVID-19.</w:t>
                            </w:r>
                          </w:p>
                          <w:p w14:paraId="7746B843" w14:textId="465D1FCD" w:rsidR="00BA3E0E" w:rsidRPr="00B92FD6" w:rsidRDefault="00BA3E0E" w:rsidP="00BA3E0E">
                            <w:r>
                              <w:t xml:space="preserve">Footwear will remain the strongest revenue driver across all regions, but apparel revenue in EMEA is expected to grow at a high rate of almost 15% </w:t>
                            </w:r>
                            <w:r w:rsidR="00C84109">
                              <w:t>in 2023</w:t>
                            </w:r>
                            <w:r w:rsidR="00995EE6">
                              <w:t xml:space="preserve"> </w:t>
                            </w:r>
                            <w:r w:rsidR="00E96052">
                              <w:t xml:space="preserve">and going forward </w:t>
                            </w:r>
                            <w:r>
                              <w:t>so that revenues almost rival</w:t>
                            </w:r>
                            <w:r w:rsidR="00C84109">
                              <w:t>s</w:t>
                            </w:r>
                            <w:r>
                              <w:t xml:space="preserve"> that of footwear in the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2B14" id="Text Box 4" o:spid="_x0000_s1027" type="#_x0000_t202" style="position:absolute;margin-left:231pt;margin-top:240pt;width:307.8pt;height:16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">
                <v:textbox>
                  <w:txbxContent>
                    <w:p w14:paraId="373B4159" w14:textId="0998C4B5" w:rsidR="00BA3E0E" w:rsidRDefault="00BA3E0E" w:rsidP="00BA3E0E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We expect revenue growth to be stable at around 8% per annum</w:t>
                      </w:r>
                      <w:r w:rsidR="00C84109">
                        <w:t xml:space="preserve"> from 2023 onwards</w:t>
                      </w:r>
                      <w:r>
                        <w:t>, with the greatest segment growth occurring in EMEA and APLA regions. Greater China has great potential for growth but is still unstable due to the impact of COVID-19.</w:t>
                      </w:r>
                    </w:p>
                    <w:p w14:paraId="7746B843" w14:textId="465D1FCD" w:rsidR="00BA3E0E" w:rsidRPr="00B92FD6" w:rsidRDefault="00BA3E0E" w:rsidP="00BA3E0E">
                      <w:r>
                        <w:t xml:space="preserve">Footwear will remain the strongest revenue driver across all regions, but apparel revenue in EMEA is expected to grow at a high rate of almost 15% </w:t>
                      </w:r>
                      <w:r w:rsidR="00C84109">
                        <w:t>in 2023</w:t>
                      </w:r>
                      <w:r w:rsidR="00995EE6">
                        <w:t xml:space="preserve"> </w:t>
                      </w:r>
                      <w:r w:rsidR="00E96052">
                        <w:t xml:space="preserve">and going forward </w:t>
                      </w:r>
                      <w:r>
                        <w:t>so that revenues almost rival</w:t>
                      </w:r>
                      <w:r w:rsidR="00C84109">
                        <w:t>s</w:t>
                      </w:r>
                      <w:r>
                        <w:t xml:space="preserve"> that of footwear in the region.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1327" wp14:editId="4565EF93">
                <wp:simplePos x="0" y="0"/>
                <wp:positionH relativeFrom="margin">
                  <wp:align>right</wp:align>
                </wp:positionH>
                <wp:positionV relativeFrom="paragraph">
                  <wp:posOffset>5143500</wp:posOffset>
                </wp:positionV>
                <wp:extent cx="3924300" cy="18821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B901" w14:textId="77777777" w:rsidR="00BA3E0E" w:rsidRPr="00B92FD6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327" id="Text Box 2" o:spid="_x0000_s1028" type="#_x0000_t202" style="position:absolute;margin-left:257.8pt;margin-top:405pt;width:309pt;height:148.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DoFQIAACcEAAAOAAAAZHJzL2Uyb0RvYy54bWysk9tuGyEQhu8r9R0Q9/UeYrf2yusodeqq&#10;UnqQ0j4AC6wXlWUoYO+mT9+BdRwrbW+qcoEYBn5mvhnW12OvyVE6r8DUtJjllEjDQSizr+m3r7tX&#10;S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">
                <v:textbox>
                  <w:txbxContent>
                    <w:p w14:paraId="02FBB901" w14:textId="77777777" w:rsidR="00BA3E0E" w:rsidRPr="00B92FD6" w:rsidRDefault="00BA3E0E" w:rsidP="00BA3E0E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32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B567C" wp14:editId="5D28A6AC">
                <wp:simplePos x="0" y="0"/>
                <wp:positionH relativeFrom="margin">
                  <wp:align>right</wp:align>
                </wp:positionH>
                <wp:positionV relativeFrom="paragraph">
                  <wp:posOffset>1386840</wp:posOffset>
                </wp:positionV>
                <wp:extent cx="3909060" cy="1691640"/>
                <wp:effectExtent l="0" t="0" r="1524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7C6" w14:textId="77777777" w:rsid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43F35460" w14:textId="428D907F" w:rsidR="00BA3E0E" w:rsidRDefault="00BA3E0E" w:rsidP="00BA3E0E">
                            <w:r w:rsidRPr="006C301A">
                              <w:t>Based on our DCF analysis, which values the stock at $</w:t>
                            </w:r>
                            <w:r w:rsidR="00C84109">
                              <w:t>91.72</w:t>
                            </w:r>
                            <w:r w:rsidRPr="006C301A">
                              <w:t>, it is currently</w:t>
                            </w:r>
                            <w:r w:rsidR="00C84109">
                              <w:t xml:space="preserve"> ov</w:t>
                            </w:r>
                            <w:r w:rsidRPr="006C301A">
                              <w:t>ervalued at $107.18</w:t>
                            </w:r>
                            <w:r w:rsidR="00F032B4">
                              <w:t xml:space="preserve">. </w:t>
                            </w:r>
                          </w:p>
                          <w:p w14:paraId="13935AEB" w14:textId="208DDE82" w:rsidR="00995EE6" w:rsidRPr="00017B2B" w:rsidRDefault="00F032B4" w:rsidP="00BA3E0E">
                            <w:r>
                              <w:t xml:space="preserve">Nike has a weak 14% downside to its current price, </w:t>
                            </w:r>
                            <w:proofErr w:type="gramStart"/>
                            <w:r>
                              <w:t>as a result of</w:t>
                            </w:r>
                            <w:proofErr w:type="gramEnd"/>
                            <w:r>
                              <w:t xml:space="preserve"> inconsistent growth through the COVID period. However, strong revenue and margin growth from its footwear segment suggest high potential for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567C" id="_x0000_s1029" type="#_x0000_t202" style="position:absolute;margin-left:256.6pt;margin-top:109.2pt;width:307.8pt;height:133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">
                <v:textbox>
                  <w:txbxContent>
                    <w:p w14:paraId="0627E7C6" w14:textId="77777777" w:rsid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43F35460" w14:textId="428D907F" w:rsidR="00BA3E0E" w:rsidRDefault="00BA3E0E" w:rsidP="00BA3E0E">
                      <w:r w:rsidRPr="006C301A">
                        <w:t>Based on our DCF analysis, which values the stock at $</w:t>
                      </w:r>
                      <w:r w:rsidR="00C84109">
                        <w:t>91.72</w:t>
                      </w:r>
                      <w:r w:rsidRPr="006C301A">
                        <w:t>, it is currently</w:t>
                      </w:r>
                      <w:r w:rsidR="00C84109">
                        <w:t xml:space="preserve"> ov</w:t>
                      </w:r>
                      <w:r w:rsidRPr="006C301A">
                        <w:t>ervalued at $107.18</w:t>
                      </w:r>
                      <w:r w:rsidR="00F032B4">
                        <w:t xml:space="preserve">. </w:t>
                      </w:r>
                    </w:p>
                    <w:p w14:paraId="13935AEB" w14:textId="208DDE82" w:rsidR="00995EE6" w:rsidRPr="00017B2B" w:rsidRDefault="00F032B4" w:rsidP="00BA3E0E">
                      <w:r>
                        <w:t xml:space="preserve">Nike has a weak 14% downside to its current price, </w:t>
                      </w:r>
                      <w:proofErr w:type="gramStart"/>
                      <w:r>
                        <w:t>as a result of</w:t>
                      </w:r>
                      <w:proofErr w:type="gramEnd"/>
                      <w:r>
                        <w:t xml:space="preserve"> inconsistent growth through the COVID period. However, strong revenue and margin growth from its footwear segment suggest high potential for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CA53" wp14:editId="21C3A583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TopAndBottom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E9BAC63" w14:textId="3CEBC121" w:rsidR="00866C39" w:rsidRPr="00866C39" w:rsidRDefault="00F8663C" w:rsidP="00866C39">
                            <w:pPr>
                              <w:spacing w:before="880" w:after="2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8"/>
                                <w:szCs w:val="28"/>
                                <w14:ligatures w14:val="standardContextual"/>
                              </w:rPr>
                              <w:drawing>
                                <wp:inline distT="0" distB="0" distL="0" distR="0" wp14:anchorId="1163029F" wp14:editId="1A4DC23B">
                                  <wp:extent cx="2481156" cy="1368079"/>
                                  <wp:effectExtent l="0" t="0" r="0" b="3810"/>
                                  <wp:docPr id="185326649" name="Picture 2" descr="A graph of Nike's share performance vs S&amp;P 500 performance for period 1 June 2021 to 31 May 2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326649" name="Picture 2" descr="A graph of Nike's share performance vs S&amp;P 500 performance for period 1 June 2021 to 31 May 202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156" cy="138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Nike Share Performance </w:t>
                            </w:r>
                            <w:r w:rsidR="00BD361B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(Red) </w:t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>vs S&amp;P 500</w:t>
                            </w:r>
                            <w:r w:rsidR="00866C39">
                              <w:rPr>
                                <w:rFonts w:asciiTheme="majorHAnsi" w:eastAsiaTheme="majorEastAsia" w:hAnsiTheme="majorHAnsi" w:cstheme="majorBidi"/>
                              </w:rPr>
                              <w:t xml:space="preserve">         </w:t>
                            </w:r>
                            <w:r w:rsidR="00866C39" w:rsidRPr="00866C39">
                              <w:rPr>
                                <w:rFonts w:asciiTheme="majorHAnsi" w:eastAsiaTheme="majorEastAsia" w:hAnsiTheme="majorHAnsi" w:cstheme="majorBidi"/>
                              </w:rPr>
                              <w:t>for period 1 June 2021 to 31 May 2022</w:t>
                            </w:r>
                          </w:p>
                          <w:p w14:paraId="15A29B90" w14:textId="6E3777EA" w:rsidR="00866C39" w:rsidRDefault="00FC10DC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FC10DC">
                              <w:rPr>
                                <w:noProof/>
                              </w:rPr>
                              <w:drawing>
                                <wp:inline distT="0" distB="0" distL="0" distR="0" wp14:anchorId="6F97C390" wp14:editId="6FCAC9A8">
                                  <wp:extent cx="2423160" cy="1064895"/>
                                  <wp:effectExtent l="0" t="0" r="0" b="1905"/>
                                  <wp:docPr id="159529628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160" cy="1064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C63BF" w14:textId="03832544" w:rsidR="00866C39" w:rsidRPr="00B92FD6" w:rsidRDefault="00FC10DC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FC10DC">
                              <w:rPr>
                                <w:noProof/>
                              </w:rPr>
                              <w:drawing>
                                <wp:inline distT="0" distB="0" distL="0" distR="0" wp14:anchorId="7390CD0B" wp14:editId="44DEFEC9">
                                  <wp:extent cx="2423160" cy="950595"/>
                                  <wp:effectExtent l="0" t="0" r="0" b="1905"/>
                                  <wp:docPr id="74076783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160" cy="950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CA53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37373 [1614]" strokeweight="1.25pt">
                <v:textbox inset="14.4pt,36pt,14.4pt,5.76pt">
                  <w:txbxContent>
                    <w:p w14:paraId="0E9BAC63" w14:textId="3CEBC121" w:rsidR="00866C39" w:rsidRPr="00866C39" w:rsidRDefault="00F8663C" w:rsidP="00866C39">
                      <w:pPr>
                        <w:spacing w:before="880" w:after="2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sz w:val="28"/>
                          <w:szCs w:val="28"/>
                          <w14:ligatures w14:val="standardContextual"/>
                        </w:rPr>
                        <w:drawing>
                          <wp:inline distT="0" distB="0" distL="0" distR="0" wp14:anchorId="1163029F" wp14:editId="1A4DC23B">
                            <wp:extent cx="2481156" cy="1368079"/>
                            <wp:effectExtent l="0" t="0" r="0" b="3810"/>
                            <wp:docPr id="185326649" name="Picture 2" descr="A graph of Nike's share performance vs S&amp;P 500 performance for period 1 June 2021 to 31 May 2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326649" name="Picture 2" descr="A graph of Nike's share performance vs S&amp;P 500 performance for period 1 June 2021 to 31 May 202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156" cy="138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 xml:space="preserve">Nike Share Performance </w:t>
                      </w:r>
                      <w:r w:rsidR="00BD361B">
                        <w:rPr>
                          <w:rFonts w:asciiTheme="majorHAnsi" w:eastAsiaTheme="majorEastAsia" w:hAnsiTheme="majorHAnsi" w:cstheme="majorBidi"/>
                        </w:rPr>
                        <w:t xml:space="preserve">(Red) </w:t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>vs S&amp;P 500</w:t>
                      </w:r>
                      <w:r w:rsidR="00866C39">
                        <w:rPr>
                          <w:rFonts w:asciiTheme="majorHAnsi" w:eastAsiaTheme="majorEastAsia" w:hAnsiTheme="majorHAnsi" w:cstheme="majorBidi"/>
                        </w:rPr>
                        <w:t xml:space="preserve">         </w:t>
                      </w:r>
                      <w:r w:rsidR="00866C39" w:rsidRPr="00866C39">
                        <w:rPr>
                          <w:rFonts w:asciiTheme="majorHAnsi" w:eastAsiaTheme="majorEastAsia" w:hAnsiTheme="majorHAnsi" w:cstheme="majorBidi"/>
                        </w:rPr>
                        <w:t>for period 1 June 2021 to 31 May 2022</w:t>
                      </w:r>
                    </w:p>
                    <w:p w14:paraId="15A29B90" w14:textId="6E3777EA" w:rsidR="00866C39" w:rsidRDefault="00FC10DC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FC10DC">
                        <w:rPr>
                          <w:noProof/>
                        </w:rPr>
                        <w:drawing>
                          <wp:inline distT="0" distB="0" distL="0" distR="0" wp14:anchorId="6F97C390" wp14:editId="6FCAC9A8">
                            <wp:extent cx="2423160" cy="1064895"/>
                            <wp:effectExtent l="0" t="0" r="0" b="1905"/>
                            <wp:docPr id="159529628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160" cy="1064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C63BF" w14:textId="03832544" w:rsidR="00866C39" w:rsidRPr="00B92FD6" w:rsidRDefault="00FC10DC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FC10DC">
                        <w:rPr>
                          <w:noProof/>
                        </w:rPr>
                        <w:drawing>
                          <wp:inline distT="0" distB="0" distL="0" distR="0" wp14:anchorId="7390CD0B" wp14:editId="44DEFEC9">
                            <wp:extent cx="2423160" cy="950595"/>
                            <wp:effectExtent l="0" t="0" r="0" b="1905"/>
                            <wp:docPr id="74076783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160" cy="950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5E1E" wp14:editId="64047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632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NIKE, Inc.</w:t>
                            </w:r>
                          </w:p>
                          <w:p w14:paraId="28DE8721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NYSE: NKE</w:t>
                            </w:r>
                          </w:p>
                          <w:p w14:paraId="7BF2C418" w14:textId="57B32105" w:rsidR="00BA3E0E" w:rsidRPr="00BA3E0E" w:rsidRDefault="00866C39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Current Share Price: </w:t>
                            </w:r>
                            <w:r w:rsidR="00BA3E0E" w:rsidRPr="00BA3E0E">
                              <w:rPr>
                                <w:b/>
                                <w:bCs/>
                              </w:rPr>
                              <w:t>107.18</w:t>
                            </w:r>
                          </w:p>
                          <w:p w14:paraId="2B59B505" w14:textId="6BD38C04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 xml:space="preserve">Upside to current share price: </w:t>
                            </w:r>
                            <w:r w:rsidR="00C84109">
                              <w:rPr>
                                <w:b/>
                                <w:bCs/>
                              </w:rPr>
                              <w:t>-0.14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15E1E" id="_x0000_s1031" type="#_x0000_t202" style="position:absolute;margin-left:487.6pt;margin-top:0;width:538.8pt;height:10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A340632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NIKE, Inc.</w:t>
                      </w:r>
                    </w:p>
                    <w:p w14:paraId="28DE8721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NYSE: NKE</w:t>
                      </w:r>
                    </w:p>
                    <w:p w14:paraId="7BF2C418" w14:textId="57B32105" w:rsidR="00BA3E0E" w:rsidRPr="00BA3E0E" w:rsidRDefault="00866C39" w:rsidP="00BA3E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Current Share Price: </w:t>
                      </w:r>
                      <w:r w:rsidR="00BA3E0E" w:rsidRPr="00BA3E0E">
                        <w:rPr>
                          <w:b/>
                          <w:bCs/>
                        </w:rPr>
                        <w:t>107.18</w:t>
                      </w:r>
                    </w:p>
                    <w:p w14:paraId="2B59B505" w14:textId="6BD38C04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 xml:space="preserve">Upside to current share price: </w:t>
                      </w:r>
                      <w:r w:rsidR="00C84109">
                        <w:rPr>
                          <w:b/>
                          <w:bCs/>
                        </w:rPr>
                        <w:t>-0.14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3E0E" w:rsidSect="00AD16C9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0E"/>
    <w:rsid w:val="000029A1"/>
    <w:rsid w:val="002A0023"/>
    <w:rsid w:val="003A6E2C"/>
    <w:rsid w:val="005C5B24"/>
    <w:rsid w:val="007A6739"/>
    <w:rsid w:val="00866C39"/>
    <w:rsid w:val="00995EE6"/>
    <w:rsid w:val="00AB25B4"/>
    <w:rsid w:val="00AD16C9"/>
    <w:rsid w:val="00AF652A"/>
    <w:rsid w:val="00B53A0D"/>
    <w:rsid w:val="00BA3E0E"/>
    <w:rsid w:val="00BD361B"/>
    <w:rsid w:val="00BF08C6"/>
    <w:rsid w:val="00C70359"/>
    <w:rsid w:val="00C84109"/>
    <w:rsid w:val="00DB656C"/>
    <w:rsid w:val="00E96052"/>
    <w:rsid w:val="00F032B4"/>
    <w:rsid w:val="00F8663C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D91"/>
  <w15:chartTrackingRefBased/>
  <w15:docId w15:val="{A3F16900-0B5B-4BE2-991F-FAF99E8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Waqas Albert</cp:lastModifiedBy>
  <cp:revision>2</cp:revision>
  <dcterms:created xsi:type="dcterms:W3CDTF">2024-02-28T17:06:00Z</dcterms:created>
  <dcterms:modified xsi:type="dcterms:W3CDTF">2024-02-28T17:06:00Z</dcterms:modified>
</cp:coreProperties>
</file>