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ABC06" w14:textId="3DF52DC5" w:rsidR="00AD1348" w:rsidRPr="00E00598" w:rsidRDefault="00E00598" w:rsidP="009E5F46">
      <w:pPr>
        <w:spacing w:line="276" w:lineRule="auto"/>
        <w:jc w:val="center"/>
        <w:rPr>
          <w:b/>
          <w:bCs/>
          <w:sz w:val="28"/>
          <w:szCs w:val="28"/>
        </w:rPr>
      </w:pPr>
      <w:r w:rsidRPr="00E00598">
        <w:rPr>
          <w:b/>
          <w:bCs/>
          <w:sz w:val="28"/>
          <w:szCs w:val="28"/>
        </w:rPr>
        <w:t xml:space="preserve">Peer </w:t>
      </w:r>
      <w:r w:rsidR="00072EB8">
        <w:rPr>
          <w:b/>
          <w:bCs/>
          <w:sz w:val="28"/>
          <w:szCs w:val="28"/>
        </w:rPr>
        <w:t>I</w:t>
      </w:r>
      <w:r w:rsidRPr="00E00598">
        <w:rPr>
          <w:b/>
          <w:bCs/>
          <w:sz w:val="28"/>
          <w:szCs w:val="28"/>
        </w:rPr>
        <w:t>dentification</w:t>
      </w:r>
    </w:p>
    <w:p w14:paraId="74BE5564" w14:textId="77777777" w:rsidR="00E00598" w:rsidRDefault="00E00598" w:rsidP="009E5F46">
      <w:pPr>
        <w:spacing w:line="276" w:lineRule="auto"/>
      </w:pPr>
    </w:p>
    <w:p w14:paraId="69E1408D" w14:textId="548C5876" w:rsidR="00CA1D61" w:rsidRPr="00A814F7" w:rsidRDefault="00E00598" w:rsidP="009E5F46">
      <w:pPr>
        <w:spacing w:line="276" w:lineRule="auto"/>
        <w:rPr>
          <w:b/>
          <w:bCs/>
          <w:i/>
          <w:iCs/>
        </w:rPr>
      </w:pPr>
      <w:r w:rsidRPr="00E00598">
        <w:rPr>
          <w:b/>
          <w:bCs/>
          <w:i/>
          <w:iCs/>
        </w:rPr>
        <w:t>Marriot I</w:t>
      </w:r>
      <w:r>
        <w:rPr>
          <w:b/>
          <w:bCs/>
          <w:i/>
          <w:iCs/>
        </w:rPr>
        <w:t>ntl (MAR)</w:t>
      </w:r>
    </w:p>
    <w:p w14:paraId="6006AF08" w14:textId="017D338B" w:rsidR="00CA1D61" w:rsidRPr="00CA1D61" w:rsidRDefault="009F4BB9" w:rsidP="009E5F46">
      <w:pPr>
        <w:spacing w:line="276" w:lineRule="auto"/>
      </w:pPr>
      <w:r>
        <w:t>O</w:t>
      </w:r>
      <w:r w:rsidR="00E00598" w:rsidRPr="00E00598">
        <w:t>perates more than 1.5 million rooms across 30 brands.</w:t>
      </w:r>
      <w:r w:rsidR="00CA1D61">
        <w:t xml:space="preserve"> L</w:t>
      </w:r>
      <w:r w:rsidR="00CA1D61" w:rsidRPr="00CA1D61">
        <w:t>uxury represent</w:t>
      </w:r>
      <w:r w:rsidR="00CA1D61">
        <w:t>s</w:t>
      </w:r>
      <w:r w:rsidR="00CA1D61" w:rsidRPr="00CA1D61">
        <w:t xml:space="preserve"> roughly 10% of total rooms, while full and limited service, about 40% and 50%, respectively.</w:t>
      </w:r>
      <w:r w:rsidR="00101338">
        <w:t xml:space="preserve"> </w:t>
      </w:r>
      <w:r w:rsidR="00101338" w:rsidRPr="00101338">
        <w:t>North America makes up two thirds of total rooms.</w:t>
      </w:r>
      <w:r>
        <w:t xml:space="preserve"> </w:t>
      </w:r>
      <w:r w:rsidRPr="009F4BB9">
        <w:t xml:space="preserve">Managed, franchise and incentive fees represent </w:t>
      </w:r>
      <w:r w:rsidR="00496399" w:rsidRPr="009F4BB9">
        <w:t>most of the</w:t>
      </w:r>
      <w:r w:rsidRPr="009F4BB9">
        <w:t xml:space="preserve"> revenue and profitability for the company.</w:t>
      </w:r>
    </w:p>
    <w:p w14:paraId="06B7874D" w14:textId="272A9936" w:rsidR="00E00598" w:rsidRDefault="00E00598" w:rsidP="009E5F46">
      <w:pPr>
        <w:spacing w:line="276" w:lineRule="auto"/>
      </w:pPr>
    </w:p>
    <w:p w14:paraId="63357E3B" w14:textId="77777777" w:rsidR="00A814F7" w:rsidRDefault="00A814F7" w:rsidP="009E5F46">
      <w:pPr>
        <w:spacing w:line="276" w:lineRule="auto"/>
      </w:pPr>
      <w:r w:rsidRPr="00CA1D61">
        <w:rPr>
          <w:i/>
          <w:iCs/>
        </w:rPr>
        <w:t>Sector</w:t>
      </w:r>
      <w:r>
        <w:tab/>
      </w:r>
      <w:r>
        <w:tab/>
      </w:r>
      <w:r w:rsidRPr="00CA1D61">
        <w:t>Consumer Cyclical</w:t>
      </w:r>
    </w:p>
    <w:p w14:paraId="004E28B2" w14:textId="299B44AE" w:rsidR="00072EB8" w:rsidRDefault="00A814F7" w:rsidP="009E5F46">
      <w:pPr>
        <w:spacing w:line="276" w:lineRule="auto"/>
        <w:rPr>
          <w:i/>
          <w:iCs/>
        </w:rPr>
      </w:pPr>
      <w:r w:rsidRPr="00CA1D61">
        <w:rPr>
          <w:i/>
          <w:iCs/>
        </w:rPr>
        <w:t>Industry</w:t>
      </w:r>
      <w:r>
        <w:tab/>
      </w:r>
      <w:r w:rsidRPr="00CA1D61">
        <w:t>Lodging</w:t>
      </w:r>
    </w:p>
    <w:p w14:paraId="6C744553" w14:textId="77777777" w:rsidR="009F4BB9" w:rsidRDefault="009F4BB9" w:rsidP="009E5F46">
      <w:pPr>
        <w:spacing w:line="276" w:lineRule="auto"/>
        <w:rPr>
          <w:i/>
          <w:iCs/>
        </w:rPr>
      </w:pPr>
    </w:p>
    <w:p w14:paraId="7F48A50A" w14:textId="77777777" w:rsidR="009F4BB9" w:rsidRPr="009F4BB9" w:rsidRDefault="00E00598" w:rsidP="009E5F46">
      <w:pPr>
        <w:pStyle w:val="ListParagraph"/>
        <w:numPr>
          <w:ilvl w:val="0"/>
          <w:numId w:val="1"/>
        </w:numPr>
        <w:spacing w:line="276" w:lineRule="auto"/>
        <w:rPr>
          <w:i/>
          <w:iCs/>
        </w:rPr>
      </w:pPr>
      <w:r w:rsidRPr="00CA1D61">
        <w:rPr>
          <w:b/>
          <w:bCs/>
          <w:i/>
          <w:iCs/>
        </w:rPr>
        <w:t>Hilton Worldwide Holdings Common (HLT)</w:t>
      </w:r>
      <w:r w:rsidRPr="00E00598">
        <w:tab/>
      </w:r>
    </w:p>
    <w:p w14:paraId="4090713C" w14:textId="66DB0E07" w:rsidR="009F4BB9" w:rsidRPr="009F4BB9" w:rsidRDefault="00CA1D61" w:rsidP="009F4BB9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>
        <w:t>O</w:t>
      </w:r>
      <w:r w:rsidR="00E00598" w:rsidRPr="00E00598">
        <w:t>perates 1</w:t>
      </w:r>
      <w:r w:rsidR="00FC719F">
        <w:t>.1 million</w:t>
      </w:r>
      <w:r w:rsidR="00E00598" w:rsidRPr="00E00598">
        <w:t xml:space="preserve"> rooms across 19 brands</w:t>
      </w:r>
      <w:r>
        <w:t xml:space="preserve"> </w:t>
      </w:r>
      <w:r w:rsidRPr="00CA1D61">
        <w:t>addressing the premium economy scale through luxury segments</w:t>
      </w:r>
      <w:r w:rsidR="00101338">
        <w:t xml:space="preserve">. </w:t>
      </w:r>
    </w:p>
    <w:p w14:paraId="7B9D55E6" w14:textId="3D24315C" w:rsidR="00CA1D61" w:rsidRPr="00A814F7" w:rsidRDefault="00101338" w:rsidP="009F4BB9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101338">
        <w:t xml:space="preserve">Managed and franchised represent </w:t>
      </w:r>
      <w:r w:rsidR="00496399">
        <w:t>most</w:t>
      </w:r>
      <w:r w:rsidRPr="00101338">
        <w:t xml:space="preserve"> of adjusted EBITDA, predominantly from the Americas regions</w:t>
      </w:r>
      <w:r>
        <w:t>.</w:t>
      </w:r>
    </w:p>
    <w:p w14:paraId="7F5A0803" w14:textId="77777777" w:rsidR="00101338" w:rsidRPr="00101338" w:rsidRDefault="00101338" w:rsidP="009E5F46">
      <w:pPr>
        <w:spacing w:line="276" w:lineRule="auto"/>
      </w:pPr>
    </w:p>
    <w:p w14:paraId="669158BE" w14:textId="77777777" w:rsidR="009F4BB9" w:rsidRPr="009F4BB9" w:rsidRDefault="00E00598" w:rsidP="009E5F46">
      <w:pPr>
        <w:pStyle w:val="ListParagraph"/>
        <w:numPr>
          <w:ilvl w:val="0"/>
          <w:numId w:val="1"/>
        </w:numPr>
        <w:spacing w:line="276" w:lineRule="auto"/>
        <w:rPr>
          <w:i/>
          <w:iCs/>
        </w:rPr>
      </w:pPr>
      <w:r w:rsidRPr="00CA1D61">
        <w:rPr>
          <w:b/>
          <w:bCs/>
          <w:i/>
          <w:iCs/>
        </w:rPr>
        <w:t>Choice Hotel Intl (CHH)</w:t>
      </w:r>
    </w:p>
    <w:p w14:paraId="314A47CF" w14:textId="77777777" w:rsidR="009F4BB9" w:rsidRPr="009F4BB9" w:rsidRDefault="00CA1D61" w:rsidP="009F4BB9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>
        <w:t>O</w:t>
      </w:r>
      <w:r w:rsidR="00E00598" w:rsidRPr="00E00598">
        <w:t>perate</w:t>
      </w:r>
      <w:r>
        <w:t>s</w:t>
      </w:r>
      <w:r w:rsidR="00E00598" w:rsidRPr="00E00598">
        <w:t xml:space="preserve"> 628,000 rooms across 13 brands addressing the economy and midscale segments.</w:t>
      </w:r>
    </w:p>
    <w:p w14:paraId="00788C1E" w14:textId="0C7F58B4" w:rsidR="00CA1D61" w:rsidRPr="00A814F7" w:rsidRDefault="00101338" w:rsidP="009F4BB9">
      <w:pPr>
        <w:pStyle w:val="ListParagraph"/>
        <w:numPr>
          <w:ilvl w:val="1"/>
          <w:numId w:val="1"/>
        </w:numPr>
        <w:spacing w:line="276" w:lineRule="auto"/>
        <w:rPr>
          <w:i/>
          <w:iCs/>
        </w:rPr>
      </w:pPr>
      <w:r w:rsidRPr="00101338">
        <w:t>Franchises are 99% of total revenue, and the United States represents 79% of total rooms.</w:t>
      </w:r>
    </w:p>
    <w:p w14:paraId="7776CCF9" w14:textId="77777777" w:rsidR="00101338" w:rsidRPr="00101338" w:rsidRDefault="00101338" w:rsidP="009E5F46">
      <w:pPr>
        <w:spacing w:line="276" w:lineRule="auto"/>
        <w:rPr>
          <w:i/>
          <w:iCs/>
        </w:rPr>
      </w:pPr>
    </w:p>
    <w:p w14:paraId="1CA9ED45" w14:textId="77777777" w:rsidR="00FC719F" w:rsidRPr="00FC719F" w:rsidRDefault="00E00598" w:rsidP="009E5F46">
      <w:pPr>
        <w:pStyle w:val="ListParagraph"/>
        <w:numPr>
          <w:ilvl w:val="0"/>
          <w:numId w:val="1"/>
        </w:numPr>
        <w:spacing w:line="276" w:lineRule="auto"/>
      </w:pPr>
      <w:r w:rsidRPr="00101338">
        <w:rPr>
          <w:b/>
          <w:bCs/>
          <w:i/>
          <w:iCs/>
        </w:rPr>
        <w:t>Hyatt Hotels (H)</w:t>
      </w:r>
    </w:p>
    <w:p w14:paraId="1F096F7A" w14:textId="7722BD51" w:rsidR="00E00598" w:rsidRDefault="00101338" w:rsidP="00FC719F">
      <w:pPr>
        <w:pStyle w:val="ListParagraph"/>
        <w:numPr>
          <w:ilvl w:val="1"/>
          <w:numId w:val="1"/>
        </w:numPr>
        <w:spacing w:line="276" w:lineRule="auto"/>
      </w:pPr>
      <w:r>
        <w:t>Operator</w:t>
      </w:r>
      <w:r w:rsidR="00E00598" w:rsidRPr="00E00598">
        <w:t xml:space="preserve"> of owned (4%) and managed and franchise (96%) properties across</w:t>
      </w:r>
      <w:r w:rsidR="00FC719F">
        <w:t xml:space="preserve"> </w:t>
      </w:r>
      <w:r w:rsidR="00E00598" w:rsidRPr="00E00598">
        <w:t>20 upscale luxury brands</w:t>
      </w:r>
      <w:r>
        <w:t>.</w:t>
      </w:r>
    </w:p>
    <w:p w14:paraId="0AC5BC26" w14:textId="3C8C3AAE" w:rsidR="005C7414" w:rsidRDefault="005C7414" w:rsidP="005C7414">
      <w:pPr>
        <w:pStyle w:val="ListParagraph"/>
        <w:numPr>
          <w:ilvl w:val="1"/>
          <w:numId w:val="1"/>
        </w:numPr>
        <w:spacing w:line="276" w:lineRule="auto"/>
      </w:pPr>
      <w:r>
        <w:t>R</w:t>
      </w:r>
      <w:r w:rsidRPr="005C7414">
        <w:t>egional exposure is 55% Americas, 19% Asia-Pacific, and 16% rest of world.</w:t>
      </w:r>
    </w:p>
    <w:p w14:paraId="0820084B" w14:textId="77777777" w:rsidR="00101338" w:rsidRPr="00101338" w:rsidRDefault="00101338" w:rsidP="009E5F46">
      <w:pPr>
        <w:spacing w:line="276" w:lineRule="auto"/>
      </w:pPr>
    </w:p>
    <w:p w14:paraId="45546632" w14:textId="5F5CFFD3" w:rsidR="00FC719F" w:rsidRPr="00FC719F" w:rsidRDefault="00CA1D61" w:rsidP="009E5F46">
      <w:pPr>
        <w:pStyle w:val="ListParagraph"/>
        <w:numPr>
          <w:ilvl w:val="0"/>
          <w:numId w:val="1"/>
        </w:numPr>
        <w:spacing w:line="276" w:lineRule="auto"/>
      </w:pPr>
      <w:r w:rsidRPr="00101338">
        <w:rPr>
          <w:b/>
          <w:bCs/>
          <w:i/>
          <w:iCs/>
        </w:rPr>
        <w:t xml:space="preserve">Wyndham Hotels &amp; </w:t>
      </w:r>
      <w:r w:rsidR="00496399" w:rsidRPr="00101338">
        <w:rPr>
          <w:b/>
          <w:bCs/>
          <w:i/>
          <w:iCs/>
        </w:rPr>
        <w:t>Resorts</w:t>
      </w:r>
      <w:r w:rsidRPr="00101338">
        <w:rPr>
          <w:b/>
          <w:bCs/>
          <w:i/>
          <w:iCs/>
        </w:rPr>
        <w:t xml:space="preserve"> (WH)</w:t>
      </w:r>
    </w:p>
    <w:p w14:paraId="7ED2A55A" w14:textId="77777777" w:rsidR="00FC719F" w:rsidRDefault="00101338" w:rsidP="00FC719F">
      <w:pPr>
        <w:pStyle w:val="ListParagraph"/>
        <w:numPr>
          <w:ilvl w:val="1"/>
          <w:numId w:val="1"/>
        </w:numPr>
        <w:spacing w:line="276" w:lineRule="auto"/>
      </w:pPr>
      <w:r>
        <w:t>O</w:t>
      </w:r>
      <w:r w:rsidR="00CA1D61" w:rsidRPr="00CA1D61">
        <w:t xml:space="preserve">perates 843,000 rooms across 23 brands </w:t>
      </w:r>
      <w:r w:rsidRPr="00CA1D61">
        <w:t>predominantly</w:t>
      </w:r>
      <w:r w:rsidR="00CA1D61" w:rsidRPr="00CA1D61">
        <w:t xml:space="preserve"> in the economy and midscale segments.</w:t>
      </w:r>
    </w:p>
    <w:p w14:paraId="2214E0EC" w14:textId="6B524EDF" w:rsidR="00CA1D61" w:rsidRDefault="00FC719F" w:rsidP="00FC719F">
      <w:pPr>
        <w:pStyle w:val="ListParagraph"/>
        <w:numPr>
          <w:ilvl w:val="1"/>
          <w:numId w:val="1"/>
        </w:numPr>
        <w:spacing w:line="276" w:lineRule="auto"/>
      </w:pPr>
      <w:r>
        <w:t>US</w:t>
      </w:r>
      <w:r w:rsidR="00CA1D61" w:rsidRPr="00CA1D61">
        <w:t xml:space="preserve"> represents roughly 60% of total rooms.</w:t>
      </w:r>
    </w:p>
    <w:p w14:paraId="78E3D947" w14:textId="77777777" w:rsidR="00101338" w:rsidRDefault="00101338" w:rsidP="009E5F46">
      <w:pPr>
        <w:spacing w:line="276" w:lineRule="auto"/>
      </w:pPr>
    </w:p>
    <w:p w14:paraId="27BDFC1A" w14:textId="77777777" w:rsidR="00FC719F" w:rsidRPr="00FC719F" w:rsidRDefault="00CA1D61" w:rsidP="009E5F46">
      <w:pPr>
        <w:pStyle w:val="ListParagraph"/>
        <w:numPr>
          <w:ilvl w:val="0"/>
          <w:numId w:val="1"/>
        </w:numPr>
        <w:spacing w:line="276" w:lineRule="auto"/>
      </w:pPr>
      <w:r w:rsidRPr="00101338">
        <w:rPr>
          <w:b/>
          <w:bCs/>
          <w:i/>
          <w:iCs/>
        </w:rPr>
        <w:t>Intercontinental Hotels (IHG)</w:t>
      </w:r>
    </w:p>
    <w:p w14:paraId="6448A906" w14:textId="77777777" w:rsidR="00FC719F" w:rsidRDefault="00101338" w:rsidP="00FC719F">
      <w:pPr>
        <w:pStyle w:val="ListParagraph"/>
        <w:numPr>
          <w:ilvl w:val="1"/>
          <w:numId w:val="1"/>
        </w:numPr>
        <w:spacing w:line="276" w:lineRule="auto"/>
      </w:pPr>
      <w:r>
        <w:t>Op</w:t>
      </w:r>
      <w:r w:rsidR="00CA1D61" w:rsidRPr="00CA1D61">
        <w:t>erates 912,000 rooms across 17 brands addressing the midscale through luxury segments</w:t>
      </w:r>
      <w:r>
        <w:t xml:space="preserve">. </w:t>
      </w:r>
    </w:p>
    <w:p w14:paraId="72CB3D92" w14:textId="77777777" w:rsidR="00FC719F" w:rsidRDefault="00CA1D61" w:rsidP="00FC719F">
      <w:pPr>
        <w:pStyle w:val="ListParagraph"/>
        <w:numPr>
          <w:ilvl w:val="1"/>
          <w:numId w:val="1"/>
        </w:numPr>
        <w:spacing w:line="276" w:lineRule="auto"/>
      </w:pPr>
      <w:r w:rsidRPr="00CA1D61">
        <w:t xml:space="preserve">Managed and franchised represent 99% of total rooms. </w:t>
      </w:r>
    </w:p>
    <w:p w14:paraId="596B8E14" w14:textId="0DCF3712" w:rsidR="00CA1D61" w:rsidRPr="00CA1D61" w:rsidRDefault="00101338" w:rsidP="00FC719F">
      <w:pPr>
        <w:pStyle w:val="ListParagraph"/>
        <w:numPr>
          <w:ilvl w:val="1"/>
          <w:numId w:val="1"/>
        </w:numPr>
        <w:spacing w:line="276" w:lineRule="auto"/>
      </w:pPr>
      <w:r>
        <w:t>T</w:t>
      </w:r>
      <w:r w:rsidR="00CA1D61" w:rsidRPr="00CA1D61">
        <w:t xml:space="preserve">he Americas represents 57% of total rooms, China 18%; Europe, Asia, the Middle </w:t>
      </w:r>
      <w:proofErr w:type="gramStart"/>
      <w:r w:rsidR="00CA1D61" w:rsidRPr="00CA1D61">
        <w:t>East</w:t>
      </w:r>
      <w:proofErr w:type="gramEnd"/>
      <w:r w:rsidR="00CA1D61" w:rsidRPr="00CA1D61">
        <w:t xml:space="preserve"> and Africa 25%.</w:t>
      </w:r>
    </w:p>
    <w:p w14:paraId="14BFB93F" w14:textId="77777777" w:rsidR="005C7414" w:rsidRDefault="005C7414" w:rsidP="009E5F46">
      <w:pPr>
        <w:spacing w:line="276" w:lineRule="auto"/>
      </w:pPr>
    </w:p>
    <w:p w14:paraId="6A91B568" w14:textId="618052DA" w:rsidR="00072EB8" w:rsidRDefault="00072EB8" w:rsidP="009E5F46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Testa (TSLA)</w:t>
      </w:r>
      <w:r w:rsidR="00FF1888">
        <w:rPr>
          <w:b/>
          <w:bCs/>
          <w:i/>
          <w:iCs/>
        </w:rPr>
        <w:br/>
      </w:r>
      <w:r w:rsidR="00FF1888">
        <w:t>A</w:t>
      </w:r>
      <w:r w:rsidR="00FF1888" w:rsidRPr="00072EB8">
        <w:t>ims to transition the world to electric mobility</w:t>
      </w:r>
      <w:r w:rsidR="00FF1888">
        <w:t xml:space="preserve">; </w:t>
      </w:r>
      <w:r w:rsidR="00FF1888" w:rsidRPr="00072EB8">
        <w:t>has multiple vehicles in its fleet, which include luxury and midsize sedans and crossover SUVs. The company also plans to begin selling more affordable sedans and small SUVs, a light truck, a semi-</w:t>
      </w:r>
      <w:proofErr w:type="gramStart"/>
      <w:r w:rsidR="00FF1888" w:rsidRPr="00072EB8">
        <w:t>truck</w:t>
      </w:r>
      <w:proofErr w:type="gramEnd"/>
      <w:r w:rsidR="00FF1888" w:rsidRPr="00072EB8">
        <w:t xml:space="preserve"> and a sports car. Global deliveries in 2022 were a little over 1.3 million vehicles.</w:t>
      </w:r>
      <w:r w:rsidR="00FF1888">
        <w:br/>
      </w:r>
    </w:p>
    <w:p w14:paraId="59DF214A" w14:textId="11C2C3E9" w:rsidR="00072EB8" w:rsidRDefault="00072EB8" w:rsidP="009E5F46">
      <w:pPr>
        <w:spacing w:line="276" w:lineRule="auto"/>
      </w:pPr>
      <w:r>
        <w:rPr>
          <w:i/>
          <w:iCs/>
        </w:rPr>
        <w:t>Sector</w:t>
      </w:r>
      <w:r>
        <w:rPr>
          <w:i/>
          <w:iCs/>
        </w:rPr>
        <w:tab/>
      </w:r>
      <w:r>
        <w:rPr>
          <w:i/>
          <w:iCs/>
        </w:rPr>
        <w:tab/>
      </w:r>
      <w:r>
        <w:t>Consumer Cyclical</w:t>
      </w:r>
    </w:p>
    <w:p w14:paraId="72CD3A22" w14:textId="4B75E529" w:rsidR="00072EB8" w:rsidRPr="00FF1888" w:rsidRDefault="00072EB8" w:rsidP="009E5F46">
      <w:pPr>
        <w:spacing w:line="276" w:lineRule="auto"/>
      </w:pPr>
      <w:r w:rsidRPr="00072EB8">
        <w:rPr>
          <w:i/>
          <w:iCs/>
        </w:rPr>
        <w:t>Industry</w:t>
      </w:r>
      <w:r>
        <w:rPr>
          <w:i/>
          <w:iCs/>
        </w:rPr>
        <w:tab/>
      </w:r>
      <w:r>
        <w:t>Auto Manufacturers</w:t>
      </w:r>
    </w:p>
    <w:p w14:paraId="53C89843" w14:textId="09648F59" w:rsidR="00072EB8" w:rsidRDefault="00072EB8" w:rsidP="009E5F46">
      <w:pPr>
        <w:spacing w:line="276" w:lineRule="auto"/>
        <w:rPr>
          <w:i/>
          <w:iCs/>
        </w:rPr>
      </w:pPr>
    </w:p>
    <w:p w14:paraId="17E69387" w14:textId="77777777" w:rsidR="005C7414" w:rsidRPr="005C7414" w:rsidRDefault="00A814F7" w:rsidP="009E5F46">
      <w:pPr>
        <w:pStyle w:val="ListParagraph"/>
        <w:numPr>
          <w:ilvl w:val="0"/>
          <w:numId w:val="3"/>
        </w:numPr>
        <w:spacing w:line="276" w:lineRule="auto"/>
        <w:rPr>
          <w:i/>
          <w:iCs/>
        </w:rPr>
      </w:pPr>
      <w:r>
        <w:rPr>
          <w:b/>
          <w:bCs/>
          <w:i/>
          <w:iCs/>
        </w:rPr>
        <w:t>Toyota Motor (T)</w:t>
      </w:r>
    </w:p>
    <w:p w14:paraId="057A1B4D" w14:textId="77777777" w:rsidR="005C7414" w:rsidRPr="005C7414" w:rsidRDefault="00A814F7" w:rsidP="005C7414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>
        <w:t>O</w:t>
      </w:r>
      <w:r w:rsidRPr="00A814F7">
        <w:t xml:space="preserve">ne of the world's largest automakers with 10.38 million units sold at retail in fiscal 2022 across its light vehicle brands. </w:t>
      </w:r>
    </w:p>
    <w:p w14:paraId="0AF04D05" w14:textId="77777777" w:rsidR="005C7414" w:rsidRPr="005C7414" w:rsidRDefault="00A814F7" w:rsidP="005C7414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>
        <w:t>M</w:t>
      </w:r>
      <w:r w:rsidRPr="00A814F7">
        <w:t xml:space="preserve">arket share in Japan is about 51%, while US share is nearly 15.5%. </w:t>
      </w:r>
    </w:p>
    <w:p w14:paraId="6C58A91E" w14:textId="12F76092" w:rsidR="00A814F7" w:rsidRPr="00A814F7" w:rsidRDefault="005C7414" w:rsidP="005C7414">
      <w:pPr>
        <w:pStyle w:val="ListParagraph"/>
        <w:numPr>
          <w:ilvl w:val="1"/>
          <w:numId w:val="3"/>
        </w:numPr>
        <w:spacing w:line="276" w:lineRule="auto"/>
        <w:rPr>
          <w:i/>
          <w:iCs/>
        </w:rPr>
      </w:pPr>
      <w:r>
        <w:t>Owns</w:t>
      </w:r>
      <w:r w:rsidR="00A814F7" w:rsidRPr="00A814F7">
        <w:t xml:space="preserve"> </w:t>
      </w:r>
      <w:r>
        <w:t xml:space="preserve">a </w:t>
      </w:r>
      <w:r w:rsidR="00A814F7" w:rsidRPr="00A814F7">
        <w:t>large stake in Denso</w:t>
      </w:r>
      <w:r>
        <w:t xml:space="preserve"> (</w:t>
      </w:r>
      <w:r w:rsidR="00A814F7" w:rsidRPr="00A814F7">
        <w:t>parts supplier</w:t>
      </w:r>
      <w:r>
        <w:t>)</w:t>
      </w:r>
      <w:r w:rsidR="00A814F7" w:rsidRPr="00A814F7">
        <w:t>, about 20% of Subaru and holds investments in many other firms</w:t>
      </w:r>
      <w:r w:rsidR="00A814F7">
        <w:t>.</w:t>
      </w:r>
    </w:p>
    <w:p w14:paraId="6E59E2F4" w14:textId="77777777" w:rsidR="00A814F7" w:rsidRPr="00A814F7" w:rsidRDefault="00A814F7" w:rsidP="009E5F46">
      <w:pPr>
        <w:pStyle w:val="ListParagraph"/>
        <w:spacing w:line="276" w:lineRule="auto"/>
        <w:rPr>
          <w:i/>
          <w:iCs/>
        </w:rPr>
      </w:pPr>
    </w:p>
    <w:p w14:paraId="69F9C69E" w14:textId="77777777" w:rsidR="005C7414" w:rsidRPr="005C7414" w:rsidRDefault="00072EB8" w:rsidP="009E5F46">
      <w:pPr>
        <w:pStyle w:val="ListParagraph"/>
        <w:numPr>
          <w:ilvl w:val="0"/>
          <w:numId w:val="2"/>
        </w:numPr>
        <w:spacing w:line="276" w:lineRule="auto"/>
        <w:rPr>
          <w:i/>
          <w:iCs/>
        </w:rPr>
      </w:pPr>
      <w:r>
        <w:rPr>
          <w:b/>
          <w:bCs/>
          <w:i/>
          <w:iCs/>
        </w:rPr>
        <w:t>Ford (F)</w:t>
      </w:r>
    </w:p>
    <w:p w14:paraId="7CF57419" w14:textId="77777777" w:rsidR="005C7414" w:rsidRPr="005C7414" w:rsidRDefault="00072EB8" w:rsidP="005C7414">
      <w:pPr>
        <w:pStyle w:val="ListParagraph"/>
        <w:numPr>
          <w:ilvl w:val="1"/>
          <w:numId w:val="2"/>
        </w:numPr>
        <w:spacing w:line="276" w:lineRule="auto"/>
        <w:rPr>
          <w:i/>
          <w:iCs/>
        </w:rPr>
      </w:pPr>
      <w:r>
        <w:t>M</w:t>
      </w:r>
      <w:r w:rsidRPr="00072EB8">
        <w:t>anufactures automobiles under its Ford and Lincoln brands.</w:t>
      </w:r>
    </w:p>
    <w:p w14:paraId="60971AE7" w14:textId="77777777" w:rsidR="005C7414" w:rsidRPr="005C7414" w:rsidRDefault="005C7414" w:rsidP="005C7414">
      <w:pPr>
        <w:pStyle w:val="ListParagraph"/>
        <w:numPr>
          <w:ilvl w:val="1"/>
          <w:numId w:val="2"/>
        </w:numPr>
        <w:spacing w:line="276" w:lineRule="auto"/>
        <w:rPr>
          <w:i/>
          <w:iCs/>
        </w:rPr>
      </w:pPr>
      <w:r>
        <w:t>H</w:t>
      </w:r>
      <w:r w:rsidR="00072EB8" w:rsidRPr="00072EB8">
        <w:t>as about 13% market share in the United States, about 6.5% share in Europe, and about 2.1% share in China.</w:t>
      </w:r>
    </w:p>
    <w:p w14:paraId="103CAD15" w14:textId="7A16E34C" w:rsidR="00A814F7" w:rsidRPr="00FF1888" w:rsidRDefault="00072EB8" w:rsidP="005C7414">
      <w:pPr>
        <w:pStyle w:val="ListParagraph"/>
        <w:numPr>
          <w:ilvl w:val="1"/>
          <w:numId w:val="2"/>
        </w:numPr>
        <w:spacing w:line="276" w:lineRule="auto"/>
        <w:rPr>
          <w:i/>
          <w:iCs/>
        </w:rPr>
      </w:pPr>
      <w:r w:rsidRPr="00072EB8">
        <w:t>Sales in the US</w:t>
      </w:r>
      <w:r w:rsidR="005C7414">
        <w:t xml:space="preserve"> </w:t>
      </w:r>
      <w:r w:rsidRPr="00072EB8">
        <w:t xml:space="preserve">made up about 67% of 2022 total company revenue. </w:t>
      </w:r>
    </w:p>
    <w:p w14:paraId="7929977C" w14:textId="77777777" w:rsidR="00A814F7" w:rsidRDefault="00A814F7" w:rsidP="009E5F46">
      <w:pPr>
        <w:spacing w:line="276" w:lineRule="auto"/>
      </w:pPr>
    </w:p>
    <w:p w14:paraId="2FBAA7D5" w14:textId="77777777" w:rsidR="005C7414" w:rsidRPr="005C7414" w:rsidRDefault="00A814F7" w:rsidP="009E5F46">
      <w:pPr>
        <w:pStyle w:val="ListParagraph"/>
        <w:numPr>
          <w:ilvl w:val="0"/>
          <w:numId w:val="2"/>
        </w:numPr>
        <w:spacing w:line="276" w:lineRule="auto"/>
      </w:pPr>
      <w:r>
        <w:rPr>
          <w:b/>
          <w:bCs/>
          <w:i/>
          <w:iCs/>
        </w:rPr>
        <w:t>General Motors (GM)</w:t>
      </w:r>
    </w:p>
    <w:p w14:paraId="6C6CCFFE" w14:textId="77777777" w:rsidR="005C7414" w:rsidRDefault="00A814F7" w:rsidP="005C7414">
      <w:pPr>
        <w:pStyle w:val="ListParagraph"/>
        <w:numPr>
          <w:ilvl w:val="1"/>
          <w:numId w:val="2"/>
        </w:numPr>
        <w:spacing w:line="276" w:lineRule="auto"/>
      </w:pPr>
      <w:r>
        <w:t>H</w:t>
      </w:r>
      <w:r w:rsidRPr="00A814F7">
        <w:t>as eight brands and operates under four segments</w:t>
      </w:r>
      <w:r>
        <w:t>.</w:t>
      </w:r>
    </w:p>
    <w:p w14:paraId="0B541EFF" w14:textId="77777777" w:rsidR="005C7414" w:rsidRDefault="00A814F7" w:rsidP="005C7414">
      <w:pPr>
        <w:pStyle w:val="ListParagraph"/>
        <w:numPr>
          <w:ilvl w:val="1"/>
          <w:numId w:val="2"/>
        </w:numPr>
        <w:spacing w:line="276" w:lineRule="auto"/>
      </w:pPr>
      <w:r w:rsidRPr="00A814F7">
        <w:t>U</w:t>
      </w:r>
      <w:r w:rsidR="005C7414">
        <w:t>S</w:t>
      </w:r>
      <w:r w:rsidRPr="00A814F7">
        <w:t xml:space="preserve"> market share leader crown.</w:t>
      </w:r>
    </w:p>
    <w:p w14:paraId="37BC0558" w14:textId="066C5CB1" w:rsidR="00FF1888" w:rsidRDefault="00A814F7" w:rsidP="004D0145">
      <w:pPr>
        <w:pStyle w:val="ListParagraph"/>
        <w:numPr>
          <w:ilvl w:val="1"/>
          <w:numId w:val="2"/>
        </w:numPr>
        <w:spacing w:line="276" w:lineRule="auto"/>
      </w:pPr>
      <w:r w:rsidRPr="00A814F7">
        <w:t xml:space="preserve">GM's Cruise autonomous vehicle arm is providing driverless geofenced AV </w:t>
      </w:r>
      <w:proofErr w:type="spellStart"/>
      <w:r w:rsidRPr="00A814F7">
        <w:t>robotaxi</w:t>
      </w:r>
      <w:proofErr w:type="spellEnd"/>
      <w:r w:rsidRPr="00A814F7">
        <w:t xml:space="preserve"> services in San Francisco and other cities and has an exclusive deal with Dubai to do the same.</w:t>
      </w:r>
    </w:p>
    <w:p w14:paraId="062CAB1A" w14:textId="77777777" w:rsidR="005C7414" w:rsidRDefault="005C7414" w:rsidP="005C7414">
      <w:pPr>
        <w:spacing w:line="276" w:lineRule="auto"/>
      </w:pPr>
    </w:p>
    <w:p w14:paraId="78F1AA38" w14:textId="77777777" w:rsidR="005C7414" w:rsidRPr="005C7414" w:rsidRDefault="00FF1888" w:rsidP="009E5F46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rPr>
          <w:b/>
          <w:bCs/>
          <w:i/>
          <w:iCs/>
        </w:rPr>
        <w:t>Stellantis</w:t>
      </w:r>
      <w:proofErr w:type="spellEnd"/>
      <w:r>
        <w:rPr>
          <w:b/>
          <w:bCs/>
          <w:i/>
          <w:iCs/>
        </w:rPr>
        <w:t xml:space="preserve"> (STLA)</w:t>
      </w:r>
    </w:p>
    <w:p w14:paraId="54B4DDF8" w14:textId="37407FAE" w:rsidR="005C7414" w:rsidRDefault="00FF1888" w:rsidP="005C7414">
      <w:pPr>
        <w:pStyle w:val="ListParagraph"/>
        <w:numPr>
          <w:ilvl w:val="1"/>
          <w:numId w:val="2"/>
        </w:numPr>
        <w:spacing w:line="276" w:lineRule="auto"/>
      </w:pPr>
      <w:r>
        <w:t>T</w:t>
      </w:r>
      <w:r w:rsidRPr="00FF1888">
        <w:t xml:space="preserve">he world's fifth-largest automaker with 14 automobile brands. </w:t>
      </w:r>
    </w:p>
    <w:p w14:paraId="776EF843" w14:textId="77777777" w:rsidR="005C7414" w:rsidRDefault="005C7414" w:rsidP="005C7414">
      <w:pPr>
        <w:pStyle w:val="ListParagraph"/>
        <w:numPr>
          <w:ilvl w:val="1"/>
          <w:numId w:val="2"/>
        </w:numPr>
        <w:spacing w:line="276" w:lineRule="auto"/>
      </w:pPr>
      <w:r>
        <w:t>H</w:t>
      </w:r>
      <w:r w:rsidR="00FF1888" w:rsidRPr="00FF1888">
        <w:t>ad sales volume of 6</w:t>
      </w:r>
      <w:r>
        <w:t xml:space="preserve">M </w:t>
      </w:r>
      <w:r w:rsidR="00FF1888" w:rsidRPr="00FF1888">
        <w:t>vehicles and EUR 179.6</w:t>
      </w:r>
      <w:r>
        <w:t>B</w:t>
      </w:r>
      <w:r w:rsidR="00FF1888" w:rsidRPr="00FF1888">
        <w:t xml:space="preserve"> in revenue</w:t>
      </w:r>
      <w:r>
        <w:t xml:space="preserve"> in 2022</w:t>
      </w:r>
      <w:r w:rsidR="00FF1888" w:rsidRPr="00FF1888">
        <w:t>.</w:t>
      </w:r>
    </w:p>
    <w:p w14:paraId="56F0B792" w14:textId="249A4548" w:rsidR="00FF1888" w:rsidRDefault="00FF1888" w:rsidP="005C7414">
      <w:pPr>
        <w:pStyle w:val="ListParagraph"/>
        <w:numPr>
          <w:ilvl w:val="1"/>
          <w:numId w:val="2"/>
        </w:numPr>
        <w:spacing w:line="276" w:lineRule="auto"/>
      </w:pPr>
      <w:r w:rsidRPr="00FF1888">
        <w:t>Europe account</w:t>
      </w:r>
      <w:r w:rsidR="007C1474">
        <w:t>s</w:t>
      </w:r>
      <w:r w:rsidRPr="00FF1888">
        <w:t xml:space="preserve"> for 44% of 2022 global volume while North America and South America were 31% and 14%, respectively.</w:t>
      </w:r>
    </w:p>
    <w:p w14:paraId="3F0A08AE" w14:textId="77777777" w:rsidR="00FF1888" w:rsidRDefault="00FF1888" w:rsidP="009E5F46">
      <w:pPr>
        <w:pStyle w:val="ListParagraph"/>
        <w:spacing w:line="276" w:lineRule="auto"/>
      </w:pPr>
    </w:p>
    <w:p w14:paraId="224424CA" w14:textId="77777777" w:rsidR="007C1474" w:rsidRPr="007C1474" w:rsidRDefault="00FF1888" w:rsidP="009E5F46">
      <w:pPr>
        <w:pStyle w:val="ListParagraph"/>
        <w:numPr>
          <w:ilvl w:val="0"/>
          <w:numId w:val="2"/>
        </w:numPr>
        <w:spacing w:line="276" w:lineRule="auto"/>
      </w:pPr>
      <w:proofErr w:type="spellStart"/>
      <w:r>
        <w:rPr>
          <w:b/>
          <w:bCs/>
          <w:i/>
          <w:iCs/>
        </w:rPr>
        <w:t>Rivian</w:t>
      </w:r>
      <w:proofErr w:type="spellEnd"/>
      <w:r>
        <w:rPr>
          <w:b/>
          <w:bCs/>
          <w:i/>
          <w:iCs/>
        </w:rPr>
        <w:t xml:space="preserve"> (RIVN)</w:t>
      </w:r>
    </w:p>
    <w:p w14:paraId="39B1DA6D" w14:textId="77777777" w:rsidR="007C1474" w:rsidRDefault="00FF1888" w:rsidP="007C1474">
      <w:pPr>
        <w:pStyle w:val="ListParagraph"/>
        <w:numPr>
          <w:ilvl w:val="1"/>
          <w:numId w:val="2"/>
        </w:numPr>
        <w:spacing w:line="276" w:lineRule="auto"/>
      </w:pPr>
      <w:r>
        <w:t>D</w:t>
      </w:r>
      <w:r w:rsidRPr="00FF1888">
        <w:t xml:space="preserve">esigns, </w:t>
      </w:r>
      <w:proofErr w:type="gramStart"/>
      <w:r w:rsidRPr="00FF1888">
        <w:t>develops</w:t>
      </w:r>
      <w:proofErr w:type="gramEnd"/>
      <w:r w:rsidRPr="00FF1888">
        <w:t xml:space="preserve"> and manufactures electric vehicles and accessories.</w:t>
      </w:r>
    </w:p>
    <w:p w14:paraId="77062092" w14:textId="07424EE3" w:rsidR="00FF1888" w:rsidRPr="00FF1888" w:rsidRDefault="007C1474" w:rsidP="007C1474">
      <w:pPr>
        <w:pStyle w:val="ListParagraph"/>
        <w:numPr>
          <w:ilvl w:val="1"/>
          <w:numId w:val="2"/>
        </w:numPr>
        <w:spacing w:line="276" w:lineRule="auto"/>
      </w:pPr>
      <w:r>
        <w:t>L</w:t>
      </w:r>
      <w:r w:rsidR="00FF1888" w:rsidRPr="00FF1888">
        <w:t>aunched the R1 platform with the first generation of consumer vehicles: the R1T, a two-row, five-passenger pickup truck, and the R1S, a three-row, seven-passenger sport utility vehicle (SUV).</w:t>
      </w:r>
    </w:p>
    <w:p w14:paraId="40C54192" w14:textId="77777777" w:rsidR="007C1474" w:rsidRDefault="007C1474" w:rsidP="009E5F46">
      <w:pPr>
        <w:spacing w:line="276" w:lineRule="auto"/>
      </w:pPr>
    </w:p>
    <w:p w14:paraId="09F4F507" w14:textId="15D8FF42" w:rsidR="00A814F7" w:rsidRDefault="00FF1888" w:rsidP="009E5F46">
      <w:p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Netflix (NFLX)</w:t>
      </w:r>
    </w:p>
    <w:p w14:paraId="20C9814E" w14:textId="5613A4E9" w:rsidR="00FF1888" w:rsidRDefault="00FF1888" w:rsidP="009E5F46">
      <w:pPr>
        <w:spacing w:line="276" w:lineRule="auto"/>
      </w:pPr>
      <w:r>
        <w:t xml:space="preserve">Its </w:t>
      </w:r>
      <w:r w:rsidRPr="00FF1888">
        <w:t>primary business is a streaming video on demand service now available in almost every country worldwide except China. The firm primarily generates revenue from subscriptions to its eponymous service. Netflix delivers original and third-party digital video content to PCs, internet-connected TVs, and consumer electronic devices</w:t>
      </w:r>
      <w:r>
        <w:t>. I</w:t>
      </w:r>
      <w:r w:rsidRPr="00FF1888">
        <w:t>s the largest SVOD platform in the world with over 220 million subscribers globally.</w:t>
      </w:r>
    </w:p>
    <w:p w14:paraId="4AAA508A" w14:textId="02E0AC6E" w:rsidR="00FF1888" w:rsidRDefault="00FF1888" w:rsidP="009E5F46">
      <w:pPr>
        <w:spacing w:line="276" w:lineRule="auto"/>
      </w:pPr>
    </w:p>
    <w:p w14:paraId="0043B9D4" w14:textId="06346326" w:rsidR="00FF1888" w:rsidRDefault="006C666F" w:rsidP="009E5F46">
      <w:pPr>
        <w:spacing w:line="276" w:lineRule="auto"/>
      </w:pPr>
      <w:r>
        <w:rPr>
          <w:i/>
          <w:iCs/>
        </w:rPr>
        <w:t>Sector</w:t>
      </w:r>
      <w:r>
        <w:rPr>
          <w:i/>
          <w:iCs/>
        </w:rPr>
        <w:tab/>
      </w:r>
      <w:r>
        <w:rPr>
          <w:i/>
          <w:iCs/>
        </w:rPr>
        <w:tab/>
      </w:r>
      <w:r>
        <w:t>Communication Services</w:t>
      </w:r>
    </w:p>
    <w:p w14:paraId="5531B601" w14:textId="069FC322" w:rsidR="00FF1888" w:rsidRPr="007C1474" w:rsidRDefault="006C666F" w:rsidP="009E5F46">
      <w:pPr>
        <w:spacing w:line="276" w:lineRule="auto"/>
      </w:pPr>
      <w:r>
        <w:rPr>
          <w:i/>
          <w:iCs/>
        </w:rPr>
        <w:t>Industry</w:t>
      </w:r>
      <w:r>
        <w:rPr>
          <w:i/>
          <w:iCs/>
        </w:rPr>
        <w:tab/>
      </w:r>
      <w:r>
        <w:t>Entertainment</w:t>
      </w:r>
    </w:p>
    <w:p w14:paraId="4FDDC605" w14:textId="77777777" w:rsidR="006C666F" w:rsidRPr="006C666F" w:rsidRDefault="006C666F" w:rsidP="009E5F46">
      <w:pPr>
        <w:spacing w:line="276" w:lineRule="auto"/>
        <w:rPr>
          <w:i/>
          <w:iCs/>
        </w:rPr>
      </w:pPr>
    </w:p>
    <w:p w14:paraId="4E7B4185" w14:textId="77777777" w:rsidR="007C1474" w:rsidRPr="007C1474" w:rsidRDefault="006C666F" w:rsidP="007C1474">
      <w:pPr>
        <w:pStyle w:val="ListParagraph"/>
        <w:numPr>
          <w:ilvl w:val="0"/>
          <w:numId w:val="5"/>
        </w:numPr>
        <w:spacing w:line="276" w:lineRule="auto"/>
      </w:pPr>
      <w:r w:rsidRPr="006C666F">
        <w:rPr>
          <w:b/>
          <w:bCs/>
          <w:i/>
          <w:iCs/>
        </w:rPr>
        <w:t>Walt Disney Company (DIS</w:t>
      </w:r>
      <w:r w:rsidR="007C1474">
        <w:rPr>
          <w:b/>
          <w:bCs/>
          <w:i/>
          <w:iCs/>
        </w:rPr>
        <w:t>)</w:t>
      </w:r>
    </w:p>
    <w:p w14:paraId="72658A91" w14:textId="77777777" w:rsidR="007C1474" w:rsidRDefault="006C666F" w:rsidP="007C1474">
      <w:pPr>
        <w:pStyle w:val="ListParagraph"/>
        <w:numPr>
          <w:ilvl w:val="1"/>
          <w:numId w:val="5"/>
        </w:numPr>
        <w:spacing w:line="276" w:lineRule="auto"/>
      </w:pPr>
      <w:r>
        <w:t>Owns</w:t>
      </w:r>
      <w:r w:rsidRPr="006C666F">
        <w:t xml:space="preserve"> the rights to some of the most globally recognized characters</w:t>
      </w:r>
      <w:r>
        <w:t>,</w:t>
      </w:r>
      <w:r w:rsidRPr="006C666F">
        <w:t xml:space="preserve"> featured in several Disney theme parks around the world. </w:t>
      </w:r>
    </w:p>
    <w:p w14:paraId="7078073A" w14:textId="77777777" w:rsidR="007C1474" w:rsidRDefault="007C1474" w:rsidP="007C1474">
      <w:pPr>
        <w:pStyle w:val="ListParagraph"/>
        <w:numPr>
          <w:ilvl w:val="1"/>
          <w:numId w:val="5"/>
        </w:numPr>
        <w:spacing w:line="276" w:lineRule="auto"/>
      </w:pPr>
      <w:r>
        <w:t>M</w:t>
      </w:r>
      <w:r w:rsidR="006C666F" w:rsidRPr="006C666F">
        <w:t xml:space="preserve">akes live-action and animated films and </w:t>
      </w:r>
      <w:r>
        <w:t>o</w:t>
      </w:r>
      <w:r w:rsidR="006C666F" w:rsidRPr="006C666F">
        <w:t xml:space="preserve">perates media networks and several TV production studios. </w:t>
      </w:r>
    </w:p>
    <w:p w14:paraId="538A574A" w14:textId="77777777" w:rsidR="007C1474" w:rsidRDefault="007C1474" w:rsidP="007C1474">
      <w:pPr>
        <w:pStyle w:val="ListParagraph"/>
        <w:numPr>
          <w:ilvl w:val="1"/>
          <w:numId w:val="5"/>
        </w:numPr>
        <w:spacing w:line="276" w:lineRule="auto"/>
      </w:pPr>
      <w:r>
        <w:t>S</w:t>
      </w:r>
      <w:r w:rsidR="006C666F" w:rsidRPr="006C666F">
        <w:t>hifted into a more streaming-focused firm launching Disney+ and ESPN+.</w:t>
      </w:r>
    </w:p>
    <w:p w14:paraId="619773FA" w14:textId="17ED4134" w:rsidR="006C666F" w:rsidRDefault="007C1474" w:rsidP="007C1474">
      <w:pPr>
        <w:pStyle w:val="ListParagraph"/>
        <w:numPr>
          <w:ilvl w:val="1"/>
          <w:numId w:val="5"/>
        </w:numPr>
        <w:spacing w:line="276" w:lineRule="auto"/>
      </w:pPr>
      <w:r>
        <w:t>H</w:t>
      </w:r>
      <w:r w:rsidR="006C666F" w:rsidRPr="006C666F">
        <w:t>a</w:t>
      </w:r>
      <w:r w:rsidR="006C666F">
        <w:t>s</w:t>
      </w:r>
      <w:r w:rsidR="006C666F" w:rsidRPr="006C666F">
        <w:t xml:space="preserve"> over 235 million subscribers</w:t>
      </w:r>
      <w:r w:rsidR="006C666F">
        <w:t>.</w:t>
      </w:r>
    </w:p>
    <w:p w14:paraId="190272FC" w14:textId="77777777" w:rsidR="006C666F" w:rsidRPr="006C666F" w:rsidRDefault="006C666F" w:rsidP="009E5F46">
      <w:pPr>
        <w:pStyle w:val="ListParagraph"/>
        <w:spacing w:line="276" w:lineRule="auto"/>
      </w:pPr>
    </w:p>
    <w:p w14:paraId="0A9CAE86" w14:textId="77777777" w:rsidR="007C1474" w:rsidRDefault="00493D03" w:rsidP="009E5F46">
      <w:pPr>
        <w:pStyle w:val="ListParagraph"/>
        <w:numPr>
          <w:ilvl w:val="0"/>
          <w:numId w:val="5"/>
        </w:numPr>
        <w:spacing w:line="276" w:lineRule="auto"/>
        <w:rPr>
          <w:b/>
          <w:bCs/>
          <w:i/>
          <w:iCs/>
        </w:rPr>
      </w:pPr>
      <w:r w:rsidRPr="00493D03">
        <w:rPr>
          <w:b/>
          <w:bCs/>
          <w:i/>
          <w:iCs/>
        </w:rPr>
        <w:t>Warner Bros. Discovery (WBD)</w:t>
      </w:r>
    </w:p>
    <w:p w14:paraId="31E4F15A" w14:textId="77777777" w:rsidR="007C1474" w:rsidRPr="007C1474" w:rsidRDefault="00493D03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One</w:t>
      </w:r>
      <w:r w:rsidRPr="00493D03">
        <w:t xml:space="preserve"> of the largest media firms in the world with tremendous scale and reach.</w:t>
      </w:r>
    </w:p>
    <w:p w14:paraId="1553C74C" w14:textId="77777777" w:rsidR="007C1474" w:rsidRPr="007C1474" w:rsidRDefault="007C1474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O</w:t>
      </w:r>
      <w:r w:rsidR="00493D03" w:rsidRPr="00493D03">
        <w:t xml:space="preserve">wns some of the biggest global networks </w:t>
      </w:r>
      <w:r>
        <w:t>(</w:t>
      </w:r>
      <w:r w:rsidR="00493D03" w:rsidRPr="00493D03">
        <w:t>HBO, Discovery, CNN, TLC</w:t>
      </w:r>
      <w:r>
        <w:t>)</w:t>
      </w:r>
    </w:p>
    <w:p w14:paraId="4154BA4B" w14:textId="77777777" w:rsidR="007C1474" w:rsidRPr="007C1474" w:rsidRDefault="007C1474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C</w:t>
      </w:r>
      <w:r w:rsidR="00493D03" w:rsidRPr="00493D03">
        <w:t xml:space="preserve">ontent production studios include Warner Bros., HBO, Discovery Studios, DC Films, and Cartoon Network Studios. </w:t>
      </w:r>
    </w:p>
    <w:p w14:paraId="55EA12C0" w14:textId="30E89A15" w:rsidR="00493D03" w:rsidRPr="00493D03" w:rsidRDefault="007C1474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O</w:t>
      </w:r>
      <w:r w:rsidR="00493D03" w:rsidRPr="00493D03">
        <w:t xml:space="preserve">perates two major streaming services, </w:t>
      </w:r>
      <w:proofErr w:type="gramStart"/>
      <w:r w:rsidR="00493D03" w:rsidRPr="00493D03">
        <w:t>Max</w:t>
      </w:r>
      <w:proofErr w:type="gramEnd"/>
      <w:r w:rsidR="00493D03" w:rsidRPr="00493D03">
        <w:t xml:space="preserve"> and Discovery+.</w:t>
      </w:r>
    </w:p>
    <w:p w14:paraId="79FA3A68" w14:textId="77777777" w:rsidR="00493D03" w:rsidRPr="00493D03" w:rsidRDefault="00493D03" w:rsidP="009E5F46">
      <w:pPr>
        <w:pStyle w:val="ListParagraph"/>
        <w:spacing w:line="276" w:lineRule="auto"/>
        <w:rPr>
          <w:b/>
          <w:bCs/>
          <w:i/>
          <w:iCs/>
        </w:rPr>
      </w:pPr>
    </w:p>
    <w:p w14:paraId="2D85E9F3" w14:textId="056CDCD5" w:rsidR="007C1474" w:rsidRDefault="009E5F46" w:rsidP="009E5F46">
      <w:pPr>
        <w:pStyle w:val="ListParagraph"/>
        <w:numPr>
          <w:ilvl w:val="0"/>
          <w:numId w:val="5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Paramount Global (PARAA</w:t>
      </w:r>
      <w:r w:rsidR="007C1474">
        <w:rPr>
          <w:b/>
          <w:bCs/>
          <w:i/>
          <w:iCs/>
        </w:rPr>
        <w:t>)</w:t>
      </w:r>
    </w:p>
    <w:p w14:paraId="1D0B315F" w14:textId="77777777" w:rsidR="007C1474" w:rsidRPr="007C1474" w:rsidRDefault="007C1474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M</w:t>
      </w:r>
      <w:r w:rsidR="009E5F46" w:rsidRPr="009E5F46">
        <w:t>edia conglomerate with global scale</w:t>
      </w:r>
      <w:r w:rsidR="009E5F46">
        <w:t xml:space="preserve"> including a </w:t>
      </w:r>
      <w:r w:rsidR="009E5F46" w:rsidRPr="009E5F46">
        <w:t>television asset</w:t>
      </w:r>
      <w:r w:rsidR="009E5F46">
        <w:t xml:space="preserve"> of</w:t>
      </w:r>
      <w:r w:rsidR="009E5F46" w:rsidRPr="009E5F46">
        <w:t xml:space="preserve"> 28 local TV stations</w:t>
      </w:r>
      <w:r w:rsidR="009E5F46">
        <w:t xml:space="preserve"> and</w:t>
      </w:r>
      <w:r w:rsidR="009E5F46" w:rsidRPr="009E5F46">
        <w:t xml:space="preserve"> several leading cable network properties.</w:t>
      </w:r>
    </w:p>
    <w:p w14:paraId="7EE7A009" w14:textId="77777777" w:rsidR="007C1474" w:rsidRPr="007C1474" w:rsidRDefault="009E5F46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 w:rsidRPr="009E5F46">
        <w:t>Paramount Pictures produces original motion pictures and owns a library of 2,500 films</w:t>
      </w:r>
      <w:r>
        <w:t>.</w:t>
      </w:r>
    </w:p>
    <w:p w14:paraId="490FB0B0" w14:textId="3E448F2E" w:rsidR="00493D03" w:rsidRPr="009E5F46" w:rsidRDefault="007C1474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O</w:t>
      </w:r>
      <w:r w:rsidR="009E5F46" w:rsidRPr="009E5F46">
        <w:t xml:space="preserve">perates </w:t>
      </w:r>
      <w:proofErr w:type="gramStart"/>
      <w:r w:rsidR="009E5F46" w:rsidRPr="009E5F46">
        <w:t>a number of</w:t>
      </w:r>
      <w:proofErr w:type="gramEnd"/>
      <w:r w:rsidR="009E5F46" w:rsidRPr="009E5F46">
        <w:t xml:space="preserve"> streaming services, </w:t>
      </w:r>
      <w:r>
        <w:t>such as</w:t>
      </w:r>
      <w:r w:rsidR="009E5F46" w:rsidRPr="009E5F46">
        <w:t xml:space="preserve"> Paramount+ and Pluto TV.</w:t>
      </w:r>
    </w:p>
    <w:p w14:paraId="69BA19A3" w14:textId="77777777" w:rsidR="009E5F46" w:rsidRPr="009E5F46" w:rsidRDefault="009E5F46" w:rsidP="009E5F46">
      <w:pPr>
        <w:pStyle w:val="ListParagraph"/>
        <w:spacing w:line="276" w:lineRule="auto"/>
        <w:rPr>
          <w:b/>
          <w:bCs/>
          <w:i/>
          <w:iCs/>
        </w:rPr>
      </w:pPr>
    </w:p>
    <w:p w14:paraId="07568578" w14:textId="77777777" w:rsidR="007C1474" w:rsidRDefault="009E5F46" w:rsidP="009E5F46">
      <w:pPr>
        <w:pStyle w:val="ListParagraph"/>
        <w:numPr>
          <w:ilvl w:val="0"/>
          <w:numId w:val="5"/>
        </w:numPr>
        <w:spacing w:line="276" w:lineRule="auto"/>
        <w:rPr>
          <w:b/>
          <w:bCs/>
          <w:i/>
          <w:iCs/>
        </w:rPr>
      </w:pPr>
      <w:r>
        <w:rPr>
          <w:b/>
          <w:bCs/>
          <w:i/>
          <w:iCs/>
        </w:rPr>
        <w:t>Roku (ROKU)</w:t>
      </w:r>
    </w:p>
    <w:p w14:paraId="01DB77BE" w14:textId="77777777" w:rsidR="007C1474" w:rsidRPr="007C1474" w:rsidRDefault="009E5F46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Leading</w:t>
      </w:r>
      <w:r w:rsidRPr="009E5F46">
        <w:t xml:space="preserve"> streaming platform in the US by hours watched with 87.4 billion hours of content streamed in 2022.</w:t>
      </w:r>
    </w:p>
    <w:p w14:paraId="6FDF2C22" w14:textId="77777777" w:rsidR="007C1474" w:rsidRPr="007C1474" w:rsidRDefault="009E5F46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 w:rsidRPr="009E5F46">
        <w:t xml:space="preserve">The firm's eponymous operating system is used in Roku's own hardware </w:t>
      </w:r>
      <w:r w:rsidR="007C1474">
        <w:t>and</w:t>
      </w:r>
      <w:r w:rsidRPr="009E5F46">
        <w:t xml:space="preserve"> in cobranded TVs and soundbars from manufacturers like TCL, Onn, and Hisense. </w:t>
      </w:r>
    </w:p>
    <w:p w14:paraId="56832E2D" w14:textId="77777777" w:rsidR="007C1474" w:rsidRPr="007C1474" w:rsidRDefault="007C1474" w:rsidP="007C1474">
      <w:pPr>
        <w:pStyle w:val="ListParagraph"/>
        <w:numPr>
          <w:ilvl w:val="1"/>
          <w:numId w:val="5"/>
        </w:numPr>
        <w:spacing w:line="276" w:lineRule="auto"/>
        <w:rPr>
          <w:b/>
          <w:bCs/>
          <w:i/>
          <w:iCs/>
        </w:rPr>
      </w:pPr>
      <w:r>
        <w:t>G</w:t>
      </w:r>
      <w:r w:rsidR="009E5F46" w:rsidRPr="009E5F46">
        <w:t>enerates revenue from advertising, distribution fees, hardware sales, OS licensing, and subscription sales.</w:t>
      </w:r>
    </w:p>
    <w:p w14:paraId="12AB63DA" w14:textId="11EAF163" w:rsidR="00D61DB9" w:rsidRPr="007C1474" w:rsidRDefault="00D61DB9" w:rsidP="007C1474">
      <w:pPr>
        <w:spacing w:line="276" w:lineRule="auto"/>
        <w:rPr>
          <w:b/>
          <w:bCs/>
          <w:i/>
          <w:iCs/>
        </w:rPr>
      </w:pPr>
      <w:r w:rsidRPr="007C1474">
        <w:rPr>
          <w:b/>
          <w:bCs/>
          <w:i/>
          <w:iCs/>
        </w:rPr>
        <w:lastRenderedPageBreak/>
        <w:t>Nvidia (NVDA)</w:t>
      </w:r>
      <w:r w:rsidRPr="007C1474">
        <w:rPr>
          <w:b/>
          <w:bCs/>
          <w:i/>
          <w:iCs/>
        </w:rPr>
        <w:br/>
      </w:r>
      <w:r>
        <w:t>T</w:t>
      </w:r>
      <w:r w:rsidRPr="00D61DB9">
        <w:t xml:space="preserve">he top designer of discrete graphics processing units that enhance the experience on computing platforms. </w:t>
      </w:r>
      <w:r w:rsidR="00CA3E87">
        <w:t>Its c</w:t>
      </w:r>
      <w:r w:rsidRPr="00D61DB9">
        <w:t xml:space="preserve">hips are used in a variety of end markets, including PC gaming and data </w:t>
      </w:r>
      <w:r w:rsidRPr="00D61DB9">
        <w:t>centres</w:t>
      </w:r>
      <w:r w:rsidRPr="00D61DB9">
        <w:t xml:space="preserve">. </w:t>
      </w:r>
      <w:r w:rsidR="00CA3E87">
        <w:t>T</w:t>
      </w:r>
      <w:r w:rsidRPr="00D61DB9">
        <w:t>he firm has broadened its focus from traditional PC graphics applications to more complex opportunities, including artificial intelligence and autonomous driving, which leverage the high-performance capabilities of the firm's products.</w:t>
      </w:r>
    </w:p>
    <w:p w14:paraId="31C331A5" w14:textId="5DCBEA7F" w:rsidR="00D61DB9" w:rsidRDefault="00D61DB9" w:rsidP="00D61DB9">
      <w:pPr>
        <w:spacing w:line="276" w:lineRule="auto"/>
      </w:pPr>
    </w:p>
    <w:p w14:paraId="72EFE40C" w14:textId="2A1FF732" w:rsidR="00D61DB9" w:rsidRPr="00D61DB9" w:rsidRDefault="00D61DB9" w:rsidP="00D61DB9">
      <w:pPr>
        <w:spacing w:line="276" w:lineRule="auto"/>
      </w:pPr>
      <w:r>
        <w:rPr>
          <w:i/>
          <w:iCs/>
        </w:rPr>
        <w:t>Sector</w:t>
      </w:r>
      <w:r>
        <w:rPr>
          <w:i/>
          <w:iCs/>
        </w:rPr>
        <w:tab/>
      </w:r>
      <w:r>
        <w:rPr>
          <w:i/>
          <w:iCs/>
        </w:rPr>
        <w:tab/>
      </w:r>
      <w:r>
        <w:t>Technology</w:t>
      </w:r>
    </w:p>
    <w:p w14:paraId="362C587B" w14:textId="263C86D6" w:rsidR="00D61DB9" w:rsidRPr="007C1474" w:rsidRDefault="00D61DB9" w:rsidP="00D61DB9">
      <w:pPr>
        <w:spacing w:line="276" w:lineRule="auto"/>
      </w:pPr>
      <w:r>
        <w:rPr>
          <w:i/>
          <w:iCs/>
        </w:rPr>
        <w:t>Industry</w:t>
      </w:r>
      <w:r>
        <w:rPr>
          <w:i/>
          <w:iCs/>
        </w:rPr>
        <w:tab/>
      </w:r>
      <w:r>
        <w:t>Semiconductors</w:t>
      </w:r>
    </w:p>
    <w:p w14:paraId="6A0E8531" w14:textId="4A188962" w:rsidR="00D61DB9" w:rsidRDefault="00D61DB9" w:rsidP="00D61DB9">
      <w:pPr>
        <w:spacing w:line="276" w:lineRule="auto"/>
        <w:rPr>
          <w:i/>
          <w:iCs/>
        </w:rPr>
      </w:pPr>
    </w:p>
    <w:p w14:paraId="1DCD8BD8" w14:textId="77777777" w:rsidR="008A09FB" w:rsidRPr="008A09FB" w:rsidRDefault="00D61DB9" w:rsidP="00697605">
      <w:pPr>
        <w:pStyle w:val="ListParagraph"/>
        <w:numPr>
          <w:ilvl w:val="0"/>
          <w:numId w:val="6"/>
        </w:numPr>
        <w:spacing w:line="276" w:lineRule="auto"/>
      </w:pPr>
      <w:r>
        <w:rPr>
          <w:b/>
          <w:bCs/>
          <w:i/>
          <w:iCs/>
        </w:rPr>
        <w:t>Advanced Micro Devices (AMD)</w:t>
      </w:r>
    </w:p>
    <w:p w14:paraId="28F59FB2" w14:textId="19945DBF" w:rsidR="008A09FB" w:rsidRDefault="00697605" w:rsidP="008A09FB">
      <w:pPr>
        <w:pStyle w:val="ListParagraph"/>
        <w:numPr>
          <w:ilvl w:val="1"/>
          <w:numId w:val="6"/>
        </w:numPr>
        <w:spacing w:line="276" w:lineRule="auto"/>
      </w:pPr>
      <w:r>
        <w:t>D</w:t>
      </w:r>
      <w:r w:rsidRPr="00697605">
        <w:t>esigns microprocessors for computer</w:t>
      </w:r>
      <w:r w:rsidR="008A09FB">
        <w:t>s</w:t>
      </w:r>
      <w:r w:rsidRPr="00697605">
        <w:t xml:space="preserve"> and consumer electronics.</w:t>
      </w:r>
    </w:p>
    <w:p w14:paraId="75F3132A" w14:textId="44E598E1" w:rsidR="008A09FB" w:rsidRDefault="00A961AB" w:rsidP="008A09FB">
      <w:pPr>
        <w:pStyle w:val="ListParagraph"/>
        <w:numPr>
          <w:ilvl w:val="1"/>
          <w:numId w:val="6"/>
        </w:numPr>
        <w:spacing w:line="276" w:lineRule="auto"/>
      </w:pPr>
      <w:r w:rsidRPr="00697605">
        <w:t>Most of</w:t>
      </w:r>
      <w:r w:rsidR="00697605" w:rsidRPr="00697605">
        <w:t xml:space="preserve"> its sales are in the </w:t>
      </w:r>
      <w:r w:rsidR="008A09FB">
        <w:t>PC</w:t>
      </w:r>
      <w:r w:rsidR="00697605" w:rsidRPr="00697605">
        <w:t xml:space="preserve"> and data </w:t>
      </w:r>
      <w:r w:rsidR="00697605" w:rsidRPr="00697605">
        <w:t>centre</w:t>
      </w:r>
      <w:r w:rsidR="00697605" w:rsidRPr="00697605">
        <w:t xml:space="preserve"> markets via CPUs and GPUs. </w:t>
      </w:r>
    </w:p>
    <w:p w14:paraId="26BCFDA4" w14:textId="3726C3E2" w:rsidR="008A09FB" w:rsidRDefault="008A09FB" w:rsidP="008A09FB">
      <w:pPr>
        <w:pStyle w:val="ListParagraph"/>
        <w:numPr>
          <w:ilvl w:val="1"/>
          <w:numId w:val="6"/>
        </w:numPr>
        <w:spacing w:line="276" w:lineRule="auto"/>
      </w:pPr>
      <w:r>
        <w:t>S</w:t>
      </w:r>
      <w:r w:rsidR="00697605" w:rsidRPr="00697605">
        <w:t>upplies chips found in prominent game consoles</w:t>
      </w:r>
      <w:r>
        <w:t>.</w:t>
      </w:r>
    </w:p>
    <w:p w14:paraId="0C4C083B" w14:textId="585FABAA" w:rsidR="008A09FB" w:rsidRDefault="008A09FB" w:rsidP="008A09FB">
      <w:pPr>
        <w:pStyle w:val="ListParagraph"/>
        <w:numPr>
          <w:ilvl w:val="1"/>
          <w:numId w:val="6"/>
        </w:numPr>
        <w:spacing w:line="276" w:lineRule="auto"/>
      </w:pPr>
      <w:r>
        <w:t>A</w:t>
      </w:r>
      <w:r w:rsidR="00697605" w:rsidRPr="00697605">
        <w:t>cquired ATI to improve its positioning in the PC food chain.</w:t>
      </w:r>
    </w:p>
    <w:p w14:paraId="4866CAD6" w14:textId="69497FC8" w:rsidR="00D61DB9" w:rsidRDefault="008A09FB" w:rsidP="008A09FB">
      <w:pPr>
        <w:pStyle w:val="ListParagraph"/>
        <w:numPr>
          <w:ilvl w:val="1"/>
          <w:numId w:val="6"/>
        </w:numPr>
        <w:spacing w:line="276" w:lineRule="auto"/>
      </w:pPr>
      <w:r>
        <w:t>A</w:t>
      </w:r>
      <w:r w:rsidR="00697605" w:rsidRPr="00697605">
        <w:t xml:space="preserve">cquired Xilinx to diversify its business and augment its opportunities in key end markets such as the data </w:t>
      </w:r>
      <w:r w:rsidR="00697605" w:rsidRPr="00697605">
        <w:t>centre</w:t>
      </w:r>
      <w:r w:rsidR="00697605" w:rsidRPr="00697605">
        <w:t xml:space="preserve"> and automotive.</w:t>
      </w:r>
    </w:p>
    <w:p w14:paraId="599BAF73" w14:textId="29ADA5EE" w:rsidR="00697605" w:rsidRDefault="00697605" w:rsidP="00697605">
      <w:pPr>
        <w:spacing w:line="276" w:lineRule="auto"/>
      </w:pPr>
    </w:p>
    <w:p w14:paraId="7B18B0CE" w14:textId="77777777" w:rsidR="008A09FB" w:rsidRPr="008A09FB" w:rsidRDefault="00697605" w:rsidP="00697605">
      <w:pPr>
        <w:pStyle w:val="ListParagraph"/>
        <w:numPr>
          <w:ilvl w:val="0"/>
          <w:numId w:val="6"/>
        </w:numPr>
        <w:spacing w:line="276" w:lineRule="auto"/>
      </w:pPr>
      <w:r>
        <w:rPr>
          <w:b/>
          <w:bCs/>
          <w:i/>
          <w:iCs/>
        </w:rPr>
        <w:t>Intel (INTC)</w:t>
      </w:r>
    </w:p>
    <w:p w14:paraId="45EB87F1" w14:textId="77777777" w:rsidR="008A09FB" w:rsidRDefault="008A09FB" w:rsidP="008A09FB">
      <w:pPr>
        <w:pStyle w:val="ListParagraph"/>
        <w:numPr>
          <w:ilvl w:val="1"/>
          <w:numId w:val="6"/>
        </w:numPr>
        <w:spacing w:line="276" w:lineRule="auto"/>
      </w:pPr>
      <w:r>
        <w:t>W</w:t>
      </w:r>
      <w:r w:rsidR="00697605" w:rsidRPr="00697605">
        <w:t>orld's largest logic chipmaker.</w:t>
      </w:r>
    </w:p>
    <w:p w14:paraId="20CCCEA3" w14:textId="77777777" w:rsidR="008A09FB" w:rsidRDefault="008A09FB" w:rsidP="008A09FB">
      <w:pPr>
        <w:pStyle w:val="ListParagraph"/>
        <w:numPr>
          <w:ilvl w:val="1"/>
          <w:numId w:val="6"/>
        </w:numPr>
        <w:spacing w:line="276" w:lineRule="auto"/>
      </w:pPr>
      <w:r>
        <w:t>D</w:t>
      </w:r>
      <w:r w:rsidR="00697605" w:rsidRPr="00697605">
        <w:t>esign</w:t>
      </w:r>
      <w:r>
        <w:t>s</w:t>
      </w:r>
      <w:r w:rsidR="00697605" w:rsidRPr="00697605">
        <w:t xml:space="preserve"> and manufactur</w:t>
      </w:r>
      <w:r>
        <w:t>es</w:t>
      </w:r>
      <w:r w:rsidR="00697605" w:rsidRPr="00697605">
        <w:t xml:space="preserve"> microprocessors for the global personal computer and data </w:t>
      </w:r>
      <w:r w:rsidR="00697605" w:rsidRPr="00697605">
        <w:t>centre</w:t>
      </w:r>
      <w:r w:rsidR="00697605" w:rsidRPr="00697605">
        <w:t xml:space="preserve"> markets.</w:t>
      </w:r>
    </w:p>
    <w:p w14:paraId="3F323431" w14:textId="77777777" w:rsidR="008A09FB" w:rsidRDefault="00697605" w:rsidP="008A09FB">
      <w:pPr>
        <w:pStyle w:val="ListParagraph"/>
        <w:numPr>
          <w:ilvl w:val="1"/>
          <w:numId w:val="6"/>
        </w:numPr>
        <w:spacing w:line="276" w:lineRule="auto"/>
      </w:pPr>
      <w:r>
        <w:t>P</w:t>
      </w:r>
      <w:r w:rsidRPr="00697605">
        <w:t>ioneered the x86 architecture for microprocessors.</w:t>
      </w:r>
    </w:p>
    <w:p w14:paraId="289A7D8E" w14:textId="1035B54C" w:rsidR="00BE26D9" w:rsidRDefault="00BE26D9" w:rsidP="00BE26D9">
      <w:pPr>
        <w:pStyle w:val="ListParagraph"/>
        <w:numPr>
          <w:ilvl w:val="1"/>
          <w:numId w:val="6"/>
        </w:numPr>
        <w:spacing w:line="276" w:lineRule="auto"/>
      </w:pPr>
      <w:r>
        <w:t>Shifting to the cloud has benefitted the server processor business.</w:t>
      </w:r>
    </w:p>
    <w:p w14:paraId="1791BA47" w14:textId="04C6BBA3" w:rsidR="00D61DB9" w:rsidRDefault="00BE26D9" w:rsidP="008A09FB">
      <w:pPr>
        <w:pStyle w:val="ListParagraph"/>
        <w:numPr>
          <w:ilvl w:val="1"/>
          <w:numId w:val="6"/>
        </w:numPr>
        <w:spacing w:line="276" w:lineRule="auto"/>
      </w:pPr>
      <w:r>
        <w:t>E</w:t>
      </w:r>
      <w:r w:rsidR="00697605" w:rsidRPr="00697605">
        <w:t xml:space="preserve">xpanding into </w:t>
      </w:r>
      <w:r>
        <w:t>IoT</w:t>
      </w:r>
      <w:r w:rsidR="00697605" w:rsidRPr="00697605">
        <w:t xml:space="preserve">, </w:t>
      </w:r>
      <w:r>
        <w:t>AI</w:t>
      </w:r>
      <w:r w:rsidR="00697605" w:rsidRPr="00697605">
        <w:t xml:space="preserve"> and automotive.</w:t>
      </w:r>
    </w:p>
    <w:p w14:paraId="20A7FDF0" w14:textId="77777777" w:rsidR="00697605" w:rsidRDefault="00697605" w:rsidP="00697605">
      <w:pPr>
        <w:pStyle w:val="ListParagraph"/>
      </w:pPr>
    </w:p>
    <w:p w14:paraId="55D59FC1" w14:textId="77777777" w:rsidR="008A09FB" w:rsidRPr="008A09FB" w:rsidRDefault="00697605" w:rsidP="00697605">
      <w:pPr>
        <w:pStyle w:val="ListParagraph"/>
        <w:numPr>
          <w:ilvl w:val="0"/>
          <w:numId w:val="6"/>
        </w:numPr>
        <w:spacing w:line="276" w:lineRule="auto"/>
      </w:pPr>
      <w:r>
        <w:rPr>
          <w:b/>
          <w:bCs/>
          <w:i/>
          <w:iCs/>
        </w:rPr>
        <w:t>Marvell Technology (</w:t>
      </w:r>
      <w:r w:rsidRPr="00697605">
        <w:rPr>
          <w:b/>
          <w:bCs/>
          <w:i/>
          <w:iCs/>
        </w:rPr>
        <w:t>MRVL</w:t>
      </w:r>
      <w:r>
        <w:rPr>
          <w:b/>
          <w:bCs/>
          <w:i/>
          <w:iCs/>
        </w:rPr>
        <w:t>)</w:t>
      </w:r>
    </w:p>
    <w:p w14:paraId="236D591D" w14:textId="77777777" w:rsidR="008A09FB" w:rsidRDefault="00697605" w:rsidP="008A09FB">
      <w:pPr>
        <w:pStyle w:val="ListParagraph"/>
        <w:numPr>
          <w:ilvl w:val="1"/>
          <w:numId w:val="6"/>
        </w:numPr>
        <w:spacing w:line="276" w:lineRule="auto"/>
      </w:pPr>
      <w:r>
        <w:t>F</w:t>
      </w:r>
      <w:r w:rsidRPr="00697605">
        <w:t>abless chip designer focused on wired networking, where it has the second-highest market share.</w:t>
      </w:r>
    </w:p>
    <w:p w14:paraId="526E3272" w14:textId="6F9E47D2" w:rsidR="00697605" w:rsidRDefault="008A09FB" w:rsidP="008A09FB">
      <w:pPr>
        <w:pStyle w:val="ListParagraph"/>
        <w:numPr>
          <w:ilvl w:val="1"/>
          <w:numId w:val="6"/>
        </w:numPr>
        <w:spacing w:line="276" w:lineRule="auto"/>
      </w:pPr>
      <w:r>
        <w:t>S</w:t>
      </w:r>
      <w:r w:rsidR="00697605" w:rsidRPr="00697605">
        <w:t xml:space="preserve">erves the data </w:t>
      </w:r>
      <w:r w:rsidR="00697605" w:rsidRPr="00697605">
        <w:t>centre</w:t>
      </w:r>
      <w:r w:rsidR="00697605" w:rsidRPr="00697605">
        <w:t>, carrier, enterprise, automotive and consumer end markets with processors, optical and copper transceivers, switches, and storage controllers.</w:t>
      </w:r>
    </w:p>
    <w:p w14:paraId="4694117A" w14:textId="77777777" w:rsidR="00697605" w:rsidRDefault="00697605" w:rsidP="00697605">
      <w:pPr>
        <w:pStyle w:val="ListParagraph"/>
      </w:pPr>
    </w:p>
    <w:p w14:paraId="10077C55" w14:textId="77777777" w:rsidR="008A09FB" w:rsidRDefault="00A961AB" w:rsidP="00D731DA">
      <w:pPr>
        <w:pStyle w:val="ListParagraph"/>
        <w:numPr>
          <w:ilvl w:val="0"/>
          <w:numId w:val="6"/>
        </w:numPr>
        <w:spacing w:line="276" w:lineRule="auto"/>
      </w:pPr>
      <w:r w:rsidRPr="00A961AB">
        <w:rPr>
          <w:b/>
          <w:bCs/>
          <w:i/>
          <w:iCs/>
        </w:rPr>
        <w:t>Lattice Semiconductor (LSCC)</w:t>
      </w:r>
    </w:p>
    <w:p w14:paraId="7CA449F0" w14:textId="77777777" w:rsidR="00CA3E87" w:rsidRDefault="00A961AB" w:rsidP="008A09FB">
      <w:pPr>
        <w:pStyle w:val="ListParagraph"/>
        <w:numPr>
          <w:ilvl w:val="1"/>
          <w:numId w:val="6"/>
        </w:numPr>
        <w:spacing w:line="276" w:lineRule="auto"/>
      </w:pPr>
      <w:r>
        <w:t>Se</w:t>
      </w:r>
      <w:r w:rsidRPr="00A961AB">
        <w:t xml:space="preserve">miconductor </w:t>
      </w:r>
      <w:r>
        <w:t xml:space="preserve">developer for </w:t>
      </w:r>
      <w:r w:rsidRPr="00A961AB">
        <w:t>programmable logic devices, video connectivity application-specific standard products and wave devices</w:t>
      </w:r>
      <w:r>
        <w:t xml:space="preserve"> that</w:t>
      </w:r>
      <w:r w:rsidRPr="00A961AB">
        <w:t xml:space="preserve"> enable to build technology </w:t>
      </w:r>
      <w:r>
        <w:t>with more</w:t>
      </w:r>
      <w:r w:rsidRPr="00A961AB">
        <w:t xml:space="preserve"> computing power, higher resolution video, and reduced energy consumption.</w:t>
      </w:r>
    </w:p>
    <w:p w14:paraId="64C5BCC1" w14:textId="77777777" w:rsidR="00CA3E87" w:rsidRDefault="00A961AB" w:rsidP="008A09FB">
      <w:pPr>
        <w:pStyle w:val="ListParagraph"/>
        <w:numPr>
          <w:ilvl w:val="1"/>
          <w:numId w:val="6"/>
        </w:numPr>
        <w:spacing w:line="276" w:lineRule="auto"/>
      </w:pPr>
      <w:r w:rsidRPr="00A961AB">
        <w:t>Customers in the industrial and communication market are aided with data gathering, higher bandwidth, and increased reliability for their products.</w:t>
      </w:r>
    </w:p>
    <w:p w14:paraId="0BD0CD81" w14:textId="34AC260B" w:rsidR="00CA3E87" w:rsidRDefault="00A961AB" w:rsidP="00CA3E87">
      <w:pPr>
        <w:pStyle w:val="ListParagraph"/>
        <w:numPr>
          <w:ilvl w:val="1"/>
          <w:numId w:val="6"/>
        </w:numPr>
        <w:spacing w:line="276" w:lineRule="auto"/>
      </w:pPr>
      <w:r>
        <w:t>P</w:t>
      </w:r>
      <w:r w:rsidRPr="00A961AB">
        <w:t>roducts are offered globally</w:t>
      </w:r>
      <w:r>
        <w:t xml:space="preserve"> but</w:t>
      </w:r>
      <w:r w:rsidRPr="00A961AB">
        <w:t xml:space="preserve"> </w:t>
      </w:r>
      <w:r w:rsidR="00D731DA" w:rsidRPr="00A961AB">
        <w:t>most</w:t>
      </w:r>
      <w:r w:rsidRPr="00A961AB">
        <w:t xml:space="preserve"> sales are derived from Asia.</w:t>
      </w:r>
    </w:p>
    <w:p w14:paraId="4F9B09FA" w14:textId="3B222BF4" w:rsidR="00D731DA" w:rsidRDefault="00D731DA" w:rsidP="00D731DA">
      <w:pPr>
        <w:spacing w:line="276" w:lineRule="auto"/>
      </w:pPr>
      <w:r w:rsidRPr="00D731DA">
        <w:rPr>
          <w:b/>
          <w:bCs/>
          <w:i/>
          <w:iCs/>
        </w:rPr>
        <w:lastRenderedPageBreak/>
        <w:t xml:space="preserve">Pfizer </w:t>
      </w:r>
      <w:r>
        <w:rPr>
          <w:b/>
          <w:bCs/>
          <w:i/>
          <w:iCs/>
        </w:rPr>
        <w:t>(PFE)</w:t>
      </w:r>
      <w:r>
        <w:rPr>
          <w:b/>
          <w:bCs/>
          <w:i/>
          <w:iCs/>
        </w:rPr>
        <w:br/>
      </w:r>
      <w:r>
        <w:t>One</w:t>
      </w:r>
      <w:r w:rsidRPr="00D731DA">
        <w:t xml:space="preserve"> of the world's largest pharmaceutical firms, with annual sales close to $50 billion (excluding COVID-19 produc</w:t>
      </w:r>
      <w:r w:rsidR="00BB16AD">
        <w:t>ts</w:t>
      </w:r>
      <w:r w:rsidRPr="00D731DA">
        <w:t>).</w:t>
      </w:r>
      <w:r>
        <w:t xml:space="preserve"> P</w:t>
      </w:r>
      <w:r w:rsidRPr="00D731DA">
        <w:t xml:space="preserve">rescription drugs and vaccines account for </w:t>
      </w:r>
      <w:proofErr w:type="gramStart"/>
      <w:r w:rsidRPr="00D731DA">
        <w:t>the majority of</w:t>
      </w:r>
      <w:proofErr w:type="gramEnd"/>
      <w:r w:rsidRPr="00D731DA">
        <w:t xml:space="preserve"> sales. Pfizer sells these products globally, with international sales representing close to 50% of its total sales. Within international sales, emerging markets are a major contributor.</w:t>
      </w:r>
    </w:p>
    <w:p w14:paraId="57264D40" w14:textId="26C4A639" w:rsidR="00D731DA" w:rsidRDefault="00D731DA" w:rsidP="00D731DA">
      <w:pPr>
        <w:spacing w:line="276" w:lineRule="auto"/>
      </w:pPr>
    </w:p>
    <w:p w14:paraId="612999BE" w14:textId="4EA18E80" w:rsidR="00D731DA" w:rsidRPr="00D731DA" w:rsidRDefault="00D731DA" w:rsidP="00D731DA">
      <w:pPr>
        <w:spacing w:line="276" w:lineRule="auto"/>
      </w:pPr>
      <w:r>
        <w:rPr>
          <w:i/>
          <w:iCs/>
        </w:rPr>
        <w:t>Sector</w:t>
      </w:r>
      <w:r>
        <w:rPr>
          <w:i/>
          <w:iCs/>
        </w:rPr>
        <w:tab/>
      </w:r>
      <w:r>
        <w:rPr>
          <w:i/>
          <w:iCs/>
        </w:rPr>
        <w:tab/>
      </w:r>
      <w:r>
        <w:t>Healthcare</w:t>
      </w:r>
    </w:p>
    <w:p w14:paraId="0DF9ADF1" w14:textId="0CC9672F" w:rsidR="00D731DA" w:rsidRPr="00A21A10" w:rsidRDefault="00D731DA" w:rsidP="00D731DA">
      <w:pPr>
        <w:spacing w:line="276" w:lineRule="auto"/>
      </w:pPr>
      <w:r>
        <w:rPr>
          <w:i/>
          <w:iCs/>
        </w:rPr>
        <w:t>Industry</w:t>
      </w:r>
      <w:r>
        <w:rPr>
          <w:i/>
          <w:iCs/>
        </w:rPr>
        <w:tab/>
      </w:r>
      <w:r>
        <w:t>Drug Manufacturing – General Industry</w:t>
      </w:r>
    </w:p>
    <w:p w14:paraId="030FF479" w14:textId="662AD6BC" w:rsidR="00D731DA" w:rsidRDefault="00D731DA" w:rsidP="00D731DA">
      <w:pPr>
        <w:spacing w:line="276" w:lineRule="auto"/>
        <w:rPr>
          <w:b/>
          <w:bCs/>
          <w:i/>
          <w:iCs/>
        </w:rPr>
      </w:pPr>
    </w:p>
    <w:p w14:paraId="0DA45E02" w14:textId="77777777" w:rsidR="00A21A10" w:rsidRPr="00A21A10" w:rsidRDefault="00D731DA" w:rsidP="00D731DA">
      <w:pPr>
        <w:pStyle w:val="ListParagraph"/>
        <w:numPr>
          <w:ilvl w:val="0"/>
          <w:numId w:val="6"/>
        </w:numPr>
        <w:spacing w:line="276" w:lineRule="auto"/>
      </w:pPr>
      <w:r>
        <w:rPr>
          <w:b/>
          <w:bCs/>
          <w:i/>
          <w:iCs/>
        </w:rPr>
        <w:t>Johnson &amp; Johnson</w:t>
      </w:r>
      <w:r>
        <w:rPr>
          <w:b/>
          <w:bCs/>
          <w:i/>
          <w:iCs/>
        </w:rPr>
        <w:t xml:space="preserve"> (</w:t>
      </w:r>
      <w:r>
        <w:rPr>
          <w:b/>
          <w:bCs/>
          <w:i/>
          <w:iCs/>
        </w:rPr>
        <w:t>JNJ</w:t>
      </w:r>
      <w:r>
        <w:rPr>
          <w:b/>
          <w:bCs/>
          <w:i/>
          <w:iCs/>
        </w:rPr>
        <w:t>)</w:t>
      </w:r>
    </w:p>
    <w:p w14:paraId="1F1A5FD6" w14:textId="77777777" w:rsidR="00A21A10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W</w:t>
      </w:r>
      <w:r w:rsidR="00D731DA" w:rsidRPr="00D731DA">
        <w:t>orld's largest and most diverse healthcare firm.</w:t>
      </w:r>
    </w:p>
    <w:p w14:paraId="45F2D7AF" w14:textId="57EB190C" w:rsidR="00A21A10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D</w:t>
      </w:r>
      <w:r w:rsidR="00D731DA" w:rsidRPr="00D731DA">
        <w:t xml:space="preserve">rug and device groups represent close to 80% of sales and drive </w:t>
      </w:r>
      <w:proofErr w:type="gramStart"/>
      <w:r w:rsidR="00D731DA" w:rsidRPr="00D731DA">
        <w:t>the majority of</w:t>
      </w:r>
      <w:proofErr w:type="gramEnd"/>
      <w:r w:rsidR="00D731DA" w:rsidRPr="00D731DA">
        <w:t xml:space="preserve"> cash flows for the firm</w:t>
      </w:r>
      <w:r w:rsidR="00D731DA">
        <w:t xml:space="preserve"> and focuses on different </w:t>
      </w:r>
      <w:r w:rsidR="00D731DA" w:rsidRPr="00D731DA">
        <w:t>therapeutic areas</w:t>
      </w:r>
      <w:r w:rsidR="00D731DA">
        <w:t>.</w:t>
      </w:r>
    </w:p>
    <w:p w14:paraId="12353C1D" w14:textId="6423A160" w:rsidR="00D731DA" w:rsidRDefault="00D731DA" w:rsidP="00A21A10">
      <w:pPr>
        <w:pStyle w:val="ListParagraph"/>
        <w:numPr>
          <w:ilvl w:val="1"/>
          <w:numId w:val="6"/>
        </w:numPr>
        <w:spacing w:line="276" w:lineRule="auto"/>
      </w:pPr>
      <w:r>
        <w:t>J</w:t>
      </w:r>
      <w:r w:rsidRPr="00D731DA">
        <w:t>ust over half of total revenue is generated in the United States.</w:t>
      </w:r>
    </w:p>
    <w:p w14:paraId="1F4FDC5C" w14:textId="77777777" w:rsidR="00D731DA" w:rsidRDefault="00D731DA" w:rsidP="00D731DA">
      <w:pPr>
        <w:pStyle w:val="ListParagraph"/>
      </w:pPr>
    </w:p>
    <w:p w14:paraId="050CC9AE" w14:textId="77777777" w:rsidR="00A21A10" w:rsidRDefault="00D731DA" w:rsidP="00D731DA">
      <w:pPr>
        <w:pStyle w:val="ListParagraph"/>
        <w:numPr>
          <w:ilvl w:val="0"/>
          <w:numId w:val="6"/>
        </w:numPr>
        <w:spacing w:line="276" w:lineRule="auto"/>
      </w:pPr>
      <w:r w:rsidRPr="00D731DA">
        <w:rPr>
          <w:b/>
          <w:bCs/>
          <w:i/>
          <w:iCs/>
        </w:rPr>
        <w:t>Merck</w:t>
      </w:r>
      <w:r w:rsidRPr="00D731DA">
        <w:rPr>
          <w:b/>
          <w:bCs/>
          <w:i/>
          <w:iCs/>
        </w:rPr>
        <w:t xml:space="preserve"> (</w:t>
      </w:r>
      <w:r w:rsidRPr="00D731DA">
        <w:rPr>
          <w:b/>
          <w:bCs/>
          <w:i/>
          <w:iCs/>
        </w:rPr>
        <w:t>MRK</w:t>
      </w:r>
      <w:r w:rsidRPr="00D731DA">
        <w:rPr>
          <w:b/>
          <w:bCs/>
          <w:i/>
          <w:iCs/>
        </w:rPr>
        <w:t>)</w:t>
      </w:r>
    </w:p>
    <w:p w14:paraId="093B7235" w14:textId="1F1AAD37" w:rsidR="00A21A10" w:rsidRDefault="00D731DA" w:rsidP="00A21A10">
      <w:pPr>
        <w:pStyle w:val="ListParagraph"/>
        <w:numPr>
          <w:ilvl w:val="1"/>
          <w:numId w:val="6"/>
        </w:numPr>
        <w:spacing w:line="276" w:lineRule="auto"/>
      </w:pPr>
      <w:r>
        <w:t>Makes</w:t>
      </w:r>
      <w:r w:rsidRPr="00D731DA">
        <w:t xml:space="preserve"> </w:t>
      </w:r>
      <w:r w:rsidR="00BB16AD">
        <w:t>drugs</w:t>
      </w:r>
      <w:r w:rsidRPr="00D731DA">
        <w:t xml:space="preserve"> to treat several conditions in </w:t>
      </w:r>
      <w:r w:rsidR="00AC38F1" w:rsidRPr="00D731DA">
        <w:t>several</w:t>
      </w:r>
      <w:r w:rsidRPr="00D731DA">
        <w:t xml:space="preserve"> therapeutic areas</w:t>
      </w:r>
      <w:r>
        <w:t>.</w:t>
      </w:r>
    </w:p>
    <w:p w14:paraId="31C9F0BF" w14:textId="62E419CE" w:rsidR="00A21A10" w:rsidRDefault="00D731DA" w:rsidP="00A21A10">
      <w:pPr>
        <w:pStyle w:val="ListParagraph"/>
        <w:numPr>
          <w:ilvl w:val="1"/>
          <w:numId w:val="6"/>
        </w:numPr>
        <w:spacing w:line="276" w:lineRule="auto"/>
      </w:pPr>
      <w:r>
        <w:t>T</w:t>
      </w:r>
      <w:r w:rsidRPr="00D731DA">
        <w:t>he immuno-oncology platform is growing as a major contributor to overall sale</w:t>
      </w:r>
      <w:r w:rsidR="00A21A10">
        <w:t xml:space="preserve">s, in addition to </w:t>
      </w:r>
      <w:r w:rsidRPr="00D731DA">
        <w:t>a substantial vaccine business</w:t>
      </w:r>
      <w:r w:rsidR="00A21A10">
        <w:t>.</w:t>
      </w:r>
    </w:p>
    <w:p w14:paraId="3859AA39" w14:textId="77777777" w:rsidR="00A21A10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 xml:space="preserve">The firm also </w:t>
      </w:r>
      <w:r w:rsidR="00D731DA" w:rsidRPr="00D731DA">
        <w:t xml:space="preserve">sells animal health-related drugs. </w:t>
      </w:r>
    </w:p>
    <w:p w14:paraId="15E7D90F" w14:textId="658B9ED8" w:rsidR="00D731DA" w:rsidRDefault="00D731DA" w:rsidP="00A21A10">
      <w:pPr>
        <w:pStyle w:val="ListParagraph"/>
        <w:numPr>
          <w:ilvl w:val="1"/>
          <w:numId w:val="6"/>
        </w:numPr>
        <w:spacing w:line="276" w:lineRule="auto"/>
      </w:pPr>
      <w:r>
        <w:t>J</w:t>
      </w:r>
      <w:r w:rsidRPr="00D731DA">
        <w:t>ust under half of the company's sales are generated in the United States.</w:t>
      </w:r>
    </w:p>
    <w:p w14:paraId="65851108" w14:textId="77777777" w:rsidR="00D731DA" w:rsidRDefault="00D731DA" w:rsidP="00D731DA">
      <w:pPr>
        <w:pStyle w:val="ListParagraph"/>
      </w:pPr>
    </w:p>
    <w:p w14:paraId="277619DE" w14:textId="77777777" w:rsidR="00A21A10" w:rsidRPr="00A21A10" w:rsidRDefault="004E06FE" w:rsidP="004E06FE">
      <w:pPr>
        <w:pStyle w:val="ListParagraph"/>
        <w:numPr>
          <w:ilvl w:val="0"/>
          <w:numId w:val="6"/>
        </w:numPr>
        <w:spacing w:line="276" w:lineRule="auto"/>
      </w:pPr>
      <w:proofErr w:type="spellStart"/>
      <w:r>
        <w:rPr>
          <w:b/>
          <w:bCs/>
          <w:i/>
          <w:iCs/>
        </w:rPr>
        <w:t>Astrazeneca</w:t>
      </w:r>
      <w:proofErr w:type="spellEnd"/>
      <w:r>
        <w:rPr>
          <w:b/>
          <w:bCs/>
          <w:i/>
          <w:iCs/>
        </w:rPr>
        <w:t xml:space="preserve"> (AZN)</w:t>
      </w:r>
    </w:p>
    <w:p w14:paraId="4D0888D7" w14:textId="77777777" w:rsidR="00A21A10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S</w:t>
      </w:r>
      <w:r w:rsidR="004E06FE" w:rsidRPr="004E06FE">
        <w:t xml:space="preserve">ells branded drugs across several major therapeutic classes, including gastrointestinal, diabetes, cardiovascular, respiratory, cancer, </w:t>
      </w:r>
      <w:proofErr w:type="gramStart"/>
      <w:r w:rsidR="004E06FE" w:rsidRPr="004E06FE">
        <w:t>immunology</w:t>
      </w:r>
      <w:proofErr w:type="gramEnd"/>
      <w:r w:rsidR="004E06FE" w:rsidRPr="004E06FE">
        <w:t xml:space="preserve"> and rare diseases.</w:t>
      </w:r>
    </w:p>
    <w:p w14:paraId="38335846" w14:textId="6BD4E336" w:rsidR="004E06FE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M</w:t>
      </w:r>
      <w:r w:rsidR="004E06FE" w:rsidRPr="004E06FE">
        <w:t>ajority of sales come from international markets with the United States representing close to one-third of its sales.</w:t>
      </w:r>
    </w:p>
    <w:p w14:paraId="2FF37822" w14:textId="77777777" w:rsidR="004E06FE" w:rsidRDefault="004E06FE" w:rsidP="004E06FE">
      <w:pPr>
        <w:pStyle w:val="ListParagraph"/>
      </w:pPr>
    </w:p>
    <w:p w14:paraId="5833EF0B" w14:textId="77777777" w:rsidR="00A21A10" w:rsidRPr="00A21A10" w:rsidRDefault="004E06FE" w:rsidP="004E06FE">
      <w:pPr>
        <w:pStyle w:val="ListParagraph"/>
        <w:numPr>
          <w:ilvl w:val="0"/>
          <w:numId w:val="6"/>
        </w:numPr>
        <w:spacing w:line="276" w:lineRule="auto"/>
      </w:pPr>
      <w:r>
        <w:rPr>
          <w:b/>
          <w:bCs/>
          <w:i/>
          <w:iCs/>
        </w:rPr>
        <w:t>Novartis (NVS)</w:t>
      </w:r>
    </w:p>
    <w:p w14:paraId="7A809A2E" w14:textId="77777777" w:rsidR="00A21A10" w:rsidRDefault="004E06FE" w:rsidP="00A21A10">
      <w:pPr>
        <w:pStyle w:val="ListParagraph"/>
        <w:numPr>
          <w:ilvl w:val="1"/>
          <w:numId w:val="6"/>
        </w:numPr>
        <w:spacing w:line="276" w:lineRule="auto"/>
      </w:pPr>
      <w:r>
        <w:t>Develops</w:t>
      </w:r>
      <w:r w:rsidRPr="004E06FE">
        <w:t xml:space="preserve"> and manufactures healthcare products</w:t>
      </w:r>
      <w:r>
        <w:t>.</w:t>
      </w:r>
    </w:p>
    <w:p w14:paraId="509492FC" w14:textId="02B1B98B" w:rsidR="00A21A10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G</w:t>
      </w:r>
      <w:r w:rsidR="004E06FE" w:rsidRPr="004E06FE">
        <w:t xml:space="preserve">enerates </w:t>
      </w:r>
      <w:r w:rsidR="00CA3E87" w:rsidRPr="004E06FE">
        <w:t>most of</w:t>
      </w:r>
      <w:r w:rsidR="004E06FE" w:rsidRPr="004E06FE">
        <w:t xml:space="preserve"> its revenue from Innovative Medicines segment consisting global business franchises in oncology, ophthalmology, neuroscience, immunology, respiratory, cardio-metabolic, and established medicines.</w:t>
      </w:r>
    </w:p>
    <w:p w14:paraId="28BB2E7F" w14:textId="52D1E11A" w:rsidR="004E06FE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S</w:t>
      </w:r>
      <w:r w:rsidR="004E06FE" w:rsidRPr="004E06FE">
        <w:t xml:space="preserve">ells globally, with the </w:t>
      </w:r>
      <w:r>
        <w:t>US</w:t>
      </w:r>
      <w:r w:rsidR="004E06FE" w:rsidRPr="004E06FE">
        <w:t xml:space="preserve"> representing close to one third of total revenue.</w:t>
      </w:r>
    </w:p>
    <w:p w14:paraId="747D00E8" w14:textId="77777777" w:rsidR="004E06FE" w:rsidRDefault="004E06FE" w:rsidP="004E06FE">
      <w:pPr>
        <w:pStyle w:val="ListParagraph"/>
      </w:pPr>
    </w:p>
    <w:p w14:paraId="3FD413F6" w14:textId="77777777" w:rsidR="00A21A10" w:rsidRDefault="004E06FE" w:rsidP="00243206">
      <w:pPr>
        <w:pStyle w:val="ListParagraph"/>
        <w:numPr>
          <w:ilvl w:val="0"/>
          <w:numId w:val="6"/>
        </w:numPr>
        <w:spacing w:line="276" w:lineRule="auto"/>
      </w:pPr>
      <w:r w:rsidRPr="004E06FE">
        <w:rPr>
          <w:b/>
          <w:bCs/>
          <w:i/>
          <w:iCs/>
        </w:rPr>
        <w:t>Bristol-Myers Squibb Company (BMY)</w:t>
      </w:r>
    </w:p>
    <w:p w14:paraId="7F994043" w14:textId="77777777" w:rsidR="00A21A10" w:rsidRDefault="004E06FE" w:rsidP="00A21A10">
      <w:pPr>
        <w:pStyle w:val="ListParagraph"/>
        <w:numPr>
          <w:ilvl w:val="1"/>
          <w:numId w:val="6"/>
        </w:numPr>
        <w:spacing w:line="276" w:lineRule="auto"/>
      </w:pPr>
      <w:r>
        <w:t>D</w:t>
      </w:r>
      <w:r w:rsidRPr="004E06FE">
        <w:t xml:space="preserve">iscovers, </w:t>
      </w:r>
      <w:proofErr w:type="gramStart"/>
      <w:r w:rsidRPr="004E06FE">
        <w:t>develops</w:t>
      </w:r>
      <w:proofErr w:type="gramEnd"/>
      <w:r w:rsidRPr="004E06FE">
        <w:t xml:space="preserve"> and markets drugs for various therapeutic areas, such as cardiovascular, cancer, and immune disorders. </w:t>
      </w:r>
    </w:p>
    <w:p w14:paraId="0C4801AC" w14:textId="77777777" w:rsidR="00A21A10" w:rsidRDefault="00A21A10" w:rsidP="00A21A10">
      <w:pPr>
        <w:pStyle w:val="ListParagraph"/>
        <w:numPr>
          <w:ilvl w:val="1"/>
          <w:numId w:val="6"/>
        </w:numPr>
        <w:spacing w:line="276" w:lineRule="auto"/>
      </w:pPr>
      <w:r>
        <w:t>L</w:t>
      </w:r>
      <w:r w:rsidR="004E06FE" w:rsidRPr="004E06FE">
        <w:t>eader in drug development</w:t>
      </w:r>
      <w:r w:rsidR="004E06FE">
        <w:t xml:space="preserve"> for immuno-oncology</w:t>
      </w:r>
      <w:r w:rsidR="004E06FE" w:rsidRPr="004E06FE">
        <w:t>.</w:t>
      </w:r>
    </w:p>
    <w:p w14:paraId="1B21A328" w14:textId="50421E3E" w:rsidR="004E06FE" w:rsidRPr="00D731DA" w:rsidRDefault="004E06FE" w:rsidP="00A21A10">
      <w:pPr>
        <w:pStyle w:val="ListParagraph"/>
        <w:numPr>
          <w:ilvl w:val="1"/>
          <w:numId w:val="6"/>
        </w:numPr>
        <w:spacing w:line="276" w:lineRule="auto"/>
      </w:pPr>
      <w:r>
        <w:t>D</w:t>
      </w:r>
      <w:r w:rsidRPr="004E06FE">
        <w:t>erives close to 70% of total sales from the US</w:t>
      </w:r>
      <w:r w:rsidR="00A21A10">
        <w:t>.</w:t>
      </w:r>
    </w:p>
    <w:sectPr w:rsidR="004E06FE" w:rsidRPr="00D731DA" w:rsidSect="0034619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374B7"/>
    <w:multiLevelType w:val="hybridMultilevel"/>
    <w:tmpl w:val="6B94A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07732"/>
    <w:multiLevelType w:val="hybridMultilevel"/>
    <w:tmpl w:val="F6E2E2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036603D"/>
    <w:multiLevelType w:val="hybridMultilevel"/>
    <w:tmpl w:val="A5620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C4A45"/>
    <w:multiLevelType w:val="hybridMultilevel"/>
    <w:tmpl w:val="141264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11101"/>
    <w:multiLevelType w:val="hybridMultilevel"/>
    <w:tmpl w:val="1650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424E5"/>
    <w:multiLevelType w:val="hybridMultilevel"/>
    <w:tmpl w:val="280E1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A6FEB"/>
    <w:multiLevelType w:val="hybridMultilevel"/>
    <w:tmpl w:val="A46E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603FC0"/>
    <w:multiLevelType w:val="hybridMultilevel"/>
    <w:tmpl w:val="F7AA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98"/>
    <w:rsid w:val="00072EB8"/>
    <w:rsid w:val="00101338"/>
    <w:rsid w:val="001924E0"/>
    <w:rsid w:val="0034619E"/>
    <w:rsid w:val="00493D03"/>
    <w:rsid w:val="00496399"/>
    <w:rsid w:val="004E06FE"/>
    <w:rsid w:val="005C7414"/>
    <w:rsid w:val="00697605"/>
    <w:rsid w:val="006C666F"/>
    <w:rsid w:val="007C1474"/>
    <w:rsid w:val="008A09FB"/>
    <w:rsid w:val="009E5F46"/>
    <w:rsid w:val="009F4BB9"/>
    <w:rsid w:val="00A21A10"/>
    <w:rsid w:val="00A814F7"/>
    <w:rsid w:val="00A961AB"/>
    <w:rsid w:val="00AC38F1"/>
    <w:rsid w:val="00AD1348"/>
    <w:rsid w:val="00B657E4"/>
    <w:rsid w:val="00BB16AD"/>
    <w:rsid w:val="00BE26D9"/>
    <w:rsid w:val="00CA1D61"/>
    <w:rsid w:val="00CA3E87"/>
    <w:rsid w:val="00D61DB9"/>
    <w:rsid w:val="00D731DA"/>
    <w:rsid w:val="00E00598"/>
    <w:rsid w:val="00FC719F"/>
    <w:rsid w:val="00FF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F966A"/>
  <w15:chartTrackingRefBased/>
  <w15:docId w15:val="{6426B604-57F1-E149-9E7D-39F08CD5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05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CA1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Rapicano</dc:creator>
  <cp:keywords/>
  <dc:description/>
  <cp:lastModifiedBy>David Rapicano</cp:lastModifiedBy>
  <cp:revision>4</cp:revision>
  <dcterms:created xsi:type="dcterms:W3CDTF">2023-06-08T22:35:00Z</dcterms:created>
  <dcterms:modified xsi:type="dcterms:W3CDTF">2023-06-09T08:45:00Z</dcterms:modified>
</cp:coreProperties>
</file>