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7AA2" w14:textId="4E595E57" w:rsidR="007623BB" w:rsidRPr="00ED0700" w:rsidRDefault="007623BB" w:rsidP="007623B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D0700">
        <w:rPr>
          <w:rFonts w:ascii="Calibri" w:hAnsi="Calibri" w:cs="Calibri"/>
          <w:b/>
          <w:bCs/>
          <w:color w:val="000000" w:themeColor="text1"/>
          <w:sz w:val="22"/>
          <w:szCs w:val="22"/>
        </w:rPr>
        <w:t>MARRIOTT INTERNATIONAL</w:t>
      </w:r>
    </w:p>
    <w:p w14:paraId="1B53428F" w14:textId="5198EC40" w:rsidR="00797165" w:rsidRDefault="00797165" w:rsidP="00797165">
      <w:pPr>
        <w:rPr>
          <w:rFonts w:ascii="Calibri" w:hAnsi="Calibri" w:cs="Calibri"/>
          <w:i/>
          <w:iCs/>
          <w:color w:val="C00000"/>
          <w:sz w:val="22"/>
          <w:szCs w:val="22"/>
        </w:rPr>
      </w:pPr>
    </w:p>
    <w:p w14:paraId="72AC3687" w14:textId="26267165" w:rsidR="00B6530C" w:rsidRPr="00B6530C" w:rsidRDefault="00B6530C" w:rsidP="007971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Marriot operates a fee-driven, asset-light business model.</w:t>
      </w:r>
      <w:r w:rsidR="00307731">
        <w:rPr>
          <w:rFonts w:ascii="Calibri" w:hAnsi="Calibri" w:cs="Calibri"/>
          <w:sz w:val="22"/>
          <w:szCs w:val="22"/>
        </w:rPr>
        <w:t xml:space="preserve"> The main drivers are:</w:t>
      </w:r>
    </w:p>
    <w:p w14:paraId="20BB6EDE" w14:textId="77777777" w:rsidR="00B6530C" w:rsidRPr="00ED0700" w:rsidRDefault="00B6530C" w:rsidP="00797165">
      <w:pPr>
        <w:rPr>
          <w:rFonts w:ascii="Calibri" w:hAnsi="Calibri" w:cs="Calibri"/>
          <w:i/>
          <w:iCs/>
          <w:color w:val="C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7623BB" w:rsidRPr="00ED0700" w14:paraId="2A1354B7" w14:textId="77777777" w:rsidTr="007623BB">
        <w:tc>
          <w:tcPr>
            <w:tcW w:w="4505" w:type="dxa"/>
          </w:tcPr>
          <w:p w14:paraId="74B5D2C8" w14:textId="77777777" w:rsidR="007623BB" w:rsidRPr="00ED0700" w:rsidRDefault="007623BB" w:rsidP="007623BB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Revenue Drivers:</w:t>
            </w:r>
          </w:p>
          <w:p w14:paraId="7E6432D2" w14:textId="77777777" w:rsidR="007623BB" w:rsidRPr="00ED0700" w:rsidRDefault="007623BB" w:rsidP="007623B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Base Management Fees</w:t>
            </w:r>
          </w:p>
          <w:p w14:paraId="64FE9F58" w14:textId="77777777" w:rsidR="007623BB" w:rsidRPr="00ED0700" w:rsidRDefault="007623BB" w:rsidP="007623B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Franchise Fees</w:t>
            </w:r>
          </w:p>
          <w:p w14:paraId="1733D2F4" w14:textId="77777777" w:rsidR="007623BB" w:rsidRPr="00ED0700" w:rsidRDefault="007623BB" w:rsidP="007623B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Incentive Management Fees</w:t>
            </w:r>
          </w:p>
          <w:p w14:paraId="3A30A844" w14:textId="77777777" w:rsidR="007623BB" w:rsidRPr="00ED0700" w:rsidRDefault="007623BB" w:rsidP="007623B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Owned, Leased and Other</w:t>
            </w:r>
          </w:p>
          <w:p w14:paraId="3675CB49" w14:textId="36CC57B8" w:rsidR="007623BB" w:rsidRPr="00310451" w:rsidRDefault="007623BB" w:rsidP="0031045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Cost Reimbursements</w:t>
            </w:r>
          </w:p>
        </w:tc>
        <w:tc>
          <w:tcPr>
            <w:tcW w:w="4505" w:type="dxa"/>
          </w:tcPr>
          <w:p w14:paraId="56F5E2F3" w14:textId="77777777" w:rsidR="007623BB" w:rsidRPr="00ED0700" w:rsidRDefault="007623BB" w:rsidP="007623BB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Cost Drivers:</w:t>
            </w:r>
          </w:p>
          <w:p w14:paraId="32107A4A" w14:textId="1CC1E72B" w:rsidR="007623BB" w:rsidRPr="00ED0700" w:rsidRDefault="007623BB" w:rsidP="007623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Owned, Leased and other</w:t>
            </w:r>
          </w:p>
          <w:p w14:paraId="3D3045F2" w14:textId="77777777" w:rsidR="007623BB" w:rsidRPr="00ED0700" w:rsidRDefault="007623BB" w:rsidP="007623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Depreciation, Amortization and other</w:t>
            </w:r>
          </w:p>
          <w:p w14:paraId="7FF81F50" w14:textId="77777777" w:rsidR="007623BB" w:rsidRPr="00ED0700" w:rsidRDefault="007623BB" w:rsidP="007623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General, </w:t>
            </w:r>
            <w:proofErr w:type="gramStart"/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Administrative</w:t>
            </w:r>
            <w:proofErr w:type="gramEnd"/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other</w:t>
            </w:r>
          </w:p>
          <w:p w14:paraId="6CD64E6D" w14:textId="77777777" w:rsidR="007623BB" w:rsidRPr="00ED0700" w:rsidRDefault="007623BB" w:rsidP="007623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Restructuring, merger-related charges </w:t>
            </w:r>
          </w:p>
          <w:p w14:paraId="60048FF3" w14:textId="55ED8D28" w:rsidR="007623BB" w:rsidRPr="00310451" w:rsidRDefault="007623BB" w:rsidP="0031045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Reimbursed expenses</w:t>
            </w:r>
          </w:p>
        </w:tc>
      </w:tr>
    </w:tbl>
    <w:p w14:paraId="3AD6EC07" w14:textId="2D587E99" w:rsidR="005D2A7D" w:rsidRDefault="005D2A7D">
      <w:pPr>
        <w:rPr>
          <w:rFonts w:ascii="Calibri" w:hAnsi="Calibri" w:cs="Calibri"/>
          <w:sz w:val="22"/>
          <w:szCs w:val="22"/>
        </w:rPr>
      </w:pPr>
    </w:p>
    <w:p w14:paraId="6886680E" w14:textId="77777777" w:rsidR="00B6530C" w:rsidRPr="00ED0700" w:rsidRDefault="00B6530C">
      <w:pPr>
        <w:rPr>
          <w:rFonts w:ascii="Calibri" w:hAnsi="Calibri" w:cs="Calibri"/>
          <w:sz w:val="22"/>
          <w:szCs w:val="22"/>
        </w:rPr>
      </w:pPr>
    </w:p>
    <w:p w14:paraId="16493E6B" w14:textId="28986697" w:rsidR="00ED0700" w:rsidRPr="00ED0700" w:rsidRDefault="00ED0700">
      <w:pPr>
        <w:rPr>
          <w:rFonts w:ascii="Calibri" w:hAnsi="Calibri" w:cs="Calibri"/>
          <w:sz w:val="22"/>
          <w:szCs w:val="22"/>
        </w:rPr>
      </w:pPr>
      <w:r w:rsidRPr="00ED0700">
        <w:rPr>
          <w:rFonts w:ascii="Calibri" w:hAnsi="Calibri" w:cs="Calibri"/>
          <w:sz w:val="22"/>
          <w:szCs w:val="22"/>
        </w:rPr>
        <w:t xml:space="preserve">The </w:t>
      </w:r>
      <w:r w:rsidR="00307731">
        <w:rPr>
          <w:rFonts w:ascii="Calibri" w:hAnsi="Calibri" w:cs="Calibri"/>
          <w:sz w:val="22"/>
          <w:szCs w:val="22"/>
        </w:rPr>
        <w:t xml:space="preserve">chart below </w:t>
      </w:r>
      <w:r w:rsidRPr="00ED0700">
        <w:rPr>
          <w:rFonts w:ascii="Calibri" w:hAnsi="Calibri" w:cs="Calibri"/>
          <w:sz w:val="22"/>
          <w:szCs w:val="22"/>
        </w:rPr>
        <w:t xml:space="preserve">shows </w:t>
      </w:r>
      <w:r w:rsidR="00307731">
        <w:rPr>
          <w:rFonts w:ascii="Calibri" w:hAnsi="Calibri" w:cs="Calibri"/>
          <w:sz w:val="22"/>
          <w:szCs w:val="22"/>
        </w:rPr>
        <w:t xml:space="preserve">how </w:t>
      </w:r>
      <w:r w:rsidRPr="00ED0700">
        <w:rPr>
          <w:rFonts w:ascii="Calibri" w:hAnsi="Calibri" w:cs="Calibri"/>
          <w:sz w:val="22"/>
          <w:szCs w:val="22"/>
        </w:rPr>
        <w:t xml:space="preserve">the </w:t>
      </w:r>
      <w:r w:rsidR="00396061">
        <w:rPr>
          <w:rFonts w:ascii="Calibri" w:hAnsi="Calibri" w:cs="Calibri"/>
          <w:sz w:val="22"/>
          <w:szCs w:val="22"/>
        </w:rPr>
        <w:t>r</w:t>
      </w:r>
      <w:r w:rsidRPr="00ED0700">
        <w:rPr>
          <w:rFonts w:ascii="Calibri" w:hAnsi="Calibri" w:cs="Calibri"/>
          <w:sz w:val="22"/>
          <w:szCs w:val="22"/>
        </w:rPr>
        <w:t xml:space="preserve">evenue </w:t>
      </w:r>
      <w:r w:rsidR="00396061">
        <w:rPr>
          <w:rFonts w:ascii="Calibri" w:hAnsi="Calibri" w:cs="Calibri"/>
          <w:sz w:val="22"/>
          <w:szCs w:val="22"/>
        </w:rPr>
        <w:t>d</w:t>
      </w:r>
      <w:r w:rsidRPr="00ED0700">
        <w:rPr>
          <w:rFonts w:ascii="Calibri" w:hAnsi="Calibri" w:cs="Calibri"/>
          <w:sz w:val="22"/>
          <w:szCs w:val="22"/>
        </w:rPr>
        <w:t xml:space="preserve">rivers </w:t>
      </w:r>
      <w:r w:rsidR="00307731">
        <w:rPr>
          <w:rFonts w:ascii="Calibri" w:hAnsi="Calibri" w:cs="Calibri"/>
          <w:sz w:val="22"/>
          <w:szCs w:val="22"/>
        </w:rPr>
        <w:t>have changed in</w:t>
      </w:r>
      <w:r w:rsidRPr="00ED0700">
        <w:rPr>
          <w:rFonts w:ascii="Calibri" w:hAnsi="Calibri" w:cs="Calibri"/>
          <w:sz w:val="22"/>
          <w:szCs w:val="22"/>
        </w:rPr>
        <w:t xml:space="preserve"> the three most recent financial years</w:t>
      </w:r>
      <w:r w:rsidR="00307731">
        <w:rPr>
          <w:rFonts w:ascii="Calibri" w:hAnsi="Calibri" w:cs="Calibri"/>
          <w:sz w:val="22"/>
          <w:szCs w:val="22"/>
        </w:rPr>
        <w:t>;</w:t>
      </w:r>
      <w:r w:rsidR="00460E3A">
        <w:rPr>
          <w:rFonts w:ascii="Calibri" w:hAnsi="Calibri" w:cs="Calibri"/>
          <w:sz w:val="22"/>
          <w:szCs w:val="22"/>
        </w:rPr>
        <w:t xml:space="preserve"> </w:t>
      </w:r>
      <w:r w:rsidR="00307731">
        <w:rPr>
          <w:rFonts w:ascii="Calibri" w:hAnsi="Calibri" w:cs="Calibri"/>
          <w:sz w:val="22"/>
          <w:szCs w:val="22"/>
        </w:rPr>
        <w:t xml:space="preserve">figures shown are </w:t>
      </w:r>
      <w:r w:rsidR="00460E3A">
        <w:rPr>
          <w:rFonts w:ascii="Calibri" w:hAnsi="Calibri" w:cs="Calibri"/>
          <w:sz w:val="22"/>
          <w:szCs w:val="22"/>
        </w:rPr>
        <w:t>in million dollars</w:t>
      </w:r>
      <w:r w:rsidR="00307731">
        <w:rPr>
          <w:rFonts w:ascii="Calibri" w:hAnsi="Calibri" w:cs="Calibri"/>
          <w:sz w:val="22"/>
          <w:szCs w:val="22"/>
        </w:rPr>
        <w:t>.</w:t>
      </w:r>
    </w:p>
    <w:p w14:paraId="5FFC1D48" w14:textId="6D6A44A3" w:rsidR="00ED0700" w:rsidRPr="00ED0700" w:rsidRDefault="0084677B">
      <w:pPr>
        <w:rPr>
          <w:rFonts w:ascii="Calibri" w:hAnsi="Calibri" w:cs="Calibri"/>
          <w:noProof/>
          <w:sz w:val="22"/>
          <w:szCs w:val="22"/>
        </w:rPr>
      </w:pPr>
      <w:r w:rsidRPr="00ED070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DB78F17" wp14:editId="3247393D">
            <wp:extent cx="5727700" cy="2869659"/>
            <wp:effectExtent l="0" t="0" r="12700" b="1333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F4D9D8-8888-E545-9FC7-F3B5A3E972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ED0700" w:rsidRPr="00ED0700">
        <w:rPr>
          <w:rFonts w:ascii="Calibri" w:hAnsi="Calibri" w:cs="Calibri"/>
          <w:noProof/>
          <w:sz w:val="22"/>
          <w:szCs w:val="22"/>
        </w:rPr>
        <w:t xml:space="preserve"> </w:t>
      </w:r>
    </w:p>
    <w:p w14:paraId="4166FA94" w14:textId="46D4D29A" w:rsidR="002D4CF5" w:rsidRDefault="002D4CF5">
      <w:pPr>
        <w:rPr>
          <w:rFonts w:ascii="Calibri" w:hAnsi="Calibri" w:cs="Calibri"/>
          <w:noProof/>
          <w:sz w:val="22"/>
          <w:szCs w:val="22"/>
        </w:rPr>
      </w:pPr>
    </w:p>
    <w:p w14:paraId="6DA02C8B" w14:textId="77777777" w:rsidR="002D4CF5" w:rsidRPr="00ED0700" w:rsidRDefault="002D4CF5">
      <w:pPr>
        <w:rPr>
          <w:rFonts w:ascii="Calibri" w:hAnsi="Calibri" w:cs="Calibri"/>
          <w:noProof/>
          <w:sz w:val="22"/>
          <w:szCs w:val="22"/>
        </w:rPr>
      </w:pPr>
    </w:p>
    <w:p w14:paraId="4D93A64F" w14:textId="16AD1D0F" w:rsidR="00D0564E" w:rsidRPr="00ED0700" w:rsidRDefault="00ED0700">
      <w:pPr>
        <w:rPr>
          <w:rFonts w:ascii="Calibri" w:hAnsi="Calibri" w:cs="Calibri"/>
          <w:noProof/>
          <w:sz w:val="22"/>
          <w:szCs w:val="22"/>
        </w:rPr>
      </w:pPr>
      <w:r w:rsidRPr="00ED0700">
        <w:rPr>
          <w:rFonts w:ascii="Calibri" w:hAnsi="Calibri" w:cs="Calibri"/>
          <w:noProof/>
          <w:sz w:val="22"/>
          <w:szCs w:val="22"/>
        </w:rPr>
        <w:t>T</w:t>
      </w:r>
      <w:r>
        <w:rPr>
          <w:rFonts w:ascii="Calibri" w:hAnsi="Calibri" w:cs="Calibri"/>
          <w:noProof/>
          <w:sz w:val="22"/>
          <w:szCs w:val="22"/>
        </w:rPr>
        <w:t xml:space="preserve">his chart </w:t>
      </w:r>
      <w:r w:rsidR="00D0564E">
        <w:rPr>
          <w:rFonts w:ascii="Calibri" w:hAnsi="Calibri" w:cs="Calibri"/>
          <w:noProof/>
          <w:sz w:val="22"/>
          <w:szCs w:val="22"/>
        </w:rPr>
        <w:t>shows the 3-year average weight of each driver on the total revenue.</w:t>
      </w:r>
    </w:p>
    <w:p w14:paraId="4D0C0CBB" w14:textId="7920960E" w:rsidR="00ED0700" w:rsidRPr="00ED0700" w:rsidRDefault="00ED0700">
      <w:pPr>
        <w:rPr>
          <w:rFonts w:ascii="Calibri" w:hAnsi="Calibri" w:cs="Calibri"/>
          <w:noProof/>
          <w:sz w:val="22"/>
          <w:szCs w:val="22"/>
        </w:rPr>
      </w:pPr>
      <w:r w:rsidRPr="00ED0700">
        <w:rPr>
          <w:rFonts w:ascii="Calibri" w:hAnsi="Calibri" w:cs="Calibri"/>
          <w:noProof/>
          <w:sz w:val="22"/>
          <w:szCs w:val="22"/>
        </w:rPr>
        <mc:AlternateContent>
          <mc:Choice Requires="cx1">
            <w:drawing>
              <wp:inline distT="0" distB="0" distL="0" distR="0" wp14:anchorId="3E5164DC" wp14:editId="7A8C2651">
                <wp:extent cx="5727700" cy="2869660"/>
                <wp:effectExtent l="0" t="0" r="0" b="635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C23F42-921B-F545-83F0-D46BFBBD1F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3E5164DC" wp14:editId="7A8C2651">
                <wp:extent cx="5727700" cy="2869660"/>
                <wp:effectExtent l="0" t="0" r="0" b="635"/>
                <wp:docPr id="5" name="Ch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C23F42-921B-F545-83F0-D46BFBBD1FFD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hart 5">
                          <a:extLst>
                            <a:ext uri="{FF2B5EF4-FFF2-40B4-BE49-F238E27FC236}">
                              <a16:creationId xmlns:a16="http://schemas.microsoft.com/office/drawing/2014/main" id="{1DC23F42-921B-F545-83F0-D46BFBBD1FFD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0" cy="2869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084B318" w14:textId="77777777" w:rsidR="002D4CF5" w:rsidRDefault="002D4CF5">
      <w:pPr>
        <w:rPr>
          <w:rFonts w:ascii="Calibri" w:hAnsi="Calibri" w:cs="Calibri"/>
          <w:sz w:val="22"/>
          <w:szCs w:val="22"/>
        </w:rPr>
      </w:pPr>
    </w:p>
    <w:p w14:paraId="06E344E1" w14:textId="31E3343D" w:rsidR="005D2A7D" w:rsidRDefault="00D056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It’s worth noticing the percentage per year of each driver is never excessively detached from </w:t>
      </w:r>
      <w:r w:rsidR="009F480F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average, but there’s </w:t>
      </w:r>
      <w:r w:rsidR="00396061">
        <w:rPr>
          <w:rFonts w:ascii="Calibri" w:hAnsi="Calibri" w:cs="Calibri"/>
          <w:sz w:val="22"/>
          <w:szCs w:val="22"/>
        </w:rPr>
        <w:t xml:space="preserve">an emerging trend of </w:t>
      </w:r>
      <w:r w:rsidR="00396061">
        <w:rPr>
          <w:rFonts w:ascii="Calibri" w:hAnsi="Calibri" w:cs="Calibri"/>
          <w:i/>
          <w:iCs/>
          <w:sz w:val="22"/>
          <w:szCs w:val="22"/>
        </w:rPr>
        <w:t>cost reimbursement</w:t>
      </w:r>
      <w:r w:rsidR="00396061">
        <w:rPr>
          <w:rFonts w:ascii="Calibri" w:hAnsi="Calibri" w:cs="Calibri"/>
          <w:sz w:val="22"/>
          <w:szCs w:val="22"/>
        </w:rPr>
        <w:t xml:space="preserve"> slightly decreasing while all other drivers are slowly becoming more predominant.</w:t>
      </w:r>
      <w:r w:rsidR="009F480F">
        <w:rPr>
          <w:rFonts w:ascii="Calibri" w:hAnsi="Calibri" w:cs="Calibri"/>
          <w:sz w:val="22"/>
          <w:szCs w:val="22"/>
        </w:rPr>
        <w:t xml:space="preserve"> This is as well due to an increase in managed, </w:t>
      </w:r>
      <w:proofErr w:type="gramStart"/>
      <w:r w:rsidR="009F480F">
        <w:rPr>
          <w:rFonts w:ascii="Calibri" w:hAnsi="Calibri" w:cs="Calibri"/>
          <w:sz w:val="22"/>
          <w:szCs w:val="22"/>
        </w:rPr>
        <w:t>franchised</w:t>
      </w:r>
      <w:proofErr w:type="gramEnd"/>
      <w:r w:rsidR="009F480F">
        <w:rPr>
          <w:rFonts w:ascii="Calibri" w:hAnsi="Calibri" w:cs="Calibri"/>
          <w:sz w:val="22"/>
          <w:szCs w:val="22"/>
        </w:rPr>
        <w:t xml:space="preserve"> and leased properties which has increased revenue.</w:t>
      </w:r>
    </w:p>
    <w:p w14:paraId="68B94F6E" w14:textId="77777777" w:rsidR="00307731" w:rsidRDefault="00307731">
      <w:pPr>
        <w:rPr>
          <w:rFonts w:ascii="Calibri" w:hAnsi="Calibri" w:cs="Calibri"/>
          <w:sz w:val="22"/>
          <w:szCs w:val="22"/>
        </w:rPr>
      </w:pPr>
    </w:p>
    <w:p w14:paraId="69F58772" w14:textId="3EA9D99D" w:rsidR="002D4CF5" w:rsidRDefault="003960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for cost drivers</w:t>
      </w:r>
      <w:r w:rsidR="009F480F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their growth/decrease is directly correlated to the company </w:t>
      </w:r>
      <w:r w:rsidR="009F480F">
        <w:rPr>
          <w:rFonts w:ascii="Calibri" w:hAnsi="Calibri" w:cs="Calibri"/>
          <w:sz w:val="22"/>
          <w:szCs w:val="22"/>
        </w:rPr>
        <w:t xml:space="preserve">total </w:t>
      </w:r>
      <w:r>
        <w:rPr>
          <w:rFonts w:ascii="Calibri" w:hAnsi="Calibri" w:cs="Calibri"/>
          <w:sz w:val="22"/>
          <w:szCs w:val="22"/>
        </w:rPr>
        <w:t xml:space="preserve">revenue </w:t>
      </w:r>
      <w:r w:rsidR="0077196A">
        <w:rPr>
          <w:rFonts w:ascii="Calibri" w:hAnsi="Calibri" w:cs="Calibri"/>
          <w:sz w:val="22"/>
          <w:szCs w:val="22"/>
        </w:rPr>
        <w:t xml:space="preserve">(advertising, salaries, taxes…) </w:t>
      </w:r>
      <w:r>
        <w:rPr>
          <w:rFonts w:ascii="Calibri" w:hAnsi="Calibri" w:cs="Calibri"/>
          <w:sz w:val="22"/>
          <w:szCs w:val="22"/>
        </w:rPr>
        <w:t xml:space="preserve">with the </w:t>
      </w:r>
      <w:r w:rsidR="0077196A">
        <w:rPr>
          <w:rFonts w:ascii="Calibri" w:hAnsi="Calibri" w:cs="Calibri"/>
          <w:sz w:val="22"/>
          <w:szCs w:val="22"/>
        </w:rPr>
        <w:t xml:space="preserve">only </w:t>
      </w:r>
      <w:r>
        <w:rPr>
          <w:rFonts w:ascii="Calibri" w:hAnsi="Calibri" w:cs="Calibri"/>
          <w:sz w:val="22"/>
          <w:szCs w:val="22"/>
        </w:rPr>
        <w:t xml:space="preserve">exception </w:t>
      </w:r>
      <w:r w:rsidR="0077196A">
        <w:rPr>
          <w:rFonts w:ascii="Calibri" w:hAnsi="Calibri" w:cs="Calibri"/>
          <w:sz w:val="22"/>
          <w:szCs w:val="22"/>
        </w:rPr>
        <w:t>being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restructuring, merger-related charges</w:t>
      </w:r>
      <w:r>
        <w:rPr>
          <w:rFonts w:ascii="Calibri" w:hAnsi="Calibri" w:cs="Calibri"/>
          <w:sz w:val="22"/>
          <w:szCs w:val="22"/>
        </w:rPr>
        <w:t xml:space="preserve"> – these are, in fact, very different each year and, while normally account for only 0.07% of the company expenses, in 2020 they accounted for 2.55%, reason being </w:t>
      </w:r>
      <w:r w:rsidR="0077196A">
        <w:rPr>
          <w:rFonts w:ascii="Calibri" w:hAnsi="Calibri" w:cs="Calibri"/>
          <w:sz w:val="22"/>
          <w:szCs w:val="22"/>
        </w:rPr>
        <w:t>“</w:t>
      </w:r>
      <w:r w:rsidR="0077196A" w:rsidRPr="0077196A">
        <w:rPr>
          <w:rFonts w:ascii="Calibri" w:hAnsi="Calibri" w:cs="Calibri"/>
          <w:i/>
          <w:iCs/>
          <w:sz w:val="22"/>
          <w:szCs w:val="22"/>
        </w:rPr>
        <w:t>restructuring plans initiated in the 2020 second quarter to achieve cost savings in response to the decline in lodging demand caused by COVID-19, and transition costs associated with the Starwood merger</w:t>
      </w:r>
      <w:r w:rsidR="0077196A">
        <w:rPr>
          <w:rFonts w:ascii="Calibri" w:hAnsi="Calibri" w:cs="Calibri"/>
          <w:sz w:val="22"/>
          <w:szCs w:val="22"/>
        </w:rPr>
        <w:t>”.</w:t>
      </w:r>
    </w:p>
    <w:p w14:paraId="171033B5" w14:textId="459C0269" w:rsidR="002D4CF5" w:rsidRPr="009F480F" w:rsidRDefault="005D2A7D" w:rsidP="00AB2A8C">
      <w:pPr>
        <w:rPr>
          <w:rFonts w:ascii="Calibri" w:hAnsi="Calibri" w:cs="Calibri"/>
          <w:sz w:val="22"/>
          <w:szCs w:val="22"/>
        </w:rPr>
      </w:pPr>
      <w:r w:rsidRPr="00ED0700">
        <w:rPr>
          <w:rFonts w:ascii="Calibri" w:hAnsi="Calibri" w:cs="Calibri"/>
          <w:sz w:val="22"/>
          <w:szCs w:val="22"/>
        </w:rPr>
        <w:br/>
      </w:r>
      <w:r w:rsidR="009F480F">
        <w:rPr>
          <w:rFonts w:ascii="Calibri" w:hAnsi="Calibri" w:cs="Calibri"/>
          <w:sz w:val="22"/>
          <w:szCs w:val="22"/>
        </w:rPr>
        <w:t>An opposite trend is emerging in the cost drivers, for which</w:t>
      </w:r>
      <w:r w:rsidR="0077196A">
        <w:rPr>
          <w:rFonts w:ascii="Calibri" w:hAnsi="Calibri" w:cs="Calibri"/>
          <w:sz w:val="22"/>
          <w:szCs w:val="22"/>
        </w:rPr>
        <w:t xml:space="preserve"> the weight of </w:t>
      </w:r>
      <w:r w:rsidR="0077196A">
        <w:rPr>
          <w:rFonts w:ascii="Calibri" w:hAnsi="Calibri" w:cs="Calibri"/>
          <w:i/>
          <w:iCs/>
          <w:sz w:val="22"/>
          <w:szCs w:val="22"/>
        </w:rPr>
        <w:t>reimbursed expenses</w:t>
      </w:r>
      <w:r w:rsidR="0077196A">
        <w:rPr>
          <w:rFonts w:ascii="Calibri" w:hAnsi="Calibri" w:cs="Calibri"/>
          <w:sz w:val="22"/>
          <w:szCs w:val="22"/>
        </w:rPr>
        <w:t xml:space="preserve"> is accounting for a larger portion in relation to the total expenses.</w:t>
      </w:r>
    </w:p>
    <w:p w14:paraId="051D6E8F" w14:textId="39072F0D" w:rsidR="009F480F" w:rsidRDefault="009F480F">
      <w:pPr>
        <w:rPr>
          <w:rFonts w:ascii="Calibri" w:hAnsi="Calibri" w:cs="Calibri"/>
          <w:sz w:val="22"/>
          <w:szCs w:val="22"/>
        </w:rPr>
      </w:pPr>
    </w:p>
    <w:p w14:paraId="63A4DFDC" w14:textId="77777777" w:rsidR="002F610F" w:rsidRDefault="002F610F">
      <w:pPr>
        <w:rPr>
          <w:rFonts w:ascii="Calibri" w:hAnsi="Calibri" w:cs="Calibri"/>
          <w:sz w:val="22"/>
          <w:szCs w:val="22"/>
        </w:rPr>
      </w:pPr>
    </w:p>
    <w:p w14:paraId="73E5B294" w14:textId="6DDA3C72" w:rsidR="0077196A" w:rsidRDefault="00D77C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Marriott has performed better than </w:t>
      </w:r>
      <w:r w:rsidR="00641F25">
        <w:rPr>
          <w:rFonts w:ascii="Calibri" w:hAnsi="Calibri" w:cs="Calibri"/>
          <w:sz w:val="22"/>
          <w:szCs w:val="22"/>
        </w:rPr>
        <w:t>its</w:t>
      </w:r>
      <w:r>
        <w:rPr>
          <w:rFonts w:ascii="Calibri" w:hAnsi="Calibri" w:cs="Calibri"/>
          <w:sz w:val="22"/>
          <w:szCs w:val="22"/>
        </w:rPr>
        <w:t xml:space="preserve"> peers in the most recent triennium; in t</w:t>
      </w:r>
      <w:r w:rsidR="0077196A">
        <w:rPr>
          <w:rFonts w:ascii="Calibri" w:hAnsi="Calibri" w:cs="Calibri"/>
          <w:sz w:val="22"/>
          <w:szCs w:val="22"/>
        </w:rPr>
        <w:t xml:space="preserve">he following chart </w:t>
      </w:r>
      <w:r>
        <w:rPr>
          <w:rFonts w:ascii="Calibri" w:hAnsi="Calibri" w:cs="Calibri"/>
          <w:sz w:val="22"/>
          <w:szCs w:val="22"/>
        </w:rPr>
        <w:t xml:space="preserve">is possible to </w:t>
      </w:r>
      <w:r w:rsidR="0077196A">
        <w:rPr>
          <w:rFonts w:ascii="Calibri" w:hAnsi="Calibri" w:cs="Calibri"/>
          <w:sz w:val="22"/>
          <w:szCs w:val="22"/>
        </w:rPr>
        <w:t xml:space="preserve">compares </w:t>
      </w:r>
      <w:r>
        <w:rPr>
          <w:rFonts w:ascii="Calibri" w:hAnsi="Calibri" w:cs="Calibri"/>
          <w:sz w:val="22"/>
          <w:szCs w:val="22"/>
        </w:rPr>
        <w:t>the company’s profits with the ones of some competitors.</w:t>
      </w:r>
    </w:p>
    <w:p w14:paraId="1B4B0B40" w14:textId="77777777" w:rsidR="00D77C5D" w:rsidRPr="00ED0700" w:rsidRDefault="00D77C5D">
      <w:pPr>
        <w:rPr>
          <w:rFonts w:ascii="Calibri" w:hAnsi="Calibri" w:cs="Calibri"/>
          <w:sz w:val="22"/>
          <w:szCs w:val="22"/>
        </w:rPr>
      </w:pPr>
    </w:p>
    <w:p w14:paraId="19B46842" w14:textId="6AEE7F03" w:rsidR="005D2A7D" w:rsidRPr="00ED0700" w:rsidRDefault="002954B0">
      <w:pPr>
        <w:rPr>
          <w:rFonts w:ascii="Calibri" w:hAnsi="Calibri" w:cs="Calibri"/>
          <w:sz w:val="22"/>
          <w:szCs w:val="22"/>
        </w:rPr>
      </w:pPr>
      <w:r w:rsidRPr="00ED070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A8B7EC3" wp14:editId="4F38D07F">
            <wp:extent cx="5727700" cy="2869659"/>
            <wp:effectExtent l="0" t="0" r="12700" b="1333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D750E2B-A8A4-CB4C-9921-64F19041C9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2E55BE" w14:textId="472CE878" w:rsidR="009F480F" w:rsidRDefault="009F480F">
      <w:pPr>
        <w:rPr>
          <w:rFonts w:ascii="Calibri" w:hAnsi="Calibri" w:cs="Calibri"/>
          <w:sz w:val="22"/>
          <w:szCs w:val="22"/>
        </w:rPr>
      </w:pPr>
    </w:p>
    <w:p w14:paraId="20DF0C80" w14:textId="77777777" w:rsidR="002F610F" w:rsidRDefault="002F610F">
      <w:pPr>
        <w:rPr>
          <w:rFonts w:ascii="Calibri" w:hAnsi="Calibri" w:cs="Calibri"/>
          <w:sz w:val="22"/>
          <w:szCs w:val="22"/>
        </w:rPr>
      </w:pPr>
    </w:p>
    <w:p w14:paraId="159DD7FC" w14:textId="73D83BFB" w:rsidR="005D2A7D" w:rsidRDefault="008A54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It’s evident how Marriott managed to turn much better profits than its </w:t>
      </w:r>
      <w:r w:rsidR="00D77C5D">
        <w:rPr>
          <w:rFonts w:ascii="Calibri" w:hAnsi="Calibri" w:cs="Calibri"/>
          <w:sz w:val="22"/>
          <w:szCs w:val="22"/>
        </w:rPr>
        <w:t>rivals</w:t>
      </w:r>
      <w:r>
        <w:rPr>
          <w:rFonts w:ascii="Calibri" w:hAnsi="Calibri" w:cs="Calibri"/>
          <w:sz w:val="22"/>
          <w:szCs w:val="22"/>
        </w:rPr>
        <w:t xml:space="preserve"> and </w:t>
      </w:r>
      <w:r w:rsidR="00D77C5D">
        <w:rPr>
          <w:rFonts w:ascii="Calibri" w:hAnsi="Calibri" w:cs="Calibri"/>
          <w:sz w:val="22"/>
          <w:szCs w:val="22"/>
        </w:rPr>
        <w:t xml:space="preserve">even </w:t>
      </w:r>
      <w:r>
        <w:rPr>
          <w:rFonts w:ascii="Calibri" w:hAnsi="Calibri" w:cs="Calibri"/>
          <w:sz w:val="22"/>
          <w:szCs w:val="22"/>
        </w:rPr>
        <w:t>doubled its profits in 2022</w:t>
      </w:r>
      <w:r w:rsidR="00D77C5D">
        <w:rPr>
          <w:rFonts w:ascii="Calibri" w:hAnsi="Calibri" w:cs="Calibri"/>
          <w:sz w:val="22"/>
          <w:szCs w:val="22"/>
        </w:rPr>
        <w:t xml:space="preserve"> compared to the previous year</w:t>
      </w:r>
      <w:r>
        <w:rPr>
          <w:rFonts w:ascii="Calibri" w:hAnsi="Calibri" w:cs="Calibri"/>
          <w:sz w:val="22"/>
          <w:szCs w:val="22"/>
        </w:rPr>
        <w:t xml:space="preserve">; although Hilton </w:t>
      </w:r>
      <w:r w:rsidR="00D77C5D">
        <w:rPr>
          <w:rFonts w:ascii="Calibri" w:hAnsi="Calibri" w:cs="Calibri"/>
          <w:sz w:val="22"/>
          <w:szCs w:val="22"/>
        </w:rPr>
        <w:t>still had an astonishing performance and succeeded</w:t>
      </w:r>
      <w:r>
        <w:rPr>
          <w:rFonts w:ascii="Calibri" w:hAnsi="Calibri" w:cs="Calibri"/>
          <w:sz w:val="22"/>
          <w:szCs w:val="22"/>
        </w:rPr>
        <w:t xml:space="preserve"> </w:t>
      </w:r>
      <w:r w:rsidR="00D77C5D">
        <w:rPr>
          <w:rFonts w:ascii="Calibri" w:hAnsi="Calibri" w:cs="Calibri"/>
          <w:sz w:val="22"/>
          <w:szCs w:val="22"/>
        </w:rPr>
        <w:t xml:space="preserve">in </w:t>
      </w:r>
      <w:r>
        <w:rPr>
          <w:rFonts w:ascii="Calibri" w:hAnsi="Calibri" w:cs="Calibri"/>
          <w:sz w:val="22"/>
          <w:szCs w:val="22"/>
        </w:rPr>
        <w:t>trebl</w:t>
      </w:r>
      <w:r w:rsidR="00D77C5D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 xml:space="preserve"> theirs, Marriott </w:t>
      </w:r>
      <w:r w:rsidR="00D77C5D">
        <w:rPr>
          <w:rFonts w:ascii="Calibri" w:hAnsi="Calibri" w:cs="Calibri"/>
          <w:sz w:val="22"/>
          <w:szCs w:val="22"/>
        </w:rPr>
        <w:t>however</w:t>
      </w:r>
      <w:r>
        <w:rPr>
          <w:rFonts w:ascii="Calibri" w:hAnsi="Calibri" w:cs="Calibri"/>
          <w:sz w:val="22"/>
          <w:szCs w:val="22"/>
        </w:rPr>
        <w:t xml:space="preserve"> turned more profit </w:t>
      </w:r>
      <w:r w:rsidR="00D77C5D">
        <w:rPr>
          <w:rFonts w:ascii="Calibri" w:hAnsi="Calibri" w:cs="Calibri"/>
          <w:sz w:val="22"/>
          <w:szCs w:val="22"/>
        </w:rPr>
        <w:t xml:space="preserve">alone </w:t>
      </w:r>
      <w:r>
        <w:rPr>
          <w:rFonts w:ascii="Calibri" w:hAnsi="Calibri" w:cs="Calibri"/>
          <w:sz w:val="22"/>
          <w:szCs w:val="22"/>
        </w:rPr>
        <w:t xml:space="preserve">than the </w:t>
      </w:r>
      <w:r w:rsidR="00D77C5D">
        <w:rPr>
          <w:rFonts w:ascii="Calibri" w:hAnsi="Calibri" w:cs="Calibri"/>
          <w:sz w:val="22"/>
          <w:szCs w:val="22"/>
        </w:rPr>
        <w:t>other direct rival</w:t>
      </w:r>
      <w:r>
        <w:rPr>
          <w:rFonts w:ascii="Calibri" w:hAnsi="Calibri" w:cs="Calibri"/>
          <w:sz w:val="22"/>
          <w:szCs w:val="22"/>
        </w:rPr>
        <w:t>s</w:t>
      </w:r>
      <w:r w:rsidR="00D77C5D">
        <w:rPr>
          <w:rFonts w:ascii="Calibri" w:hAnsi="Calibri" w:cs="Calibri"/>
          <w:sz w:val="22"/>
          <w:szCs w:val="22"/>
        </w:rPr>
        <w:t xml:space="preserve"> combined</w:t>
      </w:r>
      <w:r w:rsidR="00534B5A">
        <w:rPr>
          <w:rFonts w:ascii="Calibri" w:hAnsi="Calibri" w:cs="Calibri"/>
          <w:sz w:val="22"/>
          <w:szCs w:val="22"/>
        </w:rPr>
        <w:t xml:space="preserve">, highlighting the company solidity and establishment in </w:t>
      </w:r>
      <w:r w:rsidR="00D77C5D">
        <w:rPr>
          <w:rFonts w:ascii="Calibri" w:hAnsi="Calibri" w:cs="Calibri"/>
          <w:sz w:val="22"/>
          <w:szCs w:val="22"/>
        </w:rPr>
        <w:t xml:space="preserve">the </w:t>
      </w:r>
      <w:r w:rsidR="00534B5A">
        <w:rPr>
          <w:rFonts w:ascii="Calibri" w:hAnsi="Calibri" w:cs="Calibri"/>
          <w:sz w:val="22"/>
          <w:szCs w:val="22"/>
        </w:rPr>
        <w:t>lodging</w:t>
      </w:r>
      <w:r w:rsidR="00D77C5D">
        <w:rPr>
          <w:rFonts w:ascii="Calibri" w:hAnsi="Calibri" w:cs="Calibri"/>
          <w:sz w:val="22"/>
          <w:szCs w:val="22"/>
        </w:rPr>
        <w:t xml:space="preserve"> industry.</w:t>
      </w:r>
    </w:p>
    <w:p w14:paraId="474FEA51" w14:textId="1A8161FA" w:rsidR="00310451" w:rsidRDefault="00310451">
      <w:pPr>
        <w:rPr>
          <w:rFonts w:ascii="Calibri" w:hAnsi="Calibri" w:cs="Calibri"/>
          <w:sz w:val="22"/>
          <w:szCs w:val="22"/>
        </w:rPr>
      </w:pPr>
    </w:p>
    <w:p w14:paraId="2382EBFB" w14:textId="381C842B" w:rsidR="00D77C5D" w:rsidRPr="00C72DE2" w:rsidRDefault="00D77C5D" w:rsidP="00D77C5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More encouraging numbers</w:t>
      </w:r>
      <w:r w:rsidR="00C72DE2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relatively to a still challenging macroeconomic environment</w:t>
      </w:r>
      <w:r w:rsidR="00C72DE2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are </w:t>
      </w:r>
      <w:r w:rsidR="00C72DE2">
        <w:rPr>
          <w:rFonts w:ascii="Calibri" w:hAnsi="Calibri" w:cs="Calibri"/>
          <w:sz w:val="22"/>
          <w:szCs w:val="22"/>
        </w:rPr>
        <w:t xml:space="preserve">to be </w:t>
      </w:r>
      <w:r>
        <w:rPr>
          <w:rFonts w:ascii="Calibri" w:hAnsi="Calibri" w:cs="Calibri"/>
          <w:sz w:val="22"/>
          <w:szCs w:val="22"/>
        </w:rPr>
        <w:t xml:space="preserve">found in the stockholders return performance. Although Marriott has </w:t>
      </w:r>
      <w:r w:rsidR="00C72DE2">
        <w:rPr>
          <w:rFonts w:ascii="Calibri" w:hAnsi="Calibri" w:cs="Calibri"/>
          <w:sz w:val="22"/>
          <w:szCs w:val="22"/>
        </w:rPr>
        <w:t xml:space="preserve">slightly </w:t>
      </w:r>
      <w:r>
        <w:rPr>
          <w:rFonts w:ascii="Calibri" w:hAnsi="Calibri" w:cs="Calibri"/>
          <w:sz w:val="22"/>
          <w:szCs w:val="22"/>
        </w:rPr>
        <w:t xml:space="preserve">underperformed the </w:t>
      </w:r>
      <w:r w:rsidRPr="00C72DE2">
        <w:rPr>
          <w:rFonts w:ascii="Calibri" w:hAnsi="Calibri" w:cs="Calibri"/>
          <w:i/>
          <w:iCs/>
          <w:sz w:val="22"/>
          <w:szCs w:val="22"/>
        </w:rPr>
        <w:t>S&amp;P 500</w:t>
      </w:r>
      <w:r w:rsidR="00C72DE2">
        <w:rPr>
          <w:rFonts w:ascii="Calibri" w:hAnsi="Calibri" w:cs="Calibri"/>
          <w:sz w:val="22"/>
          <w:szCs w:val="22"/>
        </w:rPr>
        <w:t xml:space="preserve">, it’s recovering reasonably from the gap recorded at the heights of the global pandemic; </w:t>
      </w:r>
      <w:r w:rsidR="002F610F">
        <w:rPr>
          <w:rFonts w:ascii="Calibri" w:hAnsi="Calibri" w:cs="Calibri"/>
          <w:sz w:val="22"/>
          <w:szCs w:val="22"/>
        </w:rPr>
        <w:t>furthermore,</w:t>
      </w:r>
      <w:r w:rsidR="00C72DE2">
        <w:rPr>
          <w:rFonts w:ascii="Calibri" w:hAnsi="Calibri" w:cs="Calibri"/>
          <w:sz w:val="22"/>
          <w:szCs w:val="22"/>
        </w:rPr>
        <w:t xml:space="preserve"> it </w:t>
      </w:r>
      <w:r w:rsidR="002F610F">
        <w:rPr>
          <w:rFonts w:ascii="Calibri" w:hAnsi="Calibri" w:cs="Calibri"/>
          <w:sz w:val="22"/>
          <w:szCs w:val="22"/>
        </w:rPr>
        <w:t xml:space="preserve">reaffirms </w:t>
      </w:r>
      <w:r w:rsidR="00C72DE2">
        <w:rPr>
          <w:rFonts w:ascii="Calibri" w:hAnsi="Calibri" w:cs="Calibri"/>
          <w:sz w:val="22"/>
          <w:szCs w:val="22"/>
        </w:rPr>
        <w:t>its</w:t>
      </w:r>
      <w:r w:rsidR="002F610F">
        <w:rPr>
          <w:rFonts w:ascii="Calibri" w:hAnsi="Calibri" w:cs="Calibri"/>
          <w:sz w:val="22"/>
          <w:szCs w:val="22"/>
        </w:rPr>
        <w:t xml:space="preserve"> sector</w:t>
      </w:r>
      <w:r w:rsidR="00C72DE2">
        <w:rPr>
          <w:rFonts w:ascii="Calibri" w:hAnsi="Calibri" w:cs="Calibri"/>
          <w:sz w:val="22"/>
          <w:szCs w:val="22"/>
        </w:rPr>
        <w:t xml:space="preserve"> leadership widely outperforming the </w:t>
      </w:r>
      <w:r w:rsidRPr="00C72DE2">
        <w:rPr>
          <w:rFonts w:ascii="Calibri" w:hAnsi="Calibri" w:cs="Calibri"/>
          <w:i/>
          <w:iCs/>
          <w:sz w:val="22"/>
          <w:szCs w:val="22"/>
        </w:rPr>
        <w:t>S&amp;P 500</w:t>
      </w:r>
      <w:r w:rsidR="00C72DE2" w:rsidRPr="00C72DE2">
        <w:rPr>
          <w:rFonts w:ascii="Calibri" w:hAnsi="Calibri" w:cs="Calibri"/>
          <w:i/>
          <w:iCs/>
          <w:sz w:val="22"/>
          <w:szCs w:val="22"/>
        </w:rPr>
        <w:t xml:space="preserve"> exclusive to Hotels, Resorts &amp; Cruise Lines</w:t>
      </w:r>
      <w:r w:rsidR="002F610F">
        <w:rPr>
          <w:rFonts w:ascii="Calibri" w:hAnsi="Calibri" w:cs="Calibri"/>
          <w:sz w:val="22"/>
          <w:szCs w:val="22"/>
        </w:rPr>
        <w:t>.</w:t>
      </w:r>
    </w:p>
    <w:p w14:paraId="7098730F" w14:textId="77777777" w:rsidR="00D77C5D" w:rsidRPr="00ED0700" w:rsidRDefault="00D77C5D">
      <w:pPr>
        <w:rPr>
          <w:rFonts w:ascii="Calibri" w:hAnsi="Calibri" w:cs="Calibri"/>
          <w:sz w:val="22"/>
          <w:szCs w:val="22"/>
        </w:rPr>
      </w:pPr>
    </w:p>
    <w:p w14:paraId="5CF6D2B7" w14:textId="05E7DD0A" w:rsidR="00797165" w:rsidRDefault="00534B5A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F08478A" wp14:editId="4B86D20F">
            <wp:extent cx="5727700" cy="2859932"/>
            <wp:effectExtent l="0" t="0" r="12700" b="1079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415760C-58ED-D741-A70D-34AD5873F7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F68C4A" w14:textId="2270BF63" w:rsidR="009F480F" w:rsidRDefault="009F480F">
      <w:pPr>
        <w:rPr>
          <w:rFonts w:ascii="Calibri" w:hAnsi="Calibri" w:cs="Calibri"/>
          <w:sz w:val="22"/>
          <w:szCs w:val="22"/>
        </w:rPr>
      </w:pPr>
    </w:p>
    <w:p w14:paraId="5A6AFDE6" w14:textId="559B3E97" w:rsidR="009F480F" w:rsidRDefault="009F480F">
      <w:pPr>
        <w:rPr>
          <w:rFonts w:ascii="Calibri" w:hAnsi="Calibri" w:cs="Calibri"/>
          <w:sz w:val="22"/>
          <w:szCs w:val="22"/>
        </w:rPr>
      </w:pPr>
    </w:p>
    <w:p w14:paraId="5094210D" w14:textId="15854F3C" w:rsidR="009F480F" w:rsidRDefault="009F48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D3500">
        <w:rPr>
          <w:rFonts w:ascii="Calibri" w:hAnsi="Calibri" w:cs="Calibri"/>
          <w:color w:val="000000" w:themeColor="text1"/>
          <w:sz w:val="22"/>
          <w:szCs w:val="22"/>
        </w:rPr>
        <w:t xml:space="preserve">Overall, the company seem to have had a very positive performance in 2022, but with the lodging industry being one of the most heavily affected ones by the immediate aftermath of the COVID-19 Pandemic, is therefore necessary to extend the research scope and include the 2017-2019 triennium to effectively measure how well the company has fared. </w:t>
      </w:r>
    </w:p>
    <w:p w14:paraId="363D7E0D" w14:textId="77777777" w:rsidR="004573C7" w:rsidRPr="00FD3500" w:rsidRDefault="004573C7" w:rsidP="009F480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DC4D2ED" w14:textId="77777777" w:rsidR="009F480F" w:rsidRDefault="009F480F" w:rsidP="009F480F">
      <w:pPr>
        <w:rPr>
          <w:rFonts w:ascii="Calibri" w:hAnsi="Calibri" w:cs="Calibri"/>
          <w:color w:val="70AD47" w:themeColor="accent6"/>
          <w:sz w:val="22"/>
          <w:szCs w:val="22"/>
        </w:rPr>
      </w:pPr>
    </w:p>
    <w:tbl>
      <w:tblPr>
        <w:tblW w:w="9005" w:type="dxa"/>
        <w:tblLayout w:type="fixed"/>
        <w:tblLook w:val="04A0" w:firstRow="1" w:lastRow="0" w:firstColumn="1" w:lastColumn="0" w:noHBand="0" w:noVBand="1"/>
      </w:tblPr>
      <w:tblGrid>
        <w:gridCol w:w="2977"/>
        <w:gridCol w:w="1145"/>
        <w:gridCol w:w="993"/>
        <w:gridCol w:w="981"/>
        <w:gridCol w:w="992"/>
        <w:gridCol w:w="948"/>
        <w:gridCol w:w="969"/>
      </w:tblGrid>
      <w:tr w:rsidR="009F480F" w:rsidRPr="001E31B6" w14:paraId="594B3CB7" w14:textId="77777777" w:rsidTr="00583A01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BAD1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D345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D4C2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663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FAA0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b/>
                <w:bCs/>
                <w:color w:val="D0CECE" w:themeColor="background2" w:themeShade="E6"/>
                <w:sz w:val="22"/>
                <w:szCs w:val="22"/>
              </w:rPr>
              <w:t>2020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8A9D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b/>
                <w:bCs/>
                <w:color w:val="D0CECE" w:themeColor="background2" w:themeShade="E6"/>
                <w:sz w:val="22"/>
                <w:szCs w:val="22"/>
              </w:rPr>
              <w:t>2021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959B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9F480F" w:rsidRPr="001E31B6" w14:paraId="3C0BEAFB" w14:textId="77777777" w:rsidTr="00583A01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176A" w14:textId="77777777" w:rsidR="009F480F" w:rsidRPr="001E31B6" w:rsidRDefault="009F480F" w:rsidP="00583A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Total Revenue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1CAA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20,452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9D3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20,758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F4FE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20,972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76BD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  <w:t>10,571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E88E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  <w:t>13,857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7CC2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20,773</w:t>
            </w:r>
          </w:p>
        </w:tc>
      </w:tr>
      <w:tr w:rsidR="009F480F" w:rsidRPr="001E31B6" w14:paraId="0AE92E18" w14:textId="77777777" w:rsidTr="00583A01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641E" w14:textId="77777777" w:rsidR="009F480F" w:rsidRPr="001E31B6" w:rsidRDefault="009F480F" w:rsidP="00583A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Total Operating Expense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B0EE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17,948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9918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18,392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E04C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19,172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8E63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  <w:t>10,487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5072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  <w:t>12,271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EF24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31B6">
              <w:rPr>
                <w:rFonts w:ascii="Calibri" w:hAnsi="Calibri" w:cs="Calibri"/>
                <w:color w:val="000000"/>
                <w:sz w:val="22"/>
                <w:szCs w:val="22"/>
              </w:rPr>
              <w:t>17,311</w:t>
            </w:r>
          </w:p>
        </w:tc>
      </w:tr>
      <w:tr w:rsidR="009F480F" w:rsidRPr="001E31B6" w14:paraId="34F18220" w14:textId="77777777" w:rsidTr="00583A01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A057E" w14:textId="77777777" w:rsidR="009F480F" w:rsidRPr="001E31B6" w:rsidRDefault="009F480F" w:rsidP="00583A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Gross Profit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18425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000000"/>
                <w:sz w:val="22"/>
                <w:szCs w:val="22"/>
              </w:rPr>
              <w:t>3,813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6352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000000"/>
                <w:sz w:val="22"/>
                <w:szCs w:val="22"/>
              </w:rPr>
              <w:t>3,674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A1F80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000000"/>
                <w:sz w:val="22"/>
                <w:szCs w:val="22"/>
              </w:rPr>
              <w:t>3,217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3BC1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  <w:t>1,769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352D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  <w:t>2,801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0E5EC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000000"/>
                <w:sz w:val="22"/>
                <w:szCs w:val="22"/>
              </w:rPr>
              <w:t>4,558</w:t>
            </w:r>
          </w:p>
        </w:tc>
      </w:tr>
      <w:tr w:rsidR="009F480F" w:rsidRPr="001E31B6" w14:paraId="74391F49" w14:textId="77777777" w:rsidTr="00583A01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9D4FA" w14:textId="77777777" w:rsidR="009F480F" w:rsidRPr="001E31B6" w:rsidRDefault="009F480F" w:rsidP="00583A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 Income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3C01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FAE">
              <w:rPr>
                <w:rFonts w:ascii="Calibri" w:hAnsi="Calibri" w:cs="Calibri"/>
                <w:color w:val="000000"/>
                <w:sz w:val="22"/>
                <w:szCs w:val="22"/>
              </w:rPr>
              <w:t>1,459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F39D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FAE">
              <w:rPr>
                <w:rFonts w:ascii="Calibri" w:hAnsi="Calibri" w:cs="Calibri"/>
                <w:color w:val="000000"/>
                <w:sz w:val="22"/>
                <w:szCs w:val="22"/>
              </w:rPr>
              <w:t>1,907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B489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FAE">
              <w:rPr>
                <w:rFonts w:ascii="Calibri" w:hAnsi="Calibri" w:cs="Calibri"/>
                <w:color w:val="000000"/>
                <w:sz w:val="22"/>
                <w:szCs w:val="22"/>
              </w:rPr>
              <w:t>1,273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6D832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  <w:t>(267)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A358" w14:textId="77777777" w:rsidR="009F480F" w:rsidRPr="00574A52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</w:pPr>
            <w:r w:rsidRPr="00574A52">
              <w:rPr>
                <w:rFonts w:ascii="Calibri" w:hAnsi="Calibri" w:cs="Calibri"/>
                <w:color w:val="D0CECE" w:themeColor="background2" w:themeShade="E6"/>
                <w:sz w:val="22"/>
                <w:szCs w:val="22"/>
              </w:rPr>
              <w:t>1,099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551E" w14:textId="77777777" w:rsidR="009F480F" w:rsidRPr="001E31B6" w:rsidRDefault="009F480F" w:rsidP="00583A0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FAE">
              <w:rPr>
                <w:rFonts w:ascii="Calibri" w:hAnsi="Calibri" w:cs="Calibri"/>
                <w:color w:val="000000"/>
                <w:sz w:val="22"/>
                <w:szCs w:val="22"/>
              </w:rPr>
              <w:t>2,358</w:t>
            </w:r>
          </w:p>
        </w:tc>
      </w:tr>
      <w:tr w:rsidR="009F480F" w:rsidRPr="001E31B6" w14:paraId="0C4E737B" w14:textId="77777777" w:rsidTr="00583A01">
        <w:trPr>
          <w:trHeight w:val="300"/>
        </w:trPr>
        <w:tc>
          <w:tcPr>
            <w:tcW w:w="9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226FC" w14:textId="77777777" w:rsidR="009F480F" w:rsidRPr="009B6FAE" w:rsidRDefault="009F480F" w:rsidP="00583A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6FAE">
              <w:rPr>
                <w:rFonts w:ascii="Calibri" w:hAnsi="Calibri" w:cs="Calibri"/>
                <w:color w:val="000000"/>
                <w:sz w:val="16"/>
                <w:szCs w:val="16"/>
              </w:rPr>
              <w:t>(All figures are in million dollars)</w:t>
            </w:r>
          </w:p>
        </w:tc>
      </w:tr>
    </w:tbl>
    <w:p w14:paraId="38B0F8AC" w14:textId="7019769C" w:rsidR="009F480F" w:rsidRDefault="009F480F" w:rsidP="009F480F">
      <w:pPr>
        <w:jc w:val="center"/>
        <w:rPr>
          <w:rFonts w:ascii="Calibri" w:hAnsi="Calibri" w:cs="Calibri"/>
          <w:color w:val="70AD47" w:themeColor="accent6"/>
          <w:sz w:val="22"/>
          <w:szCs w:val="22"/>
        </w:rPr>
      </w:pPr>
    </w:p>
    <w:p w14:paraId="1BE8403A" w14:textId="77777777" w:rsidR="004573C7" w:rsidRDefault="004573C7" w:rsidP="009F480F">
      <w:pPr>
        <w:jc w:val="center"/>
        <w:rPr>
          <w:rFonts w:ascii="Calibri" w:hAnsi="Calibri" w:cs="Calibri"/>
          <w:color w:val="70AD47" w:themeColor="accent6"/>
          <w:sz w:val="22"/>
          <w:szCs w:val="22"/>
        </w:rPr>
      </w:pPr>
    </w:p>
    <w:p w14:paraId="7840A0CB" w14:textId="39CD05AD" w:rsidR="009F480F" w:rsidRDefault="009F48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D3500">
        <w:rPr>
          <w:rFonts w:ascii="Calibri" w:hAnsi="Calibri" w:cs="Calibri"/>
          <w:color w:val="000000" w:themeColor="text1"/>
          <w:sz w:val="22"/>
          <w:szCs w:val="22"/>
        </w:rPr>
        <w:t xml:space="preserve">It’s evident how the 2020 restructuring has paid off in the not-so-long-term. </w:t>
      </w:r>
    </w:p>
    <w:p w14:paraId="095F80C3" w14:textId="77777777" w:rsidR="002F610F" w:rsidRPr="00FD3500" w:rsidRDefault="002F61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265826E" w14:textId="77777777" w:rsidR="009F480F" w:rsidRDefault="009F48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FD3500">
        <w:rPr>
          <w:rFonts w:ascii="Calibri" w:hAnsi="Calibri" w:cs="Calibri"/>
          <w:color w:val="000000" w:themeColor="text1"/>
          <w:sz w:val="22"/>
          <w:szCs w:val="22"/>
        </w:rPr>
        <w:t xml:space="preserve">The company has, in fact, managed to bounce back to its usual total revenue while also recording a sensibly reduced amount of total expenses. This means the net income for 2022 has grown almost 24% compared to 2018 despite a growth in revenue of just 0.07% and still 200 million USD shy of the record hit in 2019. </w:t>
      </w:r>
    </w:p>
    <w:p w14:paraId="6B49AB5F" w14:textId="77777777" w:rsidR="009F480F" w:rsidRDefault="009F48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4404D8E" w14:textId="77777777" w:rsidR="009F480F" w:rsidRDefault="009F48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Not only the company has recorded RevPAR and ADR comparable to the previous years, expanding their portfolio and adding more rooms on a yearly basis, but they also significantly grew in other areas, especially with their co-branded credit card fees which recently launched in the Saudi market as well.</w:t>
      </w:r>
    </w:p>
    <w:p w14:paraId="31EC05BF" w14:textId="77777777" w:rsidR="009F480F" w:rsidRPr="002F610F" w:rsidRDefault="009F48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6A53CF7" w14:textId="04BB0396" w:rsidR="009F480F" w:rsidRPr="002F610F" w:rsidRDefault="009F48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Moreover, the company is expanding into travel offerings </w:t>
      </w:r>
      <w:r w:rsidR="004573C7"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as well </w:t>
      </w:r>
      <w:r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to attract new and different clients to further </w:t>
      </w:r>
      <w:r w:rsidR="004573C7" w:rsidRPr="002F610F">
        <w:rPr>
          <w:rFonts w:ascii="Calibri" w:hAnsi="Calibri" w:cs="Calibri"/>
          <w:color w:val="000000" w:themeColor="text1"/>
          <w:sz w:val="22"/>
          <w:szCs w:val="22"/>
        </w:rPr>
        <w:t>enlarge</w:t>
      </w:r>
      <w:r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 the business while keeping its current customers loyal with an </w:t>
      </w:r>
      <w:r w:rsidR="004573C7" w:rsidRPr="002F610F">
        <w:rPr>
          <w:rFonts w:ascii="Calibri" w:hAnsi="Calibri" w:cs="Calibri"/>
          <w:color w:val="000000" w:themeColor="text1"/>
          <w:sz w:val="22"/>
          <w:szCs w:val="22"/>
        </w:rPr>
        <w:t>attractive</w:t>
      </w:r>
      <w:r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 loyalty program.</w:t>
      </w:r>
    </w:p>
    <w:p w14:paraId="4C209BA2" w14:textId="77777777" w:rsidR="009F480F" w:rsidRPr="002F610F" w:rsidRDefault="009F480F" w:rsidP="009F480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FBCFF1F" w14:textId="61FB888F" w:rsidR="009F480F" w:rsidRPr="002F610F" w:rsidRDefault="009F480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2F610F">
        <w:rPr>
          <w:rFonts w:ascii="Calibri" w:hAnsi="Calibri" w:cs="Calibri"/>
          <w:color w:val="000000" w:themeColor="text1"/>
          <w:sz w:val="22"/>
          <w:szCs w:val="22"/>
        </w:rPr>
        <w:t>Cleary market leaders</w:t>
      </w:r>
      <w:r w:rsidR="002F610F"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, Marriott have expanded their business and the outlook for the </w:t>
      </w:r>
      <w:r w:rsidR="004573C7" w:rsidRPr="002F610F">
        <w:rPr>
          <w:rFonts w:ascii="Calibri" w:hAnsi="Calibri" w:cs="Calibri"/>
          <w:color w:val="000000" w:themeColor="text1"/>
          <w:sz w:val="22"/>
          <w:szCs w:val="22"/>
        </w:rPr>
        <w:t>short- and long-term</w:t>
      </w:r>
      <w:r w:rsidR="002F610F"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 future seems very encouraging.</w:t>
      </w:r>
    </w:p>
    <w:sectPr w:rsidR="009F480F" w:rsidRPr="002F610F" w:rsidSect="003461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E30"/>
    <w:multiLevelType w:val="hybridMultilevel"/>
    <w:tmpl w:val="B91C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69AD"/>
    <w:multiLevelType w:val="hybridMultilevel"/>
    <w:tmpl w:val="AFD6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D624D"/>
    <w:multiLevelType w:val="hybridMultilevel"/>
    <w:tmpl w:val="BFD4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7D"/>
    <w:rsid w:val="0016669C"/>
    <w:rsid w:val="001E31B6"/>
    <w:rsid w:val="002954B0"/>
    <w:rsid w:val="002D4CF5"/>
    <w:rsid w:val="002F610F"/>
    <w:rsid w:val="00307731"/>
    <w:rsid w:val="00310451"/>
    <w:rsid w:val="0034619E"/>
    <w:rsid w:val="00396061"/>
    <w:rsid w:val="003A27BE"/>
    <w:rsid w:val="003A5E84"/>
    <w:rsid w:val="00443900"/>
    <w:rsid w:val="004573C7"/>
    <w:rsid w:val="00460E3A"/>
    <w:rsid w:val="00534B5A"/>
    <w:rsid w:val="00574A52"/>
    <w:rsid w:val="005D2A7D"/>
    <w:rsid w:val="005F2AFA"/>
    <w:rsid w:val="00617948"/>
    <w:rsid w:val="00641F25"/>
    <w:rsid w:val="007623BB"/>
    <w:rsid w:val="0077196A"/>
    <w:rsid w:val="0079422F"/>
    <w:rsid w:val="00797165"/>
    <w:rsid w:val="00831265"/>
    <w:rsid w:val="0084677B"/>
    <w:rsid w:val="008A54C6"/>
    <w:rsid w:val="008C51C8"/>
    <w:rsid w:val="0096537C"/>
    <w:rsid w:val="009B6FAE"/>
    <w:rsid w:val="009F480F"/>
    <w:rsid w:val="00AA2A19"/>
    <w:rsid w:val="00AB2A8C"/>
    <w:rsid w:val="00AD1348"/>
    <w:rsid w:val="00B25061"/>
    <w:rsid w:val="00B55EEB"/>
    <w:rsid w:val="00B6530C"/>
    <w:rsid w:val="00B657E4"/>
    <w:rsid w:val="00C72DE2"/>
    <w:rsid w:val="00D0564E"/>
    <w:rsid w:val="00D734F6"/>
    <w:rsid w:val="00D77C5D"/>
    <w:rsid w:val="00ED0700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ECA8"/>
  <w15:chartTrackingRefBased/>
  <w15:docId w15:val="{2D2110B2-FDDC-E74D-BE9E-DEAC123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8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4/relationships/chartEx" Target="charts/chartEx1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BASE MANAGEMENT FEES</c:v>
                </c:pt>
                <c:pt idx="1">
                  <c:v>FRANCHISE FEES</c:v>
                </c:pt>
                <c:pt idx="2">
                  <c:v>INCENTIVE MANAGEMENT FEES</c:v>
                </c:pt>
                <c:pt idx="3">
                  <c:v>OWNED, LEASED AND OTHER</c:v>
                </c:pt>
                <c:pt idx="4">
                  <c:v>COST REIMBURSMENT</c:v>
                </c:pt>
              </c:strCache>
            </c:strRef>
          </c:cat>
          <c:val>
            <c:numRef>
              <c:f>Sheet1!$B$2:$B$6</c:f>
              <c:numCache>
                <c:formatCode>#,##0_);\(#,##0\)</c:formatCode>
                <c:ptCount val="5"/>
                <c:pt idx="0">
                  <c:v>443</c:v>
                </c:pt>
                <c:pt idx="1">
                  <c:v>1153</c:v>
                </c:pt>
                <c:pt idx="2">
                  <c:v>87</c:v>
                </c:pt>
                <c:pt idx="3">
                  <c:v>568</c:v>
                </c:pt>
                <c:pt idx="4">
                  <c:v>8452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2C-0947-96FB-C5F9F3CFBF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BASE MANAGEMENT FEES</c:v>
                </c:pt>
                <c:pt idx="1">
                  <c:v>FRANCHISE FEES</c:v>
                </c:pt>
                <c:pt idx="2">
                  <c:v>INCENTIVE MANAGEMENT FEES</c:v>
                </c:pt>
                <c:pt idx="3">
                  <c:v>OWNED, LEASED AND OTHER</c:v>
                </c:pt>
                <c:pt idx="4">
                  <c:v>COST REIMBURSMENT</c:v>
                </c:pt>
              </c:strCache>
            </c:strRef>
          </c:cat>
          <c:val>
            <c:numRef>
              <c:f>Sheet1!$C$2:$C$6</c:f>
              <c:numCache>
                <c:formatCode>#,##0_);\(#,##0\)</c:formatCode>
                <c:ptCount val="5"/>
                <c:pt idx="0">
                  <c:v>669</c:v>
                </c:pt>
                <c:pt idx="1">
                  <c:v>1790</c:v>
                </c:pt>
                <c:pt idx="2">
                  <c:v>235</c:v>
                </c:pt>
                <c:pt idx="3">
                  <c:v>796</c:v>
                </c:pt>
                <c:pt idx="4">
                  <c:v>10442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2C-0947-96FB-C5F9F3CFBF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BASE MANAGEMENT FEES</c:v>
                </c:pt>
                <c:pt idx="1">
                  <c:v>FRANCHISE FEES</c:v>
                </c:pt>
                <c:pt idx="2">
                  <c:v>INCENTIVE MANAGEMENT FEES</c:v>
                </c:pt>
                <c:pt idx="3">
                  <c:v>OWNED, LEASED AND OTHER</c:v>
                </c:pt>
                <c:pt idx="4">
                  <c:v>COST REIMBURSMENT</c:v>
                </c:pt>
              </c:strCache>
            </c:strRef>
          </c:cat>
          <c:val>
            <c:numRef>
              <c:f>Sheet1!$D$2:$D$6</c:f>
              <c:numCache>
                <c:formatCode>#,##0_);\(#,##0\)</c:formatCode>
                <c:ptCount val="5"/>
                <c:pt idx="0">
                  <c:v>1044</c:v>
                </c:pt>
                <c:pt idx="1">
                  <c:v>2505</c:v>
                </c:pt>
                <c:pt idx="2">
                  <c:v>529</c:v>
                </c:pt>
                <c:pt idx="3">
                  <c:v>1367</c:v>
                </c:pt>
                <c:pt idx="4">
                  <c:v>15417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2C-0947-96FB-C5F9F3CFBF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299265120"/>
        <c:axId val="1299266768"/>
      </c:barChart>
      <c:catAx>
        <c:axId val="12992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9266768"/>
        <c:crosses val="autoZero"/>
        <c:auto val="1"/>
        <c:lblAlgn val="ctr"/>
        <c:lblOffset val="100"/>
        <c:noMultiLvlLbl val="0"/>
      </c:catAx>
      <c:valAx>
        <c:axId val="1299266768"/>
        <c:scaling>
          <c:orientation val="minMax"/>
        </c:scaling>
        <c:delete val="0"/>
        <c:axPos val="l"/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92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Sheet1!$A$32:$A$36</c:f>
              <c:strCache>
                <c:ptCount val="5"/>
                <c:pt idx="0">
                  <c:v>MARRIOTT</c:v>
                </c:pt>
                <c:pt idx="1">
                  <c:v>HILTON</c:v>
                </c:pt>
                <c:pt idx="2">
                  <c:v>CHOICE HOTELS</c:v>
                </c:pt>
                <c:pt idx="3">
                  <c:v>HYATT</c:v>
                </c:pt>
                <c:pt idx="4">
                  <c:v>INTERCONTINENTAL</c:v>
                </c:pt>
              </c:strCache>
            </c:strRef>
          </c:cat>
          <c:val>
            <c:numRef>
              <c:f>Sheet1!$B$32:$B$36</c:f>
              <c:numCache>
                <c:formatCode>#,##0_);\(#,##0\)</c:formatCode>
                <c:ptCount val="5"/>
                <c:pt idx="0">
                  <c:v>-267</c:v>
                </c:pt>
                <c:pt idx="1">
                  <c:v>-720</c:v>
                </c:pt>
                <c:pt idx="2">
                  <c:v>75</c:v>
                </c:pt>
                <c:pt idx="3">
                  <c:v>-703</c:v>
                </c:pt>
                <c:pt idx="4">
                  <c:v>-153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8-344E-973B-91095F3DAA7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Sheet1!$A$32:$A$36</c:f>
              <c:strCache>
                <c:ptCount val="5"/>
                <c:pt idx="0">
                  <c:v>MARRIOTT</c:v>
                </c:pt>
                <c:pt idx="1">
                  <c:v>HILTON</c:v>
                </c:pt>
                <c:pt idx="2">
                  <c:v>CHOICE HOTELS</c:v>
                </c:pt>
                <c:pt idx="3">
                  <c:v>HYATT</c:v>
                </c:pt>
                <c:pt idx="4">
                  <c:v>INTERCONTINENTAL</c:v>
                </c:pt>
              </c:strCache>
            </c:strRef>
          </c:cat>
          <c:val>
            <c:numRef>
              <c:f>Sheet1!$C$32:$C$36</c:f>
              <c:numCache>
                <c:formatCode>#,##0_);\(#,##0\)</c:formatCode>
                <c:ptCount val="5"/>
                <c:pt idx="0">
                  <c:v>1099</c:v>
                </c:pt>
                <c:pt idx="1">
                  <c:v>407</c:v>
                </c:pt>
                <c:pt idx="2">
                  <c:v>288</c:v>
                </c:pt>
                <c:pt idx="3">
                  <c:v>-222</c:v>
                </c:pt>
                <c:pt idx="4">
                  <c:v>494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48-344E-973B-91095F3DAA7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Sheet1!$A$32:$A$36</c:f>
              <c:strCache>
                <c:ptCount val="5"/>
                <c:pt idx="0">
                  <c:v>MARRIOTT</c:v>
                </c:pt>
                <c:pt idx="1">
                  <c:v>HILTON</c:v>
                </c:pt>
                <c:pt idx="2">
                  <c:v>CHOICE HOTELS</c:v>
                </c:pt>
                <c:pt idx="3">
                  <c:v>HYATT</c:v>
                </c:pt>
                <c:pt idx="4">
                  <c:v>INTERCONTINENTAL</c:v>
                </c:pt>
              </c:strCache>
            </c:strRef>
          </c:cat>
          <c:val>
            <c:numRef>
              <c:f>Sheet1!$D$32:$D$36</c:f>
              <c:numCache>
                <c:formatCode>#,##0_);\(#,##0\)</c:formatCode>
                <c:ptCount val="5"/>
                <c:pt idx="0">
                  <c:v>2358</c:v>
                </c:pt>
                <c:pt idx="1">
                  <c:v>1257</c:v>
                </c:pt>
                <c:pt idx="2">
                  <c:v>332</c:v>
                </c:pt>
                <c:pt idx="3">
                  <c:v>455</c:v>
                </c:pt>
                <c:pt idx="4">
                  <c:v>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48-344E-973B-91095F3DAA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299265120"/>
        <c:axId val="1299266768"/>
      </c:barChart>
      <c:catAx>
        <c:axId val="12992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9266768"/>
        <c:crosses val="autoZero"/>
        <c:auto val="1"/>
        <c:lblAlgn val="ctr"/>
        <c:lblOffset val="100"/>
        <c:noMultiLvlLbl val="0"/>
      </c:catAx>
      <c:valAx>
        <c:axId val="1299266768"/>
        <c:scaling>
          <c:orientation val="minMax"/>
        </c:scaling>
        <c:delete val="0"/>
        <c:axPos val="l"/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92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Sheet1!$U$35</c:f>
              <c:strCache>
                <c:ptCount val="1"/>
                <c:pt idx="0">
                  <c:v>Marriott International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Sheet1!$V$33:$AA$34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Sheet1!$V$35:$AA$35</c:f>
              <c:numCache>
                <c:formatCode>General</c:formatCode>
                <c:ptCount val="6"/>
                <c:pt idx="0">
                  <c:v>100</c:v>
                </c:pt>
                <c:pt idx="1">
                  <c:v>80.959999999999994</c:v>
                </c:pt>
                <c:pt idx="2">
                  <c:v>114.58</c:v>
                </c:pt>
                <c:pt idx="3">
                  <c:v>100.22</c:v>
                </c:pt>
                <c:pt idx="4">
                  <c:v>125.53</c:v>
                </c:pt>
                <c:pt idx="5">
                  <c:v>113.8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28-EF4A-8131-CCBBEBA2FEF5}"/>
            </c:ext>
          </c:extLst>
        </c:ser>
        <c:ser>
          <c:idx val="1"/>
          <c:order val="1"/>
          <c:tx>
            <c:strRef>
              <c:f>Sheet1!$U$36</c:f>
              <c:strCache>
                <c:ptCount val="1"/>
                <c:pt idx="0">
                  <c:v>S&amp;P 500 Hotels, Resorts &amp; Cruise Lines Index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Sheet1!$V$33:$AA$34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Sheet1!$V$36:$AA$36</c:f>
              <c:numCache>
                <c:formatCode>General</c:formatCode>
                <c:ptCount val="6"/>
                <c:pt idx="0">
                  <c:v>100</c:v>
                </c:pt>
                <c:pt idx="1">
                  <c:v>81.94</c:v>
                </c:pt>
                <c:pt idx="2">
                  <c:v>112.3</c:v>
                </c:pt>
                <c:pt idx="3">
                  <c:v>83.24</c:v>
                </c:pt>
                <c:pt idx="4">
                  <c:v>99.76</c:v>
                </c:pt>
                <c:pt idx="5">
                  <c:v>75.569999999999993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28-EF4A-8131-CCBBEBA2FEF5}"/>
            </c:ext>
          </c:extLst>
        </c:ser>
        <c:ser>
          <c:idx val="2"/>
          <c:order val="2"/>
          <c:tx>
            <c:strRef>
              <c:f>Sheet1!$U$37</c:f>
              <c:strCache>
                <c:ptCount val="1"/>
                <c:pt idx="0">
                  <c:v>S&amp;P 500 Index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Sheet1!$V$33:$AA$34</c:f>
              <c:strCach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strCache>
            </c:strRef>
          </c:cat>
          <c:val>
            <c:numRef>
              <c:f>Sheet1!$V$37:$AA$37</c:f>
              <c:numCache>
                <c:formatCode>General</c:formatCode>
                <c:ptCount val="6"/>
                <c:pt idx="0">
                  <c:v>100</c:v>
                </c:pt>
                <c:pt idx="1">
                  <c:v>95.61</c:v>
                </c:pt>
                <c:pt idx="2">
                  <c:v>125.7</c:v>
                </c:pt>
                <c:pt idx="3">
                  <c:v>148.82</c:v>
                </c:pt>
                <c:pt idx="4">
                  <c:v>191.5</c:v>
                </c:pt>
                <c:pt idx="5">
                  <c:v>156.78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28-EF4A-8131-CCBBEBA2FE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8636528"/>
        <c:axId val="1313066928"/>
      </c:lineChart>
      <c:catAx>
        <c:axId val="130863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3066928"/>
        <c:crosses val="autoZero"/>
        <c:auto val="1"/>
        <c:lblAlgn val="ctr"/>
        <c:lblOffset val="100"/>
        <c:noMultiLvlLbl val="0"/>
      </c:catAx>
      <c:valAx>
        <c:axId val="131306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863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Sheet1!$U$2:$U$6</cx:f>
        <cx:lvl ptCount="5">
          <cx:pt idx="0">BASE MANAGEMENT FEES</cx:pt>
          <cx:pt idx="1">FRANCHISE FEES</cx:pt>
          <cx:pt idx="2">INCENTIVE MANAGEMENT FEES</cx:pt>
          <cx:pt idx="3">OWNED, LEASED AND OTHER</cx:pt>
          <cx:pt idx="4">COST REIMBURSMENT</cx:pt>
        </cx:lvl>
      </cx:strDim>
      <cx:numDim type="size">
        <cx:f>Sheet1!$AD$2:$AD$6</cx:f>
        <cx:lvl ptCount="5" formatCode="0.00%">
          <cx:pt idx="0">0.046814499476802142</cx:pt>
          <cx:pt idx="1">0.11961260175133502</cx:pt>
          <cx:pt idx="2">0.016884916636834956</cx:pt>
          <cx:pt idx="3">0.058994125022701793</cx:pt>
          <cx:pt idx="4">0.76508846620989146</cx:pt>
        </cx:lvl>
      </cx:numDim>
    </cx:data>
  </cx:chartData>
  <cx:chart>
    <cx:plotArea>
      <cx:plotAreaRegion>
        <cx:series layoutId="treemap" uniqueId="{9862E7FA-5011-944D-9B01-E24FEAA06278}">
          <cx:dataLabels pos="inEnd">
            <cx:visibility seriesName="0" categoryName="0" value="1"/>
          </cx:dataLabels>
          <cx:dataId val="0"/>
          <cx:layoutPr>
            <cx:parentLabelLayout val="overlapping"/>
          </cx:layoutPr>
        </cx:series>
      </cx:plotAreaRegion>
    </cx:plotArea>
    <cx:legend pos="t" align="ctr" overlay="0"/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Rapicano</dc:creator>
  <cp:keywords/>
  <dc:description/>
  <cp:lastModifiedBy>David Rapicano</cp:lastModifiedBy>
  <cp:revision>8</cp:revision>
  <dcterms:created xsi:type="dcterms:W3CDTF">2023-06-14T11:48:00Z</dcterms:created>
  <dcterms:modified xsi:type="dcterms:W3CDTF">2023-06-14T16:18:00Z</dcterms:modified>
</cp:coreProperties>
</file>