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3428F" w14:textId="061EEF61" w:rsidR="00797165" w:rsidRDefault="007623BB" w:rsidP="00534099">
      <w:pPr>
        <w:jc w:val="center"/>
        <w:rPr>
          <w:rFonts w:ascii="Calibri" w:hAnsi="Calibri" w:cs="Calibri"/>
          <w:b/>
          <w:bCs/>
          <w:i/>
          <w:iCs/>
          <w:color w:val="000000" w:themeColor="text1"/>
        </w:rPr>
      </w:pPr>
      <w:r w:rsidRPr="00534099">
        <w:rPr>
          <w:rFonts w:ascii="Calibri" w:hAnsi="Calibri" w:cs="Calibri"/>
          <w:b/>
          <w:bCs/>
          <w:i/>
          <w:iCs/>
          <w:color w:val="000000" w:themeColor="text1"/>
        </w:rPr>
        <w:t>MARRIOTT INTERNATIONAL</w:t>
      </w:r>
    </w:p>
    <w:p w14:paraId="6BD212EF" w14:textId="77777777" w:rsidR="00A70A3A" w:rsidRPr="00534099" w:rsidRDefault="00A70A3A" w:rsidP="00534099">
      <w:pPr>
        <w:jc w:val="center"/>
        <w:rPr>
          <w:rFonts w:ascii="Calibri" w:hAnsi="Calibri" w:cs="Calibri"/>
          <w:b/>
          <w:bCs/>
          <w:i/>
          <w:iCs/>
          <w:color w:val="000000" w:themeColor="text1"/>
        </w:rPr>
      </w:pPr>
    </w:p>
    <w:p w14:paraId="20BB6EDE" w14:textId="1DECE8E2" w:rsidR="00B6530C" w:rsidRPr="00B50B37" w:rsidRDefault="00B6530C" w:rsidP="00797165">
      <w:pPr>
        <w:rPr>
          <w:rFonts w:ascii="Calibri" w:hAnsi="Calibri" w:cs="Calibri"/>
          <w:sz w:val="22"/>
          <w:szCs w:val="22"/>
        </w:rPr>
      </w:pPr>
      <w:r>
        <w:rPr>
          <w:rFonts w:ascii="Calibri" w:hAnsi="Calibri" w:cs="Calibri"/>
          <w:sz w:val="22"/>
          <w:szCs w:val="22"/>
        </w:rPr>
        <w:t>Marriot operates a fee-driven, asset-light business model.</w:t>
      </w:r>
      <w:r w:rsidR="00307731">
        <w:rPr>
          <w:rFonts w:ascii="Calibri" w:hAnsi="Calibri" w:cs="Calibri"/>
          <w:sz w:val="22"/>
          <w:szCs w:val="22"/>
        </w:rPr>
        <w:t xml:space="preserve"> The main drivers 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536"/>
      </w:tblGrid>
      <w:tr w:rsidR="007623BB" w:rsidRPr="00ED0700" w14:paraId="2A1354B7" w14:textId="77777777" w:rsidTr="00B50B37">
        <w:tc>
          <w:tcPr>
            <w:tcW w:w="4962" w:type="dxa"/>
          </w:tcPr>
          <w:p w14:paraId="74B5D2C8" w14:textId="77777777" w:rsidR="007623BB" w:rsidRPr="00ED0700" w:rsidRDefault="007623BB" w:rsidP="007623BB">
            <w:pPr>
              <w:rPr>
                <w:rFonts w:ascii="Calibri" w:hAnsi="Calibri" w:cs="Calibri"/>
                <w:b/>
                <w:bCs/>
                <w:i/>
                <w:iCs/>
                <w:color w:val="000000" w:themeColor="text1"/>
                <w:sz w:val="22"/>
                <w:szCs w:val="22"/>
              </w:rPr>
            </w:pPr>
            <w:r w:rsidRPr="00ED0700">
              <w:rPr>
                <w:rFonts w:ascii="Calibri" w:hAnsi="Calibri" w:cs="Calibri"/>
                <w:b/>
                <w:bCs/>
                <w:i/>
                <w:iCs/>
                <w:color w:val="000000" w:themeColor="text1"/>
                <w:sz w:val="22"/>
                <w:szCs w:val="22"/>
              </w:rPr>
              <w:t>Revenue Drivers:</w:t>
            </w:r>
          </w:p>
          <w:p w14:paraId="7E6432D2" w14:textId="77777777" w:rsidR="007623BB" w:rsidRPr="00ED0700" w:rsidRDefault="007623BB" w:rsidP="007623BB">
            <w:pPr>
              <w:pStyle w:val="ListParagraph"/>
              <w:numPr>
                <w:ilvl w:val="0"/>
                <w:numId w:val="2"/>
              </w:numPr>
              <w:rPr>
                <w:rFonts w:ascii="Calibri" w:hAnsi="Calibri" w:cs="Calibri"/>
                <w:color w:val="000000" w:themeColor="text1"/>
                <w:sz w:val="22"/>
                <w:szCs w:val="22"/>
              </w:rPr>
            </w:pPr>
            <w:r w:rsidRPr="00ED0700">
              <w:rPr>
                <w:rFonts w:ascii="Calibri" w:hAnsi="Calibri" w:cs="Calibri"/>
                <w:color w:val="000000" w:themeColor="text1"/>
                <w:sz w:val="22"/>
                <w:szCs w:val="22"/>
              </w:rPr>
              <w:t>Base Management Fees</w:t>
            </w:r>
          </w:p>
          <w:p w14:paraId="64FE9F58" w14:textId="77777777" w:rsidR="007623BB" w:rsidRPr="00ED0700" w:rsidRDefault="007623BB" w:rsidP="007623BB">
            <w:pPr>
              <w:pStyle w:val="ListParagraph"/>
              <w:numPr>
                <w:ilvl w:val="0"/>
                <w:numId w:val="2"/>
              </w:numPr>
              <w:rPr>
                <w:rFonts w:ascii="Calibri" w:hAnsi="Calibri" w:cs="Calibri"/>
                <w:color w:val="000000" w:themeColor="text1"/>
                <w:sz w:val="22"/>
                <w:szCs w:val="22"/>
              </w:rPr>
            </w:pPr>
            <w:r w:rsidRPr="00ED0700">
              <w:rPr>
                <w:rFonts w:ascii="Calibri" w:hAnsi="Calibri" w:cs="Calibri"/>
                <w:color w:val="000000" w:themeColor="text1"/>
                <w:sz w:val="22"/>
                <w:szCs w:val="22"/>
              </w:rPr>
              <w:t>Franchise Fees</w:t>
            </w:r>
          </w:p>
          <w:p w14:paraId="1733D2F4" w14:textId="77777777" w:rsidR="007623BB" w:rsidRPr="00ED0700" w:rsidRDefault="007623BB" w:rsidP="007623BB">
            <w:pPr>
              <w:pStyle w:val="ListParagraph"/>
              <w:numPr>
                <w:ilvl w:val="0"/>
                <w:numId w:val="2"/>
              </w:numPr>
              <w:rPr>
                <w:rFonts w:ascii="Calibri" w:hAnsi="Calibri" w:cs="Calibri"/>
                <w:color w:val="000000" w:themeColor="text1"/>
                <w:sz w:val="22"/>
                <w:szCs w:val="22"/>
              </w:rPr>
            </w:pPr>
            <w:r w:rsidRPr="00ED0700">
              <w:rPr>
                <w:rFonts w:ascii="Calibri" w:hAnsi="Calibri" w:cs="Calibri"/>
                <w:color w:val="000000" w:themeColor="text1"/>
                <w:sz w:val="22"/>
                <w:szCs w:val="22"/>
              </w:rPr>
              <w:t>Incentive Management Fees</w:t>
            </w:r>
          </w:p>
          <w:p w14:paraId="3A30A844" w14:textId="77777777" w:rsidR="007623BB" w:rsidRPr="00ED0700" w:rsidRDefault="007623BB" w:rsidP="007623BB">
            <w:pPr>
              <w:pStyle w:val="ListParagraph"/>
              <w:numPr>
                <w:ilvl w:val="0"/>
                <w:numId w:val="2"/>
              </w:numPr>
              <w:rPr>
                <w:rFonts w:ascii="Calibri" w:hAnsi="Calibri" w:cs="Calibri"/>
                <w:color w:val="000000" w:themeColor="text1"/>
                <w:sz w:val="22"/>
                <w:szCs w:val="22"/>
              </w:rPr>
            </w:pPr>
            <w:r w:rsidRPr="00ED0700">
              <w:rPr>
                <w:rFonts w:ascii="Calibri" w:hAnsi="Calibri" w:cs="Calibri"/>
                <w:color w:val="000000" w:themeColor="text1"/>
                <w:sz w:val="22"/>
                <w:szCs w:val="22"/>
              </w:rPr>
              <w:t>Owned, Leased and Other</w:t>
            </w:r>
          </w:p>
          <w:p w14:paraId="3675CB49" w14:textId="36CC57B8" w:rsidR="007623BB" w:rsidRPr="00310451" w:rsidRDefault="007623BB" w:rsidP="00310451">
            <w:pPr>
              <w:pStyle w:val="ListParagraph"/>
              <w:numPr>
                <w:ilvl w:val="0"/>
                <w:numId w:val="2"/>
              </w:numPr>
              <w:rPr>
                <w:rFonts w:ascii="Calibri" w:hAnsi="Calibri" w:cs="Calibri"/>
                <w:color w:val="000000" w:themeColor="text1"/>
                <w:sz w:val="22"/>
                <w:szCs w:val="22"/>
              </w:rPr>
            </w:pPr>
            <w:r w:rsidRPr="00ED0700">
              <w:rPr>
                <w:rFonts w:ascii="Calibri" w:hAnsi="Calibri" w:cs="Calibri"/>
                <w:color w:val="000000" w:themeColor="text1"/>
                <w:sz w:val="22"/>
                <w:szCs w:val="22"/>
              </w:rPr>
              <w:t>Cost Reimbursements</w:t>
            </w:r>
          </w:p>
        </w:tc>
        <w:tc>
          <w:tcPr>
            <w:tcW w:w="4536" w:type="dxa"/>
          </w:tcPr>
          <w:p w14:paraId="56F5E2F3" w14:textId="77777777" w:rsidR="007623BB" w:rsidRPr="00ED0700" w:rsidRDefault="007623BB" w:rsidP="007623BB">
            <w:pPr>
              <w:rPr>
                <w:rFonts w:ascii="Calibri" w:hAnsi="Calibri" w:cs="Calibri"/>
                <w:b/>
                <w:bCs/>
                <w:i/>
                <w:iCs/>
                <w:color w:val="000000" w:themeColor="text1"/>
                <w:sz w:val="22"/>
                <w:szCs w:val="22"/>
              </w:rPr>
            </w:pPr>
            <w:r w:rsidRPr="00ED0700">
              <w:rPr>
                <w:rFonts w:ascii="Calibri" w:hAnsi="Calibri" w:cs="Calibri"/>
                <w:b/>
                <w:bCs/>
                <w:i/>
                <w:iCs/>
                <w:color w:val="000000" w:themeColor="text1"/>
                <w:sz w:val="22"/>
                <w:szCs w:val="22"/>
              </w:rPr>
              <w:t>Cost Drivers:</w:t>
            </w:r>
          </w:p>
          <w:p w14:paraId="32107A4A" w14:textId="1CC1E72B" w:rsidR="007623BB" w:rsidRPr="00ED0700" w:rsidRDefault="007623BB" w:rsidP="007623BB">
            <w:pPr>
              <w:pStyle w:val="ListParagraph"/>
              <w:numPr>
                <w:ilvl w:val="0"/>
                <w:numId w:val="3"/>
              </w:numPr>
              <w:rPr>
                <w:rFonts w:ascii="Calibri" w:hAnsi="Calibri" w:cs="Calibri"/>
                <w:color w:val="000000" w:themeColor="text1"/>
                <w:sz w:val="22"/>
                <w:szCs w:val="22"/>
              </w:rPr>
            </w:pPr>
            <w:r w:rsidRPr="00ED0700">
              <w:rPr>
                <w:rFonts w:ascii="Calibri" w:hAnsi="Calibri" w:cs="Calibri"/>
                <w:color w:val="000000" w:themeColor="text1"/>
                <w:sz w:val="22"/>
                <w:szCs w:val="22"/>
              </w:rPr>
              <w:t>Owned, Leased and other</w:t>
            </w:r>
          </w:p>
          <w:p w14:paraId="3D3045F2" w14:textId="77777777" w:rsidR="007623BB" w:rsidRPr="00ED0700" w:rsidRDefault="007623BB" w:rsidP="007623BB">
            <w:pPr>
              <w:pStyle w:val="ListParagraph"/>
              <w:numPr>
                <w:ilvl w:val="0"/>
                <w:numId w:val="3"/>
              </w:numPr>
              <w:rPr>
                <w:rFonts w:ascii="Calibri" w:hAnsi="Calibri" w:cs="Calibri"/>
                <w:color w:val="000000" w:themeColor="text1"/>
                <w:sz w:val="22"/>
                <w:szCs w:val="22"/>
              </w:rPr>
            </w:pPr>
            <w:r w:rsidRPr="00ED0700">
              <w:rPr>
                <w:rFonts w:ascii="Calibri" w:hAnsi="Calibri" w:cs="Calibri"/>
                <w:color w:val="000000" w:themeColor="text1"/>
                <w:sz w:val="22"/>
                <w:szCs w:val="22"/>
              </w:rPr>
              <w:t>Depreciation, Amortization and other</w:t>
            </w:r>
          </w:p>
          <w:p w14:paraId="7FF81F50" w14:textId="77777777" w:rsidR="007623BB" w:rsidRPr="00ED0700" w:rsidRDefault="007623BB" w:rsidP="007623BB">
            <w:pPr>
              <w:pStyle w:val="ListParagraph"/>
              <w:numPr>
                <w:ilvl w:val="0"/>
                <w:numId w:val="3"/>
              </w:numPr>
              <w:rPr>
                <w:rFonts w:ascii="Calibri" w:hAnsi="Calibri" w:cs="Calibri"/>
                <w:color w:val="000000" w:themeColor="text1"/>
                <w:sz w:val="22"/>
                <w:szCs w:val="22"/>
              </w:rPr>
            </w:pPr>
            <w:r w:rsidRPr="00ED0700">
              <w:rPr>
                <w:rFonts w:ascii="Calibri" w:hAnsi="Calibri" w:cs="Calibri"/>
                <w:color w:val="000000" w:themeColor="text1"/>
                <w:sz w:val="22"/>
                <w:szCs w:val="22"/>
              </w:rPr>
              <w:t>General, Administrative and other</w:t>
            </w:r>
          </w:p>
          <w:p w14:paraId="6CD64E6D" w14:textId="77777777" w:rsidR="007623BB" w:rsidRPr="00ED0700" w:rsidRDefault="007623BB" w:rsidP="007623BB">
            <w:pPr>
              <w:pStyle w:val="ListParagraph"/>
              <w:numPr>
                <w:ilvl w:val="0"/>
                <w:numId w:val="3"/>
              </w:numPr>
              <w:rPr>
                <w:rFonts w:ascii="Calibri" w:hAnsi="Calibri" w:cs="Calibri"/>
                <w:color w:val="000000" w:themeColor="text1"/>
                <w:sz w:val="22"/>
                <w:szCs w:val="22"/>
              </w:rPr>
            </w:pPr>
            <w:r w:rsidRPr="00ED0700">
              <w:rPr>
                <w:rFonts w:ascii="Calibri" w:hAnsi="Calibri" w:cs="Calibri"/>
                <w:color w:val="000000" w:themeColor="text1"/>
                <w:sz w:val="22"/>
                <w:szCs w:val="22"/>
              </w:rPr>
              <w:t xml:space="preserve">Restructuring, merger-related charges </w:t>
            </w:r>
          </w:p>
          <w:p w14:paraId="60048FF3" w14:textId="55ED8D28" w:rsidR="007623BB" w:rsidRPr="00310451" w:rsidRDefault="007623BB" w:rsidP="00310451">
            <w:pPr>
              <w:pStyle w:val="ListParagraph"/>
              <w:numPr>
                <w:ilvl w:val="0"/>
                <w:numId w:val="3"/>
              </w:numPr>
              <w:rPr>
                <w:rFonts w:ascii="Calibri" w:hAnsi="Calibri" w:cs="Calibri"/>
                <w:color w:val="000000" w:themeColor="text1"/>
                <w:sz w:val="22"/>
                <w:szCs w:val="22"/>
              </w:rPr>
            </w:pPr>
            <w:r w:rsidRPr="00ED0700">
              <w:rPr>
                <w:rFonts w:ascii="Calibri" w:hAnsi="Calibri" w:cs="Calibri"/>
                <w:color w:val="000000" w:themeColor="text1"/>
                <w:sz w:val="22"/>
                <w:szCs w:val="22"/>
              </w:rPr>
              <w:t>Reimbursed expenses</w:t>
            </w:r>
          </w:p>
        </w:tc>
      </w:tr>
    </w:tbl>
    <w:p w14:paraId="6886680E" w14:textId="622656EB" w:rsidR="00B6530C" w:rsidRDefault="00B6530C">
      <w:pPr>
        <w:rPr>
          <w:rFonts w:ascii="Calibri" w:hAnsi="Calibri" w:cs="Calibri"/>
          <w:sz w:val="22"/>
          <w:szCs w:val="22"/>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6"/>
        <w:gridCol w:w="4883"/>
      </w:tblGrid>
      <w:tr w:rsidR="00FC17A4" w14:paraId="69A7C7B6" w14:textId="77777777" w:rsidTr="00B50B37">
        <w:tc>
          <w:tcPr>
            <w:tcW w:w="4756" w:type="dxa"/>
          </w:tcPr>
          <w:p w14:paraId="38BC5954" w14:textId="5D29BBE6" w:rsidR="00631CD1" w:rsidRPr="00562AD6" w:rsidRDefault="00631CD1" w:rsidP="00631CD1">
            <w:pPr>
              <w:rPr>
                <w:rFonts w:ascii="Calibri" w:hAnsi="Calibri" w:cs="Calibri"/>
                <w:i/>
                <w:iCs/>
                <w:sz w:val="15"/>
                <w:szCs w:val="15"/>
              </w:rPr>
            </w:pPr>
            <w:r w:rsidRPr="00562AD6">
              <w:rPr>
                <w:rFonts w:ascii="Calibri" w:hAnsi="Calibri" w:cs="Calibri"/>
                <w:i/>
                <w:iCs/>
                <w:noProof/>
                <w:sz w:val="15"/>
                <w:szCs w:val="15"/>
                <w:lang w:val="en-US" w:eastAsia="en-US"/>
              </w:rPr>
              <w:drawing>
                <wp:inline distT="0" distB="0" distL="0" distR="0" wp14:anchorId="67A48588" wp14:editId="54FFB81A">
                  <wp:extent cx="2814320" cy="1410335"/>
                  <wp:effectExtent l="0" t="0" r="5080" b="0"/>
                  <wp:docPr id="7" name="Picture 7" descr="A picture containing text, software, computer icon, multimedia soft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software, computer icon, multimedia softwar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14320" cy="1410335"/>
                          </a:xfrm>
                          <a:prstGeom prst="rect">
                            <a:avLst/>
                          </a:prstGeom>
                        </pic:spPr>
                      </pic:pic>
                    </a:graphicData>
                  </a:graphic>
                </wp:inline>
              </w:drawing>
            </w:r>
            <w:r w:rsidRPr="00562AD6">
              <w:rPr>
                <w:rFonts w:ascii="Calibri" w:hAnsi="Calibri" w:cs="Calibri"/>
                <w:i/>
                <w:iCs/>
                <w:sz w:val="15"/>
                <w:szCs w:val="15"/>
              </w:rPr>
              <w:t xml:space="preserve"> </w:t>
            </w:r>
            <w:r w:rsidRPr="00631CD1">
              <w:rPr>
                <w:rFonts w:ascii="Calibri" w:hAnsi="Calibri" w:cs="Calibri"/>
                <w:i/>
                <w:iCs/>
                <w:sz w:val="15"/>
                <w:szCs w:val="15"/>
              </w:rPr>
              <w:t>How the revenue drivers have changed in the three most recent financial years (figures shown are in million dollars)</w:t>
            </w:r>
          </w:p>
          <w:p w14:paraId="553EA87E" w14:textId="77777777" w:rsidR="00631CD1" w:rsidRPr="00562AD6" w:rsidRDefault="00631CD1" w:rsidP="00631CD1">
            <w:pPr>
              <w:rPr>
                <w:rFonts w:ascii="Calibri" w:hAnsi="Calibri" w:cs="Calibri"/>
                <w:i/>
                <w:iCs/>
                <w:sz w:val="15"/>
                <w:szCs w:val="15"/>
              </w:rPr>
            </w:pPr>
          </w:p>
          <w:p w14:paraId="32AFFAD5" w14:textId="77777777" w:rsidR="00631CD1" w:rsidRPr="00562AD6" w:rsidRDefault="00631CD1">
            <w:pPr>
              <w:rPr>
                <w:rFonts w:ascii="Calibri" w:hAnsi="Calibri" w:cs="Calibri"/>
                <w:i/>
                <w:iCs/>
                <w:sz w:val="15"/>
                <w:szCs w:val="15"/>
              </w:rPr>
            </w:pPr>
            <w:r w:rsidRPr="00562AD6">
              <w:rPr>
                <w:rFonts w:ascii="Calibri" w:hAnsi="Calibri" w:cs="Calibri"/>
                <w:i/>
                <w:iCs/>
                <w:noProof/>
                <w:sz w:val="15"/>
                <w:szCs w:val="15"/>
                <w:lang w:val="en-US" w:eastAsia="en-US"/>
              </w:rPr>
              <w:drawing>
                <wp:inline distT="0" distB="0" distL="0" distR="0" wp14:anchorId="03C39F61" wp14:editId="28D70D66">
                  <wp:extent cx="2846705" cy="1429385"/>
                  <wp:effectExtent l="0" t="0" r="0" b="5715"/>
                  <wp:docPr id="8" name="Picture 8" descr="A picture containing text, screenshot, software, operating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screenshot, software, operating syste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46705" cy="1429385"/>
                          </a:xfrm>
                          <a:prstGeom prst="rect">
                            <a:avLst/>
                          </a:prstGeom>
                        </pic:spPr>
                      </pic:pic>
                    </a:graphicData>
                  </a:graphic>
                </wp:inline>
              </w:drawing>
            </w:r>
          </w:p>
          <w:p w14:paraId="6EECBD1B" w14:textId="44F954CB" w:rsidR="00631CD1" w:rsidRDefault="00631CD1">
            <w:pPr>
              <w:rPr>
                <w:rFonts w:ascii="Calibri" w:hAnsi="Calibri" w:cs="Calibri"/>
                <w:i/>
                <w:iCs/>
                <w:sz w:val="15"/>
                <w:szCs w:val="15"/>
              </w:rPr>
            </w:pPr>
            <w:r w:rsidRPr="00631CD1">
              <w:rPr>
                <w:rFonts w:ascii="Calibri" w:hAnsi="Calibri" w:cs="Calibri"/>
                <w:i/>
                <w:iCs/>
                <w:sz w:val="15"/>
                <w:szCs w:val="15"/>
              </w:rPr>
              <w:t>3-year average weight of each driver on the total revenue</w:t>
            </w:r>
          </w:p>
          <w:p w14:paraId="2C36B85A" w14:textId="77777777" w:rsidR="00562AD6" w:rsidRDefault="00562AD6">
            <w:pPr>
              <w:rPr>
                <w:rFonts w:ascii="Calibri" w:hAnsi="Calibri" w:cs="Calibri"/>
                <w:i/>
                <w:iCs/>
                <w:sz w:val="15"/>
                <w:szCs w:val="15"/>
              </w:rPr>
            </w:pPr>
          </w:p>
          <w:p w14:paraId="5D68BD4A" w14:textId="2F3ACD14" w:rsidR="00562AD6" w:rsidRPr="00562AD6" w:rsidRDefault="00BE399E">
            <w:pPr>
              <w:rPr>
                <w:rFonts w:ascii="Calibri" w:hAnsi="Calibri" w:cs="Calibri"/>
                <w:i/>
                <w:iCs/>
                <w:sz w:val="15"/>
                <w:szCs w:val="15"/>
              </w:rPr>
            </w:pPr>
            <w:r>
              <w:rPr>
                <w:noProof/>
                <w:lang w:val="en-US" w:eastAsia="en-US"/>
              </w:rPr>
              <w:drawing>
                <wp:inline distT="0" distB="0" distL="0" distR="0" wp14:anchorId="7DDA400B" wp14:editId="2F5163C8">
                  <wp:extent cx="2846705" cy="1349761"/>
                  <wp:effectExtent l="0" t="0" r="0" b="0"/>
                  <wp:docPr id="4" name="Picture 4" descr="A picture containing text, software, number,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oftware, number, 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38464" cy="1393268"/>
                          </a:xfrm>
                          <a:prstGeom prst="rect">
                            <a:avLst/>
                          </a:prstGeom>
                        </pic:spPr>
                      </pic:pic>
                    </a:graphicData>
                  </a:graphic>
                </wp:inline>
              </w:drawing>
            </w:r>
          </w:p>
          <w:p w14:paraId="4B90E607" w14:textId="71C19F14" w:rsidR="00562AD6" w:rsidRPr="00FC17A4" w:rsidRDefault="00562AD6">
            <w:pPr>
              <w:rPr>
                <w:rFonts w:ascii="Calibri" w:hAnsi="Calibri" w:cs="Calibri"/>
                <w:i/>
                <w:iCs/>
                <w:sz w:val="15"/>
                <w:szCs w:val="15"/>
              </w:rPr>
            </w:pPr>
            <w:r w:rsidRPr="00562AD6">
              <w:rPr>
                <w:rFonts w:ascii="Calibri" w:hAnsi="Calibri" w:cs="Calibri"/>
                <w:i/>
                <w:iCs/>
                <w:sz w:val="15"/>
                <w:szCs w:val="15"/>
              </w:rPr>
              <w:t>Marriott has performed better than its peers in the most recent triennium return</w:t>
            </w:r>
            <w:r>
              <w:rPr>
                <w:rFonts w:ascii="Calibri" w:hAnsi="Calibri" w:cs="Calibri"/>
                <w:i/>
                <w:iCs/>
                <w:sz w:val="15"/>
                <w:szCs w:val="15"/>
              </w:rPr>
              <w:t xml:space="preserve">ing much </w:t>
            </w:r>
            <w:r w:rsidRPr="00562AD6">
              <w:rPr>
                <w:rFonts w:ascii="Calibri" w:hAnsi="Calibri" w:cs="Calibri"/>
                <w:i/>
                <w:iCs/>
                <w:sz w:val="15"/>
                <w:szCs w:val="15"/>
              </w:rPr>
              <w:t xml:space="preserve">higher profits. </w:t>
            </w:r>
          </w:p>
        </w:tc>
        <w:tc>
          <w:tcPr>
            <w:tcW w:w="4883" w:type="dxa"/>
          </w:tcPr>
          <w:p w14:paraId="48A4906D" w14:textId="16F32EEA" w:rsidR="00631CD1" w:rsidRDefault="00631CD1" w:rsidP="00FC17A4">
            <w:pPr>
              <w:jc w:val="both"/>
              <w:rPr>
                <w:rFonts w:ascii="Calibri" w:hAnsi="Calibri" w:cs="Calibri"/>
                <w:sz w:val="22"/>
                <w:szCs w:val="22"/>
              </w:rPr>
            </w:pPr>
            <w:bookmarkStart w:id="0" w:name="OLE_LINK1"/>
            <w:r>
              <w:rPr>
                <w:rFonts w:ascii="Calibri" w:hAnsi="Calibri" w:cs="Calibri"/>
                <w:sz w:val="22"/>
                <w:szCs w:val="22"/>
              </w:rPr>
              <w:t>Revenue has grown in the last triennium</w:t>
            </w:r>
            <w:r w:rsidR="000F7217">
              <w:rPr>
                <w:rFonts w:ascii="Calibri" w:hAnsi="Calibri" w:cs="Calibri"/>
                <w:sz w:val="22"/>
                <w:szCs w:val="22"/>
              </w:rPr>
              <w:t>. D</w:t>
            </w:r>
            <w:r>
              <w:rPr>
                <w:rFonts w:ascii="Calibri" w:hAnsi="Calibri" w:cs="Calibri"/>
                <w:sz w:val="22"/>
                <w:szCs w:val="22"/>
              </w:rPr>
              <w:t>espite the percentage</w:t>
            </w:r>
            <w:r w:rsidR="00BE399E">
              <w:rPr>
                <w:rFonts w:ascii="Calibri" w:hAnsi="Calibri" w:cs="Calibri"/>
                <w:sz w:val="22"/>
                <w:szCs w:val="22"/>
              </w:rPr>
              <w:t xml:space="preserve"> </w:t>
            </w:r>
            <w:r>
              <w:rPr>
                <w:rFonts w:ascii="Calibri" w:hAnsi="Calibri" w:cs="Calibri"/>
                <w:sz w:val="22"/>
                <w:szCs w:val="22"/>
              </w:rPr>
              <w:t>per</w:t>
            </w:r>
            <w:r w:rsidR="00BE399E">
              <w:rPr>
                <w:rFonts w:ascii="Calibri" w:hAnsi="Calibri" w:cs="Calibri"/>
                <w:sz w:val="22"/>
                <w:szCs w:val="22"/>
              </w:rPr>
              <w:t xml:space="preserve"> </w:t>
            </w:r>
            <w:r>
              <w:rPr>
                <w:rFonts w:ascii="Calibri" w:hAnsi="Calibri" w:cs="Calibri"/>
                <w:sz w:val="22"/>
                <w:szCs w:val="22"/>
              </w:rPr>
              <w:t xml:space="preserve">year of each driver </w:t>
            </w:r>
            <w:r w:rsidR="00BE399E">
              <w:rPr>
                <w:rFonts w:ascii="Calibri" w:hAnsi="Calibri" w:cs="Calibri"/>
                <w:sz w:val="22"/>
                <w:szCs w:val="22"/>
              </w:rPr>
              <w:t xml:space="preserve">is </w:t>
            </w:r>
            <w:r>
              <w:rPr>
                <w:rFonts w:ascii="Calibri" w:hAnsi="Calibri" w:cs="Calibri"/>
                <w:sz w:val="22"/>
                <w:szCs w:val="22"/>
              </w:rPr>
              <w:t>very close to the averag</w:t>
            </w:r>
            <w:r w:rsidR="00BE399E">
              <w:rPr>
                <w:rFonts w:ascii="Calibri" w:hAnsi="Calibri" w:cs="Calibri"/>
                <w:sz w:val="22"/>
                <w:szCs w:val="22"/>
              </w:rPr>
              <w:t>e,</w:t>
            </w:r>
            <w:r>
              <w:rPr>
                <w:rFonts w:ascii="Calibri" w:hAnsi="Calibri" w:cs="Calibri"/>
                <w:sz w:val="22"/>
                <w:szCs w:val="22"/>
              </w:rPr>
              <w:t xml:space="preserve"> a </w:t>
            </w:r>
            <w:r w:rsidR="000F7217">
              <w:rPr>
                <w:rFonts w:ascii="Calibri" w:hAnsi="Calibri" w:cs="Calibri"/>
                <w:sz w:val="22"/>
                <w:szCs w:val="22"/>
              </w:rPr>
              <w:t xml:space="preserve">trend is </w:t>
            </w:r>
            <w:r>
              <w:rPr>
                <w:rFonts w:ascii="Calibri" w:hAnsi="Calibri" w:cs="Calibri"/>
                <w:sz w:val="22"/>
                <w:szCs w:val="22"/>
              </w:rPr>
              <w:t xml:space="preserve">emerging </w:t>
            </w:r>
            <w:r w:rsidR="000F7217">
              <w:rPr>
                <w:rFonts w:ascii="Calibri" w:hAnsi="Calibri" w:cs="Calibri"/>
                <w:sz w:val="22"/>
                <w:szCs w:val="22"/>
              </w:rPr>
              <w:t xml:space="preserve">for which </w:t>
            </w:r>
            <w:r>
              <w:rPr>
                <w:rFonts w:ascii="Calibri" w:hAnsi="Calibri" w:cs="Calibri"/>
                <w:i/>
                <w:iCs/>
                <w:sz w:val="22"/>
                <w:szCs w:val="22"/>
              </w:rPr>
              <w:t>cost reimbursement</w:t>
            </w:r>
            <w:r>
              <w:rPr>
                <w:rFonts w:ascii="Calibri" w:hAnsi="Calibri" w:cs="Calibri"/>
                <w:sz w:val="22"/>
                <w:szCs w:val="22"/>
              </w:rPr>
              <w:t xml:space="preserve"> </w:t>
            </w:r>
            <w:r w:rsidR="000F7217">
              <w:rPr>
                <w:rFonts w:ascii="Calibri" w:hAnsi="Calibri" w:cs="Calibri"/>
                <w:sz w:val="22"/>
                <w:szCs w:val="22"/>
              </w:rPr>
              <w:t xml:space="preserve">is </w:t>
            </w:r>
            <w:r>
              <w:rPr>
                <w:rFonts w:ascii="Calibri" w:hAnsi="Calibri" w:cs="Calibri"/>
                <w:sz w:val="22"/>
                <w:szCs w:val="22"/>
              </w:rPr>
              <w:t>slightly decreasing while all other drivers are slowly becoming more predominant</w:t>
            </w:r>
            <w:r w:rsidR="000F7217">
              <w:rPr>
                <w:rFonts w:ascii="Calibri" w:hAnsi="Calibri" w:cs="Calibri"/>
                <w:sz w:val="22"/>
                <w:szCs w:val="22"/>
              </w:rPr>
              <w:t>; t</w:t>
            </w:r>
            <w:r>
              <w:rPr>
                <w:rFonts w:ascii="Calibri" w:hAnsi="Calibri" w:cs="Calibri"/>
                <w:sz w:val="22"/>
                <w:szCs w:val="22"/>
              </w:rPr>
              <w:t>his is due to an increase in managed, franchised and leased properties</w:t>
            </w:r>
            <w:r w:rsidR="00562AD6">
              <w:rPr>
                <w:rFonts w:ascii="Calibri" w:hAnsi="Calibri" w:cs="Calibri"/>
                <w:sz w:val="22"/>
                <w:szCs w:val="22"/>
              </w:rPr>
              <w:t>.</w:t>
            </w:r>
          </w:p>
          <w:bookmarkEnd w:id="0"/>
          <w:p w14:paraId="41E61578" w14:textId="77777777" w:rsidR="00562AD6" w:rsidRDefault="00562AD6" w:rsidP="00FC17A4">
            <w:pPr>
              <w:jc w:val="both"/>
              <w:rPr>
                <w:rFonts w:ascii="Calibri" w:hAnsi="Calibri" w:cs="Calibri"/>
                <w:sz w:val="22"/>
                <w:szCs w:val="22"/>
              </w:rPr>
            </w:pPr>
          </w:p>
          <w:p w14:paraId="23F12489" w14:textId="55BBE9AF" w:rsidR="00562AD6" w:rsidRDefault="00562AD6" w:rsidP="00FC17A4">
            <w:pPr>
              <w:jc w:val="both"/>
              <w:rPr>
                <w:rFonts w:ascii="Calibri" w:hAnsi="Calibri" w:cs="Calibri"/>
                <w:sz w:val="22"/>
                <w:szCs w:val="22"/>
              </w:rPr>
            </w:pPr>
            <w:r>
              <w:rPr>
                <w:rFonts w:ascii="Calibri" w:hAnsi="Calibri" w:cs="Calibri"/>
                <w:sz w:val="22"/>
                <w:szCs w:val="22"/>
              </w:rPr>
              <w:t xml:space="preserve">Cost drivers growth/decrease is directly related to the company total revenue </w:t>
            </w:r>
            <w:r w:rsidR="00153D8E">
              <w:rPr>
                <w:rFonts w:ascii="Calibri" w:hAnsi="Calibri" w:cs="Calibri"/>
                <w:sz w:val="22"/>
                <w:szCs w:val="22"/>
              </w:rPr>
              <w:t xml:space="preserve">with </w:t>
            </w:r>
            <w:r>
              <w:rPr>
                <w:rFonts w:ascii="Calibri" w:hAnsi="Calibri" w:cs="Calibri"/>
                <w:i/>
                <w:iCs/>
                <w:sz w:val="22"/>
                <w:szCs w:val="22"/>
              </w:rPr>
              <w:t>restructuring, merger-related charges</w:t>
            </w:r>
            <w:r>
              <w:rPr>
                <w:rFonts w:ascii="Calibri" w:hAnsi="Calibri" w:cs="Calibri"/>
                <w:sz w:val="22"/>
                <w:szCs w:val="22"/>
              </w:rPr>
              <w:t xml:space="preserve"> being the only exception. These were very predominant in 2020 for cost-saving measures. </w:t>
            </w:r>
          </w:p>
          <w:p w14:paraId="444826F3" w14:textId="77777777" w:rsidR="00562AD6" w:rsidRDefault="00562AD6" w:rsidP="00FC17A4">
            <w:pPr>
              <w:jc w:val="both"/>
              <w:rPr>
                <w:rFonts w:ascii="Calibri" w:hAnsi="Calibri" w:cs="Calibri"/>
                <w:sz w:val="22"/>
                <w:szCs w:val="22"/>
              </w:rPr>
            </w:pPr>
            <w:r>
              <w:rPr>
                <w:rFonts w:ascii="Calibri" w:hAnsi="Calibri" w:cs="Calibri"/>
                <w:sz w:val="22"/>
                <w:szCs w:val="22"/>
              </w:rPr>
              <w:t xml:space="preserve">An opposite trend is emerging for which the weight of </w:t>
            </w:r>
            <w:r>
              <w:rPr>
                <w:rFonts w:ascii="Calibri" w:hAnsi="Calibri" w:cs="Calibri"/>
                <w:i/>
                <w:iCs/>
                <w:sz w:val="22"/>
                <w:szCs w:val="22"/>
              </w:rPr>
              <w:t>reimbursed expenses</w:t>
            </w:r>
            <w:r>
              <w:rPr>
                <w:rFonts w:ascii="Calibri" w:hAnsi="Calibri" w:cs="Calibri"/>
                <w:sz w:val="22"/>
                <w:szCs w:val="22"/>
              </w:rPr>
              <w:t xml:space="preserve"> is accounting for a larger portion in relation to the total expenses.</w:t>
            </w:r>
          </w:p>
          <w:p w14:paraId="05362C6C" w14:textId="77777777" w:rsidR="00562AD6" w:rsidRDefault="00562AD6" w:rsidP="00FC17A4">
            <w:pPr>
              <w:jc w:val="both"/>
              <w:rPr>
                <w:rFonts w:ascii="Calibri" w:hAnsi="Calibri" w:cs="Calibri"/>
                <w:sz w:val="22"/>
                <w:szCs w:val="22"/>
              </w:rPr>
            </w:pPr>
          </w:p>
          <w:p w14:paraId="25C9197C" w14:textId="35FA0A65" w:rsidR="00562AD6" w:rsidRDefault="00562AD6" w:rsidP="00FC17A4">
            <w:pPr>
              <w:jc w:val="both"/>
              <w:rPr>
                <w:rFonts w:ascii="Calibri" w:hAnsi="Calibri" w:cs="Calibri"/>
                <w:sz w:val="22"/>
                <w:szCs w:val="22"/>
              </w:rPr>
            </w:pPr>
            <w:r>
              <w:rPr>
                <w:rFonts w:ascii="Calibri" w:hAnsi="Calibri" w:cs="Calibri"/>
                <w:sz w:val="22"/>
                <w:szCs w:val="22"/>
              </w:rPr>
              <w:t>Marriott managed to turn much better profits than its rivals and doubled its profits in 2022</w:t>
            </w:r>
            <w:r w:rsidR="00FC17A4">
              <w:rPr>
                <w:rFonts w:ascii="Calibri" w:hAnsi="Calibri" w:cs="Calibri"/>
                <w:sz w:val="22"/>
                <w:szCs w:val="22"/>
              </w:rPr>
              <w:t>.</w:t>
            </w:r>
          </w:p>
          <w:p w14:paraId="090956E2" w14:textId="083C3B74" w:rsidR="00FC17A4" w:rsidRDefault="00FC17A4" w:rsidP="00FC17A4">
            <w:pPr>
              <w:jc w:val="both"/>
              <w:rPr>
                <w:rFonts w:ascii="Calibri" w:hAnsi="Calibri" w:cs="Calibri"/>
                <w:sz w:val="22"/>
                <w:szCs w:val="22"/>
              </w:rPr>
            </w:pPr>
            <w:r>
              <w:rPr>
                <w:rFonts w:ascii="Calibri" w:hAnsi="Calibri" w:cs="Calibri"/>
                <w:sz w:val="22"/>
                <w:szCs w:val="22"/>
              </w:rPr>
              <w:t xml:space="preserve">Although the company has underperformed the </w:t>
            </w:r>
            <w:r w:rsidRPr="00C72DE2">
              <w:rPr>
                <w:rFonts w:ascii="Calibri" w:hAnsi="Calibri" w:cs="Calibri"/>
                <w:i/>
                <w:iCs/>
                <w:sz w:val="22"/>
                <w:szCs w:val="22"/>
              </w:rPr>
              <w:t>S&amp;P 500</w:t>
            </w:r>
            <w:r>
              <w:rPr>
                <w:rFonts w:ascii="Calibri" w:hAnsi="Calibri" w:cs="Calibri"/>
                <w:sz w:val="22"/>
                <w:szCs w:val="22"/>
              </w:rPr>
              <w:t xml:space="preserve">, it’s quickly recovering and reaffirms its sector leadership widely outperforming the </w:t>
            </w:r>
            <w:r w:rsidRPr="00C72DE2">
              <w:rPr>
                <w:rFonts w:ascii="Calibri" w:hAnsi="Calibri" w:cs="Calibri"/>
                <w:i/>
                <w:iCs/>
                <w:sz w:val="22"/>
                <w:szCs w:val="22"/>
              </w:rPr>
              <w:t>S&amp;P 500 exclusive to Hotels, Resorts &amp; Cruise Lines</w:t>
            </w:r>
            <w:r>
              <w:rPr>
                <w:rFonts w:ascii="Calibri" w:hAnsi="Calibri" w:cs="Calibri"/>
                <w:sz w:val="22"/>
                <w:szCs w:val="22"/>
              </w:rPr>
              <w:t>.</w:t>
            </w:r>
          </w:p>
          <w:p w14:paraId="09C178A2" w14:textId="7E87497F" w:rsidR="00FC17A4" w:rsidRDefault="00FC17A4" w:rsidP="00FC17A4">
            <w:pPr>
              <w:rPr>
                <w:rFonts w:ascii="Calibri" w:hAnsi="Calibri" w:cs="Calibri"/>
                <w:sz w:val="22"/>
                <w:szCs w:val="22"/>
              </w:rPr>
            </w:pPr>
          </w:p>
          <w:p w14:paraId="10D5804D" w14:textId="2C00A5B2" w:rsidR="00FC17A4" w:rsidRPr="00FC17A4" w:rsidRDefault="00FC17A4" w:rsidP="00FC17A4">
            <w:pPr>
              <w:jc w:val="both"/>
              <w:rPr>
                <w:rFonts w:ascii="Calibri" w:hAnsi="Calibri" w:cs="Calibri"/>
                <w:color w:val="000000" w:themeColor="text1"/>
                <w:sz w:val="22"/>
                <w:szCs w:val="22"/>
              </w:rPr>
            </w:pPr>
            <w:r w:rsidRPr="00FD3500">
              <w:rPr>
                <w:rFonts w:ascii="Calibri" w:hAnsi="Calibri" w:cs="Calibri"/>
                <w:color w:val="000000" w:themeColor="text1"/>
                <w:sz w:val="22"/>
                <w:szCs w:val="22"/>
              </w:rPr>
              <w:t xml:space="preserve">Overall, the company had a very positive performance in 2022, but is necessary to extend the research scope and include the 2017-2019 </w:t>
            </w:r>
            <w:r>
              <w:rPr>
                <w:rFonts w:ascii="Calibri" w:hAnsi="Calibri" w:cs="Calibri"/>
                <w:color w:val="000000" w:themeColor="text1"/>
                <w:sz w:val="22"/>
                <w:szCs w:val="22"/>
              </w:rPr>
              <w:t xml:space="preserve">triennium since </w:t>
            </w:r>
            <w:r w:rsidRPr="00FD3500">
              <w:rPr>
                <w:rFonts w:ascii="Calibri" w:hAnsi="Calibri" w:cs="Calibri"/>
                <w:color w:val="000000" w:themeColor="text1"/>
                <w:sz w:val="22"/>
                <w:szCs w:val="22"/>
              </w:rPr>
              <w:t xml:space="preserve">the lodging industry </w:t>
            </w:r>
            <w:r>
              <w:rPr>
                <w:rFonts w:ascii="Calibri" w:hAnsi="Calibri" w:cs="Calibri"/>
                <w:color w:val="000000" w:themeColor="text1"/>
                <w:sz w:val="22"/>
                <w:szCs w:val="22"/>
              </w:rPr>
              <w:t xml:space="preserve">was </w:t>
            </w:r>
            <w:r w:rsidRPr="00FD3500">
              <w:rPr>
                <w:rFonts w:ascii="Calibri" w:hAnsi="Calibri" w:cs="Calibri"/>
                <w:color w:val="000000" w:themeColor="text1"/>
                <w:sz w:val="22"/>
                <w:szCs w:val="22"/>
              </w:rPr>
              <w:t xml:space="preserve">one of the most affected ones by </w:t>
            </w:r>
            <w:r>
              <w:rPr>
                <w:rFonts w:ascii="Calibri" w:hAnsi="Calibri" w:cs="Calibri"/>
                <w:color w:val="000000" w:themeColor="text1"/>
                <w:sz w:val="22"/>
                <w:szCs w:val="22"/>
              </w:rPr>
              <w:t>the pandemic.</w:t>
            </w:r>
            <w:r w:rsidRPr="00FD3500">
              <w:rPr>
                <w:rFonts w:ascii="Calibri" w:hAnsi="Calibri" w:cs="Calibri"/>
                <w:color w:val="000000" w:themeColor="text1"/>
                <w:sz w:val="22"/>
                <w:szCs w:val="22"/>
              </w:rPr>
              <w:t xml:space="preserve"> </w:t>
            </w:r>
          </w:p>
        </w:tc>
      </w:tr>
    </w:tbl>
    <w:p w14:paraId="5DC4D2ED" w14:textId="77777777" w:rsidR="009F480F" w:rsidRDefault="009F480F" w:rsidP="009F480F">
      <w:pPr>
        <w:rPr>
          <w:rFonts w:ascii="Calibri" w:hAnsi="Calibri" w:cs="Calibri"/>
          <w:color w:val="70AD47" w:themeColor="accent6"/>
          <w:sz w:val="22"/>
          <w:szCs w:val="22"/>
        </w:rPr>
      </w:pPr>
    </w:p>
    <w:tbl>
      <w:tblPr>
        <w:tblW w:w="9719" w:type="dxa"/>
        <w:tblLayout w:type="fixed"/>
        <w:tblLook w:val="04A0" w:firstRow="1" w:lastRow="0" w:firstColumn="1" w:lastColumn="0" w:noHBand="0" w:noVBand="1"/>
      </w:tblPr>
      <w:tblGrid>
        <w:gridCol w:w="3686"/>
        <w:gridCol w:w="1145"/>
        <w:gridCol w:w="993"/>
        <w:gridCol w:w="981"/>
        <w:gridCol w:w="992"/>
        <w:gridCol w:w="948"/>
        <w:gridCol w:w="974"/>
      </w:tblGrid>
      <w:tr w:rsidR="00B50B37" w:rsidRPr="00FC17A4" w14:paraId="594B3CB7" w14:textId="77777777" w:rsidTr="00B50B37">
        <w:trPr>
          <w:trHeight w:val="81"/>
        </w:trPr>
        <w:tc>
          <w:tcPr>
            <w:tcW w:w="3686" w:type="dxa"/>
            <w:tcBorders>
              <w:top w:val="nil"/>
              <w:left w:val="nil"/>
              <w:bottom w:val="nil"/>
              <w:right w:val="nil"/>
            </w:tcBorders>
            <w:shd w:val="clear" w:color="auto" w:fill="auto"/>
            <w:noWrap/>
            <w:vAlign w:val="center"/>
            <w:hideMark/>
          </w:tcPr>
          <w:p w14:paraId="62DCBAD1" w14:textId="77777777" w:rsidR="009F480F" w:rsidRPr="00FC17A4" w:rsidRDefault="009F480F" w:rsidP="00583A01">
            <w:pPr>
              <w:jc w:val="center"/>
              <w:rPr>
                <w:rFonts w:ascii="Calibri" w:hAnsi="Calibri" w:cs="Calibri"/>
                <w:sz w:val="16"/>
                <w:szCs w:val="16"/>
              </w:rPr>
            </w:pPr>
          </w:p>
        </w:tc>
        <w:tc>
          <w:tcPr>
            <w:tcW w:w="1145" w:type="dxa"/>
            <w:tcBorders>
              <w:top w:val="nil"/>
              <w:left w:val="nil"/>
              <w:bottom w:val="nil"/>
              <w:right w:val="nil"/>
            </w:tcBorders>
            <w:shd w:val="clear" w:color="auto" w:fill="auto"/>
            <w:noWrap/>
            <w:vAlign w:val="center"/>
            <w:hideMark/>
          </w:tcPr>
          <w:p w14:paraId="48F7D345" w14:textId="77777777" w:rsidR="009F480F" w:rsidRPr="00FC17A4" w:rsidRDefault="009F480F" w:rsidP="00583A01">
            <w:pPr>
              <w:jc w:val="center"/>
              <w:rPr>
                <w:rFonts w:ascii="Calibri" w:hAnsi="Calibri" w:cs="Calibri"/>
                <w:b/>
                <w:bCs/>
                <w:color w:val="000000"/>
                <w:sz w:val="16"/>
                <w:szCs w:val="16"/>
              </w:rPr>
            </w:pPr>
            <w:r w:rsidRPr="00FC17A4">
              <w:rPr>
                <w:rFonts w:ascii="Calibri" w:hAnsi="Calibri" w:cs="Calibri"/>
                <w:b/>
                <w:bCs/>
                <w:color w:val="000000"/>
                <w:sz w:val="16"/>
                <w:szCs w:val="16"/>
              </w:rPr>
              <w:t>2017</w:t>
            </w:r>
          </w:p>
        </w:tc>
        <w:tc>
          <w:tcPr>
            <w:tcW w:w="993" w:type="dxa"/>
            <w:tcBorders>
              <w:top w:val="nil"/>
              <w:left w:val="nil"/>
              <w:bottom w:val="nil"/>
              <w:right w:val="nil"/>
            </w:tcBorders>
            <w:shd w:val="clear" w:color="auto" w:fill="auto"/>
            <w:noWrap/>
            <w:vAlign w:val="center"/>
            <w:hideMark/>
          </w:tcPr>
          <w:p w14:paraId="6670D4C2" w14:textId="77777777" w:rsidR="009F480F" w:rsidRPr="00FC17A4" w:rsidRDefault="009F480F" w:rsidP="00583A01">
            <w:pPr>
              <w:jc w:val="center"/>
              <w:rPr>
                <w:rFonts w:ascii="Calibri" w:hAnsi="Calibri" w:cs="Calibri"/>
                <w:b/>
                <w:bCs/>
                <w:color w:val="000000"/>
                <w:sz w:val="16"/>
                <w:szCs w:val="16"/>
              </w:rPr>
            </w:pPr>
            <w:r w:rsidRPr="00FC17A4">
              <w:rPr>
                <w:rFonts w:ascii="Calibri" w:hAnsi="Calibri" w:cs="Calibri"/>
                <w:b/>
                <w:bCs/>
                <w:color w:val="000000"/>
                <w:sz w:val="16"/>
                <w:szCs w:val="16"/>
              </w:rPr>
              <w:t>2018</w:t>
            </w:r>
          </w:p>
        </w:tc>
        <w:tc>
          <w:tcPr>
            <w:tcW w:w="981" w:type="dxa"/>
            <w:tcBorders>
              <w:top w:val="nil"/>
              <w:left w:val="nil"/>
              <w:bottom w:val="nil"/>
              <w:right w:val="nil"/>
            </w:tcBorders>
            <w:shd w:val="clear" w:color="auto" w:fill="auto"/>
            <w:noWrap/>
            <w:vAlign w:val="center"/>
            <w:hideMark/>
          </w:tcPr>
          <w:p w14:paraId="119EF663" w14:textId="77777777" w:rsidR="009F480F" w:rsidRPr="00FC17A4" w:rsidRDefault="009F480F" w:rsidP="00583A01">
            <w:pPr>
              <w:jc w:val="center"/>
              <w:rPr>
                <w:rFonts w:ascii="Calibri" w:hAnsi="Calibri" w:cs="Calibri"/>
                <w:b/>
                <w:bCs/>
                <w:color w:val="000000"/>
                <w:sz w:val="16"/>
                <w:szCs w:val="16"/>
              </w:rPr>
            </w:pPr>
            <w:r w:rsidRPr="00FC17A4">
              <w:rPr>
                <w:rFonts w:ascii="Calibri" w:hAnsi="Calibri" w:cs="Calibri"/>
                <w:b/>
                <w:bCs/>
                <w:color w:val="000000"/>
                <w:sz w:val="16"/>
                <w:szCs w:val="16"/>
              </w:rPr>
              <w:t>2019</w:t>
            </w:r>
          </w:p>
        </w:tc>
        <w:tc>
          <w:tcPr>
            <w:tcW w:w="992" w:type="dxa"/>
            <w:tcBorders>
              <w:top w:val="nil"/>
              <w:left w:val="nil"/>
              <w:bottom w:val="nil"/>
              <w:right w:val="nil"/>
            </w:tcBorders>
            <w:shd w:val="clear" w:color="auto" w:fill="auto"/>
            <w:noWrap/>
            <w:vAlign w:val="center"/>
            <w:hideMark/>
          </w:tcPr>
          <w:p w14:paraId="1A5EFAA0" w14:textId="77777777" w:rsidR="009F480F" w:rsidRPr="00FC17A4" w:rsidRDefault="009F480F" w:rsidP="00583A01">
            <w:pPr>
              <w:jc w:val="center"/>
              <w:rPr>
                <w:rFonts w:ascii="Calibri" w:hAnsi="Calibri" w:cs="Calibri"/>
                <w:b/>
                <w:bCs/>
                <w:color w:val="D0CECE" w:themeColor="background2" w:themeShade="E6"/>
                <w:sz w:val="16"/>
                <w:szCs w:val="16"/>
              </w:rPr>
            </w:pPr>
            <w:r w:rsidRPr="00FC17A4">
              <w:rPr>
                <w:rFonts w:ascii="Calibri" w:hAnsi="Calibri" w:cs="Calibri"/>
                <w:b/>
                <w:bCs/>
                <w:color w:val="D0CECE" w:themeColor="background2" w:themeShade="E6"/>
                <w:sz w:val="16"/>
                <w:szCs w:val="16"/>
              </w:rPr>
              <w:t>2020</w:t>
            </w:r>
          </w:p>
        </w:tc>
        <w:tc>
          <w:tcPr>
            <w:tcW w:w="948" w:type="dxa"/>
            <w:tcBorders>
              <w:top w:val="nil"/>
              <w:left w:val="nil"/>
              <w:bottom w:val="nil"/>
              <w:right w:val="nil"/>
            </w:tcBorders>
            <w:shd w:val="clear" w:color="auto" w:fill="auto"/>
            <w:noWrap/>
            <w:vAlign w:val="center"/>
            <w:hideMark/>
          </w:tcPr>
          <w:p w14:paraId="48C18A9D" w14:textId="77777777" w:rsidR="009F480F" w:rsidRPr="00FC17A4" w:rsidRDefault="009F480F" w:rsidP="00583A01">
            <w:pPr>
              <w:jc w:val="center"/>
              <w:rPr>
                <w:rFonts w:ascii="Calibri" w:hAnsi="Calibri" w:cs="Calibri"/>
                <w:b/>
                <w:bCs/>
                <w:color w:val="D0CECE" w:themeColor="background2" w:themeShade="E6"/>
                <w:sz w:val="16"/>
                <w:szCs w:val="16"/>
              </w:rPr>
            </w:pPr>
            <w:r w:rsidRPr="00FC17A4">
              <w:rPr>
                <w:rFonts w:ascii="Calibri" w:hAnsi="Calibri" w:cs="Calibri"/>
                <w:b/>
                <w:bCs/>
                <w:color w:val="D0CECE" w:themeColor="background2" w:themeShade="E6"/>
                <w:sz w:val="16"/>
                <w:szCs w:val="16"/>
              </w:rPr>
              <w:t>2021</w:t>
            </w:r>
          </w:p>
        </w:tc>
        <w:tc>
          <w:tcPr>
            <w:tcW w:w="969" w:type="dxa"/>
            <w:tcBorders>
              <w:top w:val="nil"/>
              <w:left w:val="nil"/>
              <w:bottom w:val="nil"/>
              <w:right w:val="nil"/>
            </w:tcBorders>
            <w:shd w:val="clear" w:color="auto" w:fill="auto"/>
            <w:noWrap/>
            <w:vAlign w:val="center"/>
            <w:hideMark/>
          </w:tcPr>
          <w:p w14:paraId="43EF959B" w14:textId="7EF3C72D" w:rsidR="009F480F" w:rsidRPr="00FC17A4" w:rsidRDefault="009F480F" w:rsidP="00583A01">
            <w:pPr>
              <w:jc w:val="center"/>
              <w:rPr>
                <w:rFonts w:ascii="Calibri" w:hAnsi="Calibri" w:cs="Calibri"/>
                <w:b/>
                <w:bCs/>
                <w:color w:val="000000"/>
                <w:sz w:val="16"/>
                <w:szCs w:val="16"/>
              </w:rPr>
            </w:pPr>
            <w:r w:rsidRPr="00FC17A4">
              <w:rPr>
                <w:rFonts w:ascii="Calibri" w:hAnsi="Calibri" w:cs="Calibri"/>
                <w:b/>
                <w:bCs/>
                <w:color w:val="000000"/>
                <w:sz w:val="16"/>
                <w:szCs w:val="16"/>
              </w:rPr>
              <w:t>2022</w:t>
            </w:r>
          </w:p>
        </w:tc>
      </w:tr>
      <w:tr w:rsidR="00B50B37" w:rsidRPr="00FC17A4" w14:paraId="3C0BEAFB" w14:textId="77777777" w:rsidTr="00B50B37">
        <w:trPr>
          <w:trHeight w:val="300"/>
        </w:trPr>
        <w:tc>
          <w:tcPr>
            <w:tcW w:w="3686" w:type="dxa"/>
            <w:tcBorders>
              <w:top w:val="nil"/>
              <w:left w:val="nil"/>
              <w:bottom w:val="nil"/>
              <w:right w:val="nil"/>
            </w:tcBorders>
            <w:shd w:val="clear" w:color="auto" w:fill="auto"/>
            <w:noWrap/>
            <w:vAlign w:val="center"/>
            <w:hideMark/>
          </w:tcPr>
          <w:p w14:paraId="3665176A" w14:textId="77777777" w:rsidR="009F480F" w:rsidRPr="00FC17A4" w:rsidRDefault="009F480F" w:rsidP="00B50B37">
            <w:pPr>
              <w:jc w:val="center"/>
              <w:rPr>
                <w:rFonts w:ascii="Calibri" w:hAnsi="Calibri" w:cs="Calibri"/>
                <w:color w:val="000000"/>
                <w:sz w:val="16"/>
                <w:szCs w:val="16"/>
              </w:rPr>
            </w:pPr>
            <w:r w:rsidRPr="00FC17A4">
              <w:rPr>
                <w:rFonts w:ascii="Calibri" w:hAnsi="Calibri" w:cs="Calibri"/>
                <w:color w:val="000000"/>
                <w:sz w:val="16"/>
                <w:szCs w:val="16"/>
              </w:rPr>
              <w:t>Total Revenue</w:t>
            </w:r>
          </w:p>
        </w:tc>
        <w:tc>
          <w:tcPr>
            <w:tcW w:w="1145" w:type="dxa"/>
            <w:tcBorders>
              <w:top w:val="nil"/>
              <w:left w:val="nil"/>
              <w:bottom w:val="nil"/>
              <w:right w:val="nil"/>
            </w:tcBorders>
            <w:shd w:val="clear" w:color="auto" w:fill="auto"/>
            <w:noWrap/>
            <w:vAlign w:val="center"/>
            <w:hideMark/>
          </w:tcPr>
          <w:p w14:paraId="5F401CAA" w14:textId="77777777" w:rsidR="009F480F" w:rsidRPr="00FC17A4" w:rsidRDefault="009F480F" w:rsidP="00583A01">
            <w:pPr>
              <w:jc w:val="center"/>
              <w:rPr>
                <w:rFonts w:ascii="Calibri" w:hAnsi="Calibri" w:cs="Calibri"/>
                <w:color w:val="000000"/>
                <w:sz w:val="16"/>
                <w:szCs w:val="16"/>
              </w:rPr>
            </w:pPr>
            <w:r w:rsidRPr="00FC17A4">
              <w:rPr>
                <w:rFonts w:ascii="Calibri" w:hAnsi="Calibri" w:cs="Calibri"/>
                <w:color w:val="000000"/>
                <w:sz w:val="16"/>
                <w:szCs w:val="16"/>
              </w:rPr>
              <w:t>20,452</w:t>
            </w:r>
          </w:p>
        </w:tc>
        <w:tc>
          <w:tcPr>
            <w:tcW w:w="993" w:type="dxa"/>
            <w:tcBorders>
              <w:top w:val="nil"/>
              <w:left w:val="nil"/>
              <w:bottom w:val="nil"/>
              <w:right w:val="nil"/>
            </w:tcBorders>
            <w:shd w:val="clear" w:color="auto" w:fill="auto"/>
            <w:noWrap/>
            <w:vAlign w:val="center"/>
            <w:hideMark/>
          </w:tcPr>
          <w:p w14:paraId="399899D3" w14:textId="77777777" w:rsidR="009F480F" w:rsidRPr="00FC17A4" w:rsidRDefault="009F480F" w:rsidP="00583A01">
            <w:pPr>
              <w:jc w:val="center"/>
              <w:rPr>
                <w:rFonts w:ascii="Calibri" w:hAnsi="Calibri" w:cs="Calibri"/>
                <w:color w:val="000000"/>
                <w:sz w:val="16"/>
                <w:szCs w:val="16"/>
              </w:rPr>
            </w:pPr>
            <w:r w:rsidRPr="00FC17A4">
              <w:rPr>
                <w:rFonts w:ascii="Calibri" w:hAnsi="Calibri" w:cs="Calibri"/>
                <w:color w:val="000000"/>
                <w:sz w:val="16"/>
                <w:szCs w:val="16"/>
              </w:rPr>
              <w:t>20,758</w:t>
            </w:r>
          </w:p>
        </w:tc>
        <w:tc>
          <w:tcPr>
            <w:tcW w:w="981" w:type="dxa"/>
            <w:tcBorders>
              <w:top w:val="nil"/>
              <w:left w:val="nil"/>
              <w:bottom w:val="nil"/>
              <w:right w:val="nil"/>
            </w:tcBorders>
            <w:shd w:val="clear" w:color="auto" w:fill="auto"/>
            <w:noWrap/>
            <w:vAlign w:val="center"/>
            <w:hideMark/>
          </w:tcPr>
          <w:p w14:paraId="2E51F4FE" w14:textId="77777777" w:rsidR="009F480F" w:rsidRPr="00FC17A4" w:rsidRDefault="009F480F" w:rsidP="00583A01">
            <w:pPr>
              <w:jc w:val="center"/>
              <w:rPr>
                <w:rFonts w:ascii="Calibri" w:hAnsi="Calibri" w:cs="Calibri"/>
                <w:color w:val="000000"/>
                <w:sz w:val="16"/>
                <w:szCs w:val="16"/>
              </w:rPr>
            </w:pPr>
            <w:r w:rsidRPr="00FC17A4">
              <w:rPr>
                <w:rFonts w:ascii="Calibri" w:hAnsi="Calibri" w:cs="Calibri"/>
                <w:color w:val="000000"/>
                <w:sz w:val="16"/>
                <w:szCs w:val="16"/>
              </w:rPr>
              <w:t>20,972</w:t>
            </w:r>
          </w:p>
        </w:tc>
        <w:tc>
          <w:tcPr>
            <w:tcW w:w="992" w:type="dxa"/>
            <w:tcBorders>
              <w:top w:val="nil"/>
              <w:left w:val="nil"/>
              <w:bottom w:val="nil"/>
              <w:right w:val="nil"/>
            </w:tcBorders>
            <w:shd w:val="clear" w:color="auto" w:fill="auto"/>
            <w:noWrap/>
            <w:vAlign w:val="center"/>
            <w:hideMark/>
          </w:tcPr>
          <w:p w14:paraId="193076BD" w14:textId="77777777" w:rsidR="009F480F" w:rsidRPr="00FC17A4" w:rsidRDefault="009F480F" w:rsidP="00583A01">
            <w:pPr>
              <w:jc w:val="center"/>
              <w:rPr>
                <w:rFonts w:ascii="Calibri" w:hAnsi="Calibri" w:cs="Calibri"/>
                <w:color w:val="D0CECE" w:themeColor="background2" w:themeShade="E6"/>
                <w:sz w:val="16"/>
                <w:szCs w:val="16"/>
              </w:rPr>
            </w:pPr>
            <w:r w:rsidRPr="00FC17A4">
              <w:rPr>
                <w:rFonts w:ascii="Calibri" w:hAnsi="Calibri" w:cs="Calibri"/>
                <w:color w:val="D0CECE" w:themeColor="background2" w:themeShade="E6"/>
                <w:sz w:val="16"/>
                <w:szCs w:val="16"/>
              </w:rPr>
              <w:t>10,571</w:t>
            </w:r>
          </w:p>
        </w:tc>
        <w:tc>
          <w:tcPr>
            <w:tcW w:w="948" w:type="dxa"/>
            <w:tcBorders>
              <w:top w:val="nil"/>
              <w:left w:val="nil"/>
              <w:bottom w:val="nil"/>
              <w:right w:val="nil"/>
            </w:tcBorders>
            <w:shd w:val="clear" w:color="auto" w:fill="auto"/>
            <w:noWrap/>
            <w:vAlign w:val="center"/>
            <w:hideMark/>
          </w:tcPr>
          <w:p w14:paraId="7347E88E" w14:textId="77777777" w:rsidR="009F480F" w:rsidRPr="00FC17A4" w:rsidRDefault="009F480F" w:rsidP="00583A01">
            <w:pPr>
              <w:jc w:val="center"/>
              <w:rPr>
                <w:rFonts w:ascii="Calibri" w:hAnsi="Calibri" w:cs="Calibri"/>
                <w:color w:val="D0CECE" w:themeColor="background2" w:themeShade="E6"/>
                <w:sz w:val="16"/>
                <w:szCs w:val="16"/>
              </w:rPr>
            </w:pPr>
            <w:r w:rsidRPr="00FC17A4">
              <w:rPr>
                <w:rFonts w:ascii="Calibri" w:hAnsi="Calibri" w:cs="Calibri"/>
                <w:color w:val="D0CECE" w:themeColor="background2" w:themeShade="E6"/>
                <w:sz w:val="16"/>
                <w:szCs w:val="16"/>
              </w:rPr>
              <w:t>13,857</w:t>
            </w:r>
          </w:p>
        </w:tc>
        <w:tc>
          <w:tcPr>
            <w:tcW w:w="969" w:type="dxa"/>
            <w:tcBorders>
              <w:top w:val="nil"/>
              <w:left w:val="nil"/>
              <w:bottom w:val="nil"/>
              <w:right w:val="nil"/>
            </w:tcBorders>
            <w:shd w:val="clear" w:color="auto" w:fill="auto"/>
            <w:noWrap/>
            <w:vAlign w:val="center"/>
            <w:hideMark/>
          </w:tcPr>
          <w:p w14:paraId="28B17CC2" w14:textId="77777777" w:rsidR="009F480F" w:rsidRPr="00FC17A4" w:rsidRDefault="009F480F" w:rsidP="00583A01">
            <w:pPr>
              <w:jc w:val="center"/>
              <w:rPr>
                <w:rFonts w:ascii="Calibri" w:hAnsi="Calibri" w:cs="Calibri"/>
                <w:color w:val="000000"/>
                <w:sz w:val="16"/>
                <w:szCs w:val="16"/>
              </w:rPr>
            </w:pPr>
            <w:r w:rsidRPr="00FC17A4">
              <w:rPr>
                <w:rFonts w:ascii="Calibri" w:hAnsi="Calibri" w:cs="Calibri"/>
                <w:color w:val="000000"/>
                <w:sz w:val="16"/>
                <w:szCs w:val="16"/>
              </w:rPr>
              <w:t>20,773</w:t>
            </w:r>
          </w:p>
        </w:tc>
      </w:tr>
      <w:tr w:rsidR="00B50B37" w:rsidRPr="00FC17A4" w14:paraId="0AE92E18" w14:textId="77777777" w:rsidTr="00B50B37">
        <w:trPr>
          <w:trHeight w:val="300"/>
        </w:trPr>
        <w:tc>
          <w:tcPr>
            <w:tcW w:w="3686" w:type="dxa"/>
            <w:tcBorders>
              <w:top w:val="nil"/>
              <w:left w:val="nil"/>
              <w:bottom w:val="nil"/>
              <w:right w:val="nil"/>
            </w:tcBorders>
            <w:shd w:val="clear" w:color="auto" w:fill="auto"/>
            <w:noWrap/>
            <w:vAlign w:val="center"/>
            <w:hideMark/>
          </w:tcPr>
          <w:p w14:paraId="3042641E" w14:textId="77777777" w:rsidR="009F480F" w:rsidRPr="00FC17A4" w:rsidRDefault="009F480F" w:rsidP="00B50B37">
            <w:pPr>
              <w:jc w:val="center"/>
              <w:rPr>
                <w:rFonts w:ascii="Calibri" w:hAnsi="Calibri" w:cs="Calibri"/>
                <w:color w:val="000000"/>
                <w:sz w:val="16"/>
                <w:szCs w:val="16"/>
              </w:rPr>
            </w:pPr>
            <w:r w:rsidRPr="00FC17A4">
              <w:rPr>
                <w:rFonts w:ascii="Calibri" w:hAnsi="Calibri" w:cs="Calibri"/>
                <w:color w:val="000000"/>
                <w:sz w:val="16"/>
                <w:szCs w:val="16"/>
              </w:rPr>
              <w:t>Total Operating Expense</w:t>
            </w:r>
          </w:p>
        </w:tc>
        <w:tc>
          <w:tcPr>
            <w:tcW w:w="1145" w:type="dxa"/>
            <w:tcBorders>
              <w:top w:val="nil"/>
              <w:left w:val="nil"/>
              <w:bottom w:val="nil"/>
              <w:right w:val="nil"/>
            </w:tcBorders>
            <w:shd w:val="clear" w:color="auto" w:fill="auto"/>
            <w:noWrap/>
            <w:vAlign w:val="center"/>
            <w:hideMark/>
          </w:tcPr>
          <w:p w14:paraId="7E07B0EE" w14:textId="77777777" w:rsidR="009F480F" w:rsidRPr="00FC17A4" w:rsidRDefault="009F480F" w:rsidP="00583A01">
            <w:pPr>
              <w:jc w:val="center"/>
              <w:rPr>
                <w:rFonts w:ascii="Calibri" w:hAnsi="Calibri" w:cs="Calibri"/>
                <w:color w:val="000000"/>
                <w:sz w:val="16"/>
                <w:szCs w:val="16"/>
              </w:rPr>
            </w:pPr>
            <w:r w:rsidRPr="00FC17A4">
              <w:rPr>
                <w:rFonts w:ascii="Calibri" w:hAnsi="Calibri" w:cs="Calibri"/>
                <w:color w:val="000000"/>
                <w:sz w:val="16"/>
                <w:szCs w:val="16"/>
              </w:rPr>
              <w:t>17,948</w:t>
            </w:r>
          </w:p>
        </w:tc>
        <w:tc>
          <w:tcPr>
            <w:tcW w:w="993" w:type="dxa"/>
            <w:tcBorders>
              <w:top w:val="nil"/>
              <w:left w:val="nil"/>
              <w:bottom w:val="nil"/>
              <w:right w:val="nil"/>
            </w:tcBorders>
            <w:shd w:val="clear" w:color="auto" w:fill="auto"/>
            <w:noWrap/>
            <w:vAlign w:val="center"/>
            <w:hideMark/>
          </w:tcPr>
          <w:p w14:paraId="081B9918" w14:textId="77777777" w:rsidR="009F480F" w:rsidRPr="00FC17A4" w:rsidRDefault="009F480F" w:rsidP="00583A01">
            <w:pPr>
              <w:jc w:val="center"/>
              <w:rPr>
                <w:rFonts w:ascii="Calibri" w:hAnsi="Calibri" w:cs="Calibri"/>
                <w:color w:val="000000"/>
                <w:sz w:val="16"/>
                <w:szCs w:val="16"/>
              </w:rPr>
            </w:pPr>
            <w:r w:rsidRPr="00FC17A4">
              <w:rPr>
                <w:rFonts w:ascii="Calibri" w:hAnsi="Calibri" w:cs="Calibri"/>
                <w:color w:val="000000"/>
                <w:sz w:val="16"/>
                <w:szCs w:val="16"/>
              </w:rPr>
              <w:t>18,392</w:t>
            </w:r>
          </w:p>
        </w:tc>
        <w:tc>
          <w:tcPr>
            <w:tcW w:w="981" w:type="dxa"/>
            <w:tcBorders>
              <w:top w:val="nil"/>
              <w:left w:val="nil"/>
              <w:bottom w:val="nil"/>
              <w:right w:val="nil"/>
            </w:tcBorders>
            <w:shd w:val="clear" w:color="auto" w:fill="auto"/>
            <w:noWrap/>
            <w:vAlign w:val="center"/>
            <w:hideMark/>
          </w:tcPr>
          <w:p w14:paraId="25CCE04C" w14:textId="77777777" w:rsidR="009F480F" w:rsidRPr="00FC17A4" w:rsidRDefault="009F480F" w:rsidP="00583A01">
            <w:pPr>
              <w:jc w:val="center"/>
              <w:rPr>
                <w:rFonts w:ascii="Calibri" w:hAnsi="Calibri" w:cs="Calibri"/>
                <w:color w:val="000000"/>
                <w:sz w:val="16"/>
                <w:szCs w:val="16"/>
              </w:rPr>
            </w:pPr>
            <w:r w:rsidRPr="00FC17A4">
              <w:rPr>
                <w:rFonts w:ascii="Calibri" w:hAnsi="Calibri" w:cs="Calibri"/>
                <w:color w:val="000000"/>
                <w:sz w:val="16"/>
                <w:szCs w:val="16"/>
              </w:rPr>
              <w:t>19,172</w:t>
            </w:r>
          </w:p>
        </w:tc>
        <w:tc>
          <w:tcPr>
            <w:tcW w:w="992" w:type="dxa"/>
            <w:tcBorders>
              <w:top w:val="nil"/>
              <w:left w:val="nil"/>
              <w:bottom w:val="nil"/>
              <w:right w:val="nil"/>
            </w:tcBorders>
            <w:shd w:val="clear" w:color="auto" w:fill="auto"/>
            <w:noWrap/>
            <w:vAlign w:val="center"/>
            <w:hideMark/>
          </w:tcPr>
          <w:p w14:paraId="3FC58E63" w14:textId="77777777" w:rsidR="009F480F" w:rsidRPr="00FC17A4" w:rsidRDefault="009F480F" w:rsidP="00583A01">
            <w:pPr>
              <w:jc w:val="center"/>
              <w:rPr>
                <w:rFonts w:ascii="Calibri" w:hAnsi="Calibri" w:cs="Calibri"/>
                <w:color w:val="D0CECE" w:themeColor="background2" w:themeShade="E6"/>
                <w:sz w:val="16"/>
                <w:szCs w:val="16"/>
              </w:rPr>
            </w:pPr>
            <w:r w:rsidRPr="00FC17A4">
              <w:rPr>
                <w:rFonts w:ascii="Calibri" w:hAnsi="Calibri" w:cs="Calibri"/>
                <w:color w:val="D0CECE" w:themeColor="background2" w:themeShade="E6"/>
                <w:sz w:val="16"/>
                <w:szCs w:val="16"/>
              </w:rPr>
              <w:t>10,487</w:t>
            </w:r>
          </w:p>
        </w:tc>
        <w:tc>
          <w:tcPr>
            <w:tcW w:w="948" w:type="dxa"/>
            <w:tcBorders>
              <w:top w:val="nil"/>
              <w:left w:val="nil"/>
              <w:bottom w:val="nil"/>
              <w:right w:val="nil"/>
            </w:tcBorders>
            <w:shd w:val="clear" w:color="auto" w:fill="auto"/>
            <w:noWrap/>
            <w:vAlign w:val="center"/>
            <w:hideMark/>
          </w:tcPr>
          <w:p w14:paraId="18F45072" w14:textId="77777777" w:rsidR="009F480F" w:rsidRPr="00FC17A4" w:rsidRDefault="009F480F" w:rsidP="00583A01">
            <w:pPr>
              <w:jc w:val="center"/>
              <w:rPr>
                <w:rFonts w:ascii="Calibri" w:hAnsi="Calibri" w:cs="Calibri"/>
                <w:color w:val="D0CECE" w:themeColor="background2" w:themeShade="E6"/>
                <w:sz w:val="16"/>
                <w:szCs w:val="16"/>
              </w:rPr>
            </w:pPr>
            <w:r w:rsidRPr="00FC17A4">
              <w:rPr>
                <w:rFonts w:ascii="Calibri" w:hAnsi="Calibri" w:cs="Calibri"/>
                <w:color w:val="D0CECE" w:themeColor="background2" w:themeShade="E6"/>
                <w:sz w:val="16"/>
                <w:szCs w:val="16"/>
              </w:rPr>
              <w:t>12,271</w:t>
            </w:r>
          </w:p>
        </w:tc>
        <w:tc>
          <w:tcPr>
            <w:tcW w:w="969" w:type="dxa"/>
            <w:tcBorders>
              <w:top w:val="nil"/>
              <w:left w:val="nil"/>
              <w:bottom w:val="nil"/>
              <w:right w:val="nil"/>
            </w:tcBorders>
            <w:shd w:val="clear" w:color="auto" w:fill="auto"/>
            <w:noWrap/>
            <w:vAlign w:val="center"/>
            <w:hideMark/>
          </w:tcPr>
          <w:p w14:paraId="6FBEEF24" w14:textId="77777777" w:rsidR="009F480F" w:rsidRPr="00FC17A4" w:rsidRDefault="009F480F" w:rsidP="00583A01">
            <w:pPr>
              <w:jc w:val="center"/>
              <w:rPr>
                <w:rFonts w:ascii="Calibri" w:hAnsi="Calibri" w:cs="Calibri"/>
                <w:color w:val="000000"/>
                <w:sz w:val="16"/>
                <w:szCs w:val="16"/>
              </w:rPr>
            </w:pPr>
            <w:r w:rsidRPr="00FC17A4">
              <w:rPr>
                <w:rFonts w:ascii="Calibri" w:hAnsi="Calibri" w:cs="Calibri"/>
                <w:color w:val="000000"/>
                <w:sz w:val="16"/>
                <w:szCs w:val="16"/>
              </w:rPr>
              <w:t>17,311</w:t>
            </w:r>
          </w:p>
        </w:tc>
      </w:tr>
      <w:tr w:rsidR="00B50B37" w:rsidRPr="00FC17A4" w14:paraId="34F18220" w14:textId="77777777" w:rsidTr="00B50B37">
        <w:trPr>
          <w:trHeight w:val="300"/>
        </w:trPr>
        <w:tc>
          <w:tcPr>
            <w:tcW w:w="3686" w:type="dxa"/>
            <w:tcBorders>
              <w:top w:val="nil"/>
              <w:left w:val="nil"/>
              <w:bottom w:val="nil"/>
              <w:right w:val="nil"/>
            </w:tcBorders>
            <w:shd w:val="clear" w:color="auto" w:fill="auto"/>
            <w:noWrap/>
            <w:vAlign w:val="center"/>
          </w:tcPr>
          <w:p w14:paraId="2E9A057E" w14:textId="77777777" w:rsidR="009F480F" w:rsidRPr="00FC17A4" w:rsidRDefault="009F480F" w:rsidP="00B50B37">
            <w:pPr>
              <w:jc w:val="center"/>
              <w:rPr>
                <w:rFonts w:ascii="Calibri" w:hAnsi="Calibri" w:cs="Calibri"/>
                <w:color w:val="000000"/>
                <w:sz w:val="16"/>
                <w:szCs w:val="16"/>
              </w:rPr>
            </w:pPr>
            <w:r w:rsidRPr="00FC17A4">
              <w:rPr>
                <w:rFonts w:ascii="Calibri" w:hAnsi="Calibri" w:cs="Calibri"/>
                <w:color w:val="000000"/>
                <w:sz w:val="16"/>
                <w:szCs w:val="16"/>
              </w:rPr>
              <w:t>Gross Profit</w:t>
            </w:r>
          </w:p>
        </w:tc>
        <w:tc>
          <w:tcPr>
            <w:tcW w:w="1145" w:type="dxa"/>
            <w:tcBorders>
              <w:top w:val="nil"/>
              <w:left w:val="nil"/>
              <w:bottom w:val="nil"/>
              <w:right w:val="nil"/>
            </w:tcBorders>
            <w:shd w:val="clear" w:color="auto" w:fill="auto"/>
            <w:noWrap/>
            <w:vAlign w:val="center"/>
          </w:tcPr>
          <w:p w14:paraId="65D18425" w14:textId="77777777" w:rsidR="009F480F" w:rsidRPr="00FC17A4" w:rsidRDefault="009F480F" w:rsidP="00583A01">
            <w:pPr>
              <w:jc w:val="center"/>
              <w:rPr>
                <w:rFonts w:ascii="Calibri" w:hAnsi="Calibri" w:cs="Calibri"/>
                <w:color w:val="000000"/>
                <w:sz w:val="16"/>
                <w:szCs w:val="16"/>
              </w:rPr>
            </w:pPr>
            <w:r w:rsidRPr="00FC17A4">
              <w:rPr>
                <w:rFonts w:ascii="Calibri" w:hAnsi="Calibri" w:cs="Calibri"/>
                <w:color w:val="000000"/>
                <w:sz w:val="16"/>
                <w:szCs w:val="16"/>
              </w:rPr>
              <w:t>3,813</w:t>
            </w:r>
          </w:p>
        </w:tc>
        <w:tc>
          <w:tcPr>
            <w:tcW w:w="993" w:type="dxa"/>
            <w:tcBorders>
              <w:top w:val="nil"/>
              <w:left w:val="nil"/>
              <w:bottom w:val="nil"/>
              <w:right w:val="nil"/>
            </w:tcBorders>
            <w:shd w:val="clear" w:color="auto" w:fill="auto"/>
            <w:noWrap/>
            <w:vAlign w:val="center"/>
          </w:tcPr>
          <w:p w14:paraId="31C76352" w14:textId="77777777" w:rsidR="009F480F" w:rsidRPr="00FC17A4" w:rsidRDefault="009F480F" w:rsidP="00583A01">
            <w:pPr>
              <w:jc w:val="center"/>
              <w:rPr>
                <w:rFonts w:ascii="Calibri" w:hAnsi="Calibri" w:cs="Calibri"/>
                <w:color w:val="000000"/>
                <w:sz w:val="16"/>
                <w:szCs w:val="16"/>
              </w:rPr>
            </w:pPr>
            <w:r w:rsidRPr="00FC17A4">
              <w:rPr>
                <w:rFonts w:ascii="Calibri" w:hAnsi="Calibri" w:cs="Calibri"/>
                <w:color w:val="000000"/>
                <w:sz w:val="16"/>
                <w:szCs w:val="16"/>
              </w:rPr>
              <w:t>3,674</w:t>
            </w:r>
          </w:p>
        </w:tc>
        <w:tc>
          <w:tcPr>
            <w:tcW w:w="981" w:type="dxa"/>
            <w:tcBorders>
              <w:top w:val="nil"/>
              <w:left w:val="nil"/>
              <w:bottom w:val="nil"/>
              <w:right w:val="nil"/>
            </w:tcBorders>
            <w:shd w:val="clear" w:color="auto" w:fill="auto"/>
            <w:noWrap/>
            <w:vAlign w:val="center"/>
          </w:tcPr>
          <w:p w14:paraId="493A1F80" w14:textId="77777777" w:rsidR="009F480F" w:rsidRPr="00FC17A4" w:rsidRDefault="009F480F" w:rsidP="00583A01">
            <w:pPr>
              <w:jc w:val="center"/>
              <w:rPr>
                <w:rFonts w:ascii="Calibri" w:hAnsi="Calibri" w:cs="Calibri"/>
                <w:color w:val="000000"/>
                <w:sz w:val="16"/>
                <w:szCs w:val="16"/>
              </w:rPr>
            </w:pPr>
            <w:r w:rsidRPr="00FC17A4">
              <w:rPr>
                <w:rFonts w:ascii="Calibri" w:hAnsi="Calibri" w:cs="Calibri"/>
                <w:color w:val="000000"/>
                <w:sz w:val="16"/>
                <w:szCs w:val="16"/>
              </w:rPr>
              <w:t>3,217</w:t>
            </w:r>
          </w:p>
        </w:tc>
        <w:tc>
          <w:tcPr>
            <w:tcW w:w="992" w:type="dxa"/>
            <w:tcBorders>
              <w:top w:val="nil"/>
              <w:left w:val="nil"/>
              <w:bottom w:val="nil"/>
              <w:right w:val="nil"/>
            </w:tcBorders>
            <w:shd w:val="clear" w:color="auto" w:fill="auto"/>
            <w:noWrap/>
            <w:vAlign w:val="center"/>
          </w:tcPr>
          <w:p w14:paraId="55D73BC1" w14:textId="77777777" w:rsidR="009F480F" w:rsidRPr="00FC17A4" w:rsidRDefault="009F480F" w:rsidP="00583A01">
            <w:pPr>
              <w:jc w:val="center"/>
              <w:rPr>
                <w:rFonts w:ascii="Calibri" w:hAnsi="Calibri" w:cs="Calibri"/>
                <w:color w:val="D0CECE" w:themeColor="background2" w:themeShade="E6"/>
                <w:sz w:val="16"/>
                <w:szCs w:val="16"/>
              </w:rPr>
            </w:pPr>
            <w:r w:rsidRPr="00FC17A4">
              <w:rPr>
                <w:rFonts w:ascii="Calibri" w:hAnsi="Calibri" w:cs="Calibri"/>
                <w:color w:val="D0CECE" w:themeColor="background2" w:themeShade="E6"/>
                <w:sz w:val="16"/>
                <w:szCs w:val="16"/>
              </w:rPr>
              <w:t>1,769</w:t>
            </w:r>
          </w:p>
        </w:tc>
        <w:tc>
          <w:tcPr>
            <w:tcW w:w="948" w:type="dxa"/>
            <w:tcBorders>
              <w:top w:val="nil"/>
              <w:left w:val="nil"/>
              <w:bottom w:val="nil"/>
              <w:right w:val="nil"/>
            </w:tcBorders>
            <w:shd w:val="clear" w:color="auto" w:fill="auto"/>
            <w:noWrap/>
            <w:vAlign w:val="center"/>
          </w:tcPr>
          <w:p w14:paraId="3D1C352D" w14:textId="77777777" w:rsidR="009F480F" w:rsidRPr="00FC17A4" w:rsidRDefault="009F480F" w:rsidP="00583A01">
            <w:pPr>
              <w:jc w:val="center"/>
              <w:rPr>
                <w:rFonts w:ascii="Calibri" w:hAnsi="Calibri" w:cs="Calibri"/>
                <w:color w:val="D0CECE" w:themeColor="background2" w:themeShade="E6"/>
                <w:sz w:val="16"/>
                <w:szCs w:val="16"/>
              </w:rPr>
            </w:pPr>
            <w:r w:rsidRPr="00FC17A4">
              <w:rPr>
                <w:rFonts w:ascii="Calibri" w:hAnsi="Calibri" w:cs="Calibri"/>
                <w:color w:val="D0CECE" w:themeColor="background2" w:themeShade="E6"/>
                <w:sz w:val="16"/>
                <w:szCs w:val="16"/>
              </w:rPr>
              <w:t>2,801</w:t>
            </w:r>
          </w:p>
        </w:tc>
        <w:tc>
          <w:tcPr>
            <w:tcW w:w="969" w:type="dxa"/>
            <w:tcBorders>
              <w:top w:val="nil"/>
              <w:left w:val="nil"/>
              <w:bottom w:val="nil"/>
              <w:right w:val="nil"/>
            </w:tcBorders>
            <w:shd w:val="clear" w:color="auto" w:fill="auto"/>
            <w:noWrap/>
            <w:vAlign w:val="center"/>
          </w:tcPr>
          <w:p w14:paraId="7E30E5EC" w14:textId="77777777" w:rsidR="009F480F" w:rsidRPr="00FC17A4" w:rsidRDefault="009F480F" w:rsidP="00583A01">
            <w:pPr>
              <w:jc w:val="center"/>
              <w:rPr>
                <w:rFonts w:ascii="Calibri" w:hAnsi="Calibri" w:cs="Calibri"/>
                <w:color w:val="000000"/>
                <w:sz w:val="16"/>
                <w:szCs w:val="16"/>
              </w:rPr>
            </w:pPr>
            <w:r w:rsidRPr="00FC17A4">
              <w:rPr>
                <w:rFonts w:ascii="Calibri" w:hAnsi="Calibri" w:cs="Calibri"/>
                <w:color w:val="000000"/>
                <w:sz w:val="16"/>
                <w:szCs w:val="16"/>
              </w:rPr>
              <w:t>4,558</w:t>
            </w:r>
          </w:p>
        </w:tc>
      </w:tr>
      <w:tr w:rsidR="00B50B37" w:rsidRPr="00FC17A4" w14:paraId="74391F49" w14:textId="77777777" w:rsidTr="00B50B37">
        <w:trPr>
          <w:trHeight w:val="300"/>
        </w:trPr>
        <w:tc>
          <w:tcPr>
            <w:tcW w:w="3686" w:type="dxa"/>
            <w:tcBorders>
              <w:top w:val="nil"/>
              <w:left w:val="nil"/>
              <w:bottom w:val="nil"/>
              <w:right w:val="nil"/>
            </w:tcBorders>
            <w:shd w:val="clear" w:color="auto" w:fill="auto"/>
            <w:noWrap/>
            <w:vAlign w:val="center"/>
          </w:tcPr>
          <w:p w14:paraId="3019D4FA" w14:textId="77777777" w:rsidR="009F480F" w:rsidRPr="00FC17A4" w:rsidRDefault="009F480F" w:rsidP="00B50B37">
            <w:pPr>
              <w:jc w:val="center"/>
              <w:rPr>
                <w:rFonts w:ascii="Calibri" w:hAnsi="Calibri" w:cs="Calibri"/>
                <w:color w:val="000000"/>
                <w:sz w:val="16"/>
                <w:szCs w:val="16"/>
              </w:rPr>
            </w:pPr>
            <w:r w:rsidRPr="00FC17A4">
              <w:rPr>
                <w:rFonts w:ascii="Calibri" w:hAnsi="Calibri" w:cs="Calibri"/>
                <w:color w:val="000000"/>
                <w:sz w:val="16"/>
                <w:szCs w:val="16"/>
              </w:rPr>
              <w:t>Net Income</w:t>
            </w:r>
          </w:p>
        </w:tc>
        <w:tc>
          <w:tcPr>
            <w:tcW w:w="1145" w:type="dxa"/>
            <w:tcBorders>
              <w:top w:val="nil"/>
              <w:left w:val="nil"/>
              <w:bottom w:val="nil"/>
              <w:right w:val="nil"/>
            </w:tcBorders>
            <w:shd w:val="clear" w:color="auto" w:fill="auto"/>
            <w:noWrap/>
            <w:vAlign w:val="center"/>
          </w:tcPr>
          <w:p w14:paraId="6A0C3C01" w14:textId="77777777" w:rsidR="009F480F" w:rsidRPr="00FC17A4" w:rsidRDefault="009F480F" w:rsidP="00583A01">
            <w:pPr>
              <w:jc w:val="center"/>
              <w:rPr>
                <w:rFonts w:ascii="Calibri" w:hAnsi="Calibri" w:cs="Calibri"/>
                <w:color w:val="000000"/>
                <w:sz w:val="16"/>
                <w:szCs w:val="16"/>
              </w:rPr>
            </w:pPr>
            <w:r w:rsidRPr="00FC17A4">
              <w:rPr>
                <w:rFonts w:ascii="Calibri" w:hAnsi="Calibri" w:cs="Calibri"/>
                <w:color w:val="000000"/>
                <w:sz w:val="16"/>
                <w:szCs w:val="16"/>
              </w:rPr>
              <w:t>1,459</w:t>
            </w:r>
          </w:p>
        </w:tc>
        <w:tc>
          <w:tcPr>
            <w:tcW w:w="993" w:type="dxa"/>
            <w:tcBorders>
              <w:top w:val="nil"/>
              <w:left w:val="nil"/>
              <w:bottom w:val="nil"/>
              <w:right w:val="nil"/>
            </w:tcBorders>
            <w:shd w:val="clear" w:color="auto" w:fill="auto"/>
            <w:noWrap/>
            <w:vAlign w:val="center"/>
          </w:tcPr>
          <w:p w14:paraId="7266F39D" w14:textId="77777777" w:rsidR="009F480F" w:rsidRPr="00FC17A4" w:rsidRDefault="009F480F" w:rsidP="00583A01">
            <w:pPr>
              <w:jc w:val="center"/>
              <w:rPr>
                <w:rFonts w:ascii="Calibri" w:hAnsi="Calibri" w:cs="Calibri"/>
                <w:color w:val="000000"/>
                <w:sz w:val="16"/>
                <w:szCs w:val="16"/>
              </w:rPr>
            </w:pPr>
            <w:r w:rsidRPr="00FC17A4">
              <w:rPr>
                <w:rFonts w:ascii="Calibri" w:hAnsi="Calibri" w:cs="Calibri"/>
                <w:color w:val="000000"/>
                <w:sz w:val="16"/>
                <w:szCs w:val="16"/>
              </w:rPr>
              <w:t>1,907</w:t>
            </w:r>
          </w:p>
        </w:tc>
        <w:tc>
          <w:tcPr>
            <w:tcW w:w="981" w:type="dxa"/>
            <w:tcBorders>
              <w:top w:val="nil"/>
              <w:left w:val="nil"/>
              <w:bottom w:val="nil"/>
              <w:right w:val="nil"/>
            </w:tcBorders>
            <w:shd w:val="clear" w:color="auto" w:fill="auto"/>
            <w:noWrap/>
            <w:vAlign w:val="center"/>
          </w:tcPr>
          <w:p w14:paraId="729CB489" w14:textId="77777777" w:rsidR="009F480F" w:rsidRPr="00FC17A4" w:rsidRDefault="009F480F" w:rsidP="00583A01">
            <w:pPr>
              <w:jc w:val="center"/>
              <w:rPr>
                <w:rFonts w:ascii="Calibri" w:hAnsi="Calibri" w:cs="Calibri"/>
                <w:color w:val="000000"/>
                <w:sz w:val="16"/>
                <w:szCs w:val="16"/>
              </w:rPr>
            </w:pPr>
            <w:r w:rsidRPr="00FC17A4">
              <w:rPr>
                <w:rFonts w:ascii="Calibri" w:hAnsi="Calibri" w:cs="Calibri"/>
                <w:color w:val="000000"/>
                <w:sz w:val="16"/>
                <w:szCs w:val="16"/>
              </w:rPr>
              <w:t>1,273</w:t>
            </w:r>
          </w:p>
        </w:tc>
        <w:tc>
          <w:tcPr>
            <w:tcW w:w="992" w:type="dxa"/>
            <w:tcBorders>
              <w:top w:val="nil"/>
              <w:left w:val="nil"/>
              <w:bottom w:val="nil"/>
              <w:right w:val="nil"/>
            </w:tcBorders>
            <w:shd w:val="clear" w:color="auto" w:fill="auto"/>
            <w:noWrap/>
            <w:vAlign w:val="center"/>
          </w:tcPr>
          <w:p w14:paraId="00C6D832" w14:textId="77777777" w:rsidR="009F480F" w:rsidRPr="00FC17A4" w:rsidRDefault="009F480F" w:rsidP="00583A01">
            <w:pPr>
              <w:jc w:val="center"/>
              <w:rPr>
                <w:rFonts w:ascii="Calibri" w:hAnsi="Calibri" w:cs="Calibri"/>
                <w:color w:val="D0CECE" w:themeColor="background2" w:themeShade="E6"/>
                <w:sz w:val="16"/>
                <w:szCs w:val="16"/>
              </w:rPr>
            </w:pPr>
            <w:r w:rsidRPr="00FC17A4">
              <w:rPr>
                <w:rFonts w:ascii="Calibri" w:hAnsi="Calibri" w:cs="Calibri"/>
                <w:color w:val="D0CECE" w:themeColor="background2" w:themeShade="E6"/>
                <w:sz w:val="16"/>
                <w:szCs w:val="16"/>
              </w:rPr>
              <w:t>(267)</w:t>
            </w:r>
          </w:p>
        </w:tc>
        <w:tc>
          <w:tcPr>
            <w:tcW w:w="948" w:type="dxa"/>
            <w:tcBorders>
              <w:top w:val="nil"/>
              <w:left w:val="nil"/>
              <w:bottom w:val="nil"/>
              <w:right w:val="nil"/>
            </w:tcBorders>
            <w:shd w:val="clear" w:color="auto" w:fill="auto"/>
            <w:noWrap/>
            <w:vAlign w:val="center"/>
          </w:tcPr>
          <w:p w14:paraId="6760A358" w14:textId="77777777" w:rsidR="009F480F" w:rsidRPr="00FC17A4" w:rsidRDefault="009F480F" w:rsidP="00583A01">
            <w:pPr>
              <w:jc w:val="center"/>
              <w:rPr>
                <w:rFonts w:ascii="Calibri" w:hAnsi="Calibri" w:cs="Calibri"/>
                <w:color w:val="D0CECE" w:themeColor="background2" w:themeShade="E6"/>
                <w:sz w:val="16"/>
                <w:szCs w:val="16"/>
              </w:rPr>
            </w:pPr>
            <w:r w:rsidRPr="00FC17A4">
              <w:rPr>
                <w:rFonts w:ascii="Calibri" w:hAnsi="Calibri" w:cs="Calibri"/>
                <w:color w:val="D0CECE" w:themeColor="background2" w:themeShade="E6"/>
                <w:sz w:val="16"/>
                <w:szCs w:val="16"/>
              </w:rPr>
              <w:t>1,099</w:t>
            </w:r>
          </w:p>
        </w:tc>
        <w:tc>
          <w:tcPr>
            <w:tcW w:w="969" w:type="dxa"/>
            <w:tcBorders>
              <w:top w:val="nil"/>
              <w:left w:val="nil"/>
              <w:bottom w:val="nil"/>
              <w:right w:val="nil"/>
            </w:tcBorders>
            <w:shd w:val="clear" w:color="auto" w:fill="auto"/>
            <w:noWrap/>
            <w:vAlign w:val="center"/>
          </w:tcPr>
          <w:p w14:paraId="0167551E" w14:textId="77777777" w:rsidR="009F480F" w:rsidRPr="00FC17A4" w:rsidRDefault="009F480F" w:rsidP="00583A01">
            <w:pPr>
              <w:jc w:val="center"/>
              <w:rPr>
                <w:rFonts w:ascii="Calibri" w:hAnsi="Calibri" w:cs="Calibri"/>
                <w:color w:val="000000"/>
                <w:sz w:val="16"/>
                <w:szCs w:val="16"/>
              </w:rPr>
            </w:pPr>
            <w:r w:rsidRPr="00FC17A4">
              <w:rPr>
                <w:rFonts w:ascii="Calibri" w:hAnsi="Calibri" w:cs="Calibri"/>
                <w:color w:val="000000"/>
                <w:sz w:val="16"/>
                <w:szCs w:val="16"/>
              </w:rPr>
              <w:t>2,358</w:t>
            </w:r>
          </w:p>
        </w:tc>
      </w:tr>
      <w:tr w:rsidR="00B50B37" w:rsidRPr="00FC17A4" w14:paraId="0C4E737B" w14:textId="77777777" w:rsidTr="00B50B37">
        <w:trPr>
          <w:trHeight w:val="300"/>
        </w:trPr>
        <w:tc>
          <w:tcPr>
            <w:tcW w:w="9719" w:type="dxa"/>
            <w:gridSpan w:val="7"/>
            <w:tcBorders>
              <w:top w:val="nil"/>
              <w:left w:val="nil"/>
              <w:bottom w:val="nil"/>
              <w:right w:val="nil"/>
            </w:tcBorders>
            <w:shd w:val="clear" w:color="auto" w:fill="auto"/>
            <w:noWrap/>
            <w:vAlign w:val="center"/>
          </w:tcPr>
          <w:p w14:paraId="4E7226FC" w14:textId="77777777" w:rsidR="009F480F" w:rsidRPr="00FC17A4" w:rsidRDefault="009F480F" w:rsidP="00583A01">
            <w:pPr>
              <w:jc w:val="right"/>
              <w:rPr>
                <w:rFonts w:ascii="Calibri" w:hAnsi="Calibri" w:cs="Calibri"/>
                <w:color w:val="000000"/>
                <w:sz w:val="16"/>
                <w:szCs w:val="16"/>
              </w:rPr>
            </w:pPr>
            <w:r w:rsidRPr="00B50B37">
              <w:rPr>
                <w:rFonts w:ascii="Calibri" w:hAnsi="Calibri" w:cs="Calibri"/>
                <w:color w:val="000000"/>
                <w:sz w:val="13"/>
                <w:szCs w:val="13"/>
              </w:rPr>
              <w:t>(All figures are in million dollars)</w:t>
            </w:r>
          </w:p>
        </w:tc>
      </w:tr>
    </w:tbl>
    <w:p w14:paraId="751DAAE1" w14:textId="77777777" w:rsidR="00A70A3A" w:rsidRDefault="009F480F" w:rsidP="00A70A3A">
      <w:pPr>
        <w:jc w:val="both"/>
        <w:rPr>
          <w:rFonts w:ascii="Calibri" w:hAnsi="Calibri" w:cs="Calibri"/>
          <w:color w:val="000000" w:themeColor="text1"/>
          <w:sz w:val="22"/>
          <w:szCs w:val="22"/>
        </w:rPr>
      </w:pPr>
      <w:r w:rsidRPr="00FD3500">
        <w:rPr>
          <w:rFonts w:ascii="Calibri" w:hAnsi="Calibri" w:cs="Calibri"/>
          <w:color w:val="000000" w:themeColor="text1"/>
          <w:sz w:val="22"/>
          <w:szCs w:val="22"/>
        </w:rPr>
        <w:t xml:space="preserve">The company managed to bounce back to its usual total revenue while also recording a sensibly reduced amount of total expenses. </w:t>
      </w:r>
      <w:r w:rsidR="00B50B37">
        <w:rPr>
          <w:rFonts w:ascii="Calibri" w:hAnsi="Calibri" w:cs="Calibri"/>
          <w:color w:val="000000" w:themeColor="text1"/>
          <w:sz w:val="22"/>
          <w:szCs w:val="22"/>
        </w:rPr>
        <w:t>N</w:t>
      </w:r>
      <w:r w:rsidRPr="00FD3500">
        <w:rPr>
          <w:rFonts w:ascii="Calibri" w:hAnsi="Calibri" w:cs="Calibri"/>
          <w:color w:val="000000" w:themeColor="text1"/>
          <w:sz w:val="22"/>
          <w:szCs w:val="22"/>
        </w:rPr>
        <w:t>et income for 2022 has grown almost 24% compared to 2018 despite a growth in revenue of just 0.07%</w:t>
      </w:r>
      <w:r w:rsidR="00B50B37">
        <w:rPr>
          <w:rFonts w:ascii="Calibri" w:hAnsi="Calibri" w:cs="Calibri"/>
          <w:color w:val="000000" w:themeColor="text1"/>
          <w:sz w:val="22"/>
          <w:szCs w:val="22"/>
        </w:rPr>
        <w:t xml:space="preserve">. </w:t>
      </w:r>
      <w:r w:rsidR="00B50B37" w:rsidRPr="00C53CD4">
        <w:rPr>
          <w:rFonts w:ascii="Calibri" w:hAnsi="Calibri" w:cs="Calibri"/>
          <w:color w:val="000000" w:themeColor="text1"/>
          <w:sz w:val="22"/>
          <w:szCs w:val="22"/>
          <w:highlight w:val="cyan"/>
        </w:rPr>
        <w:t xml:space="preserve">The company also </w:t>
      </w:r>
      <w:r w:rsidRPr="00C53CD4">
        <w:rPr>
          <w:rFonts w:ascii="Calibri" w:hAnsi="Calibri" w:cs="Calibri"/>
          <w:color w:val="000000" w:themeColor="text1"/>
          <w:sz w:val="22"/>
          <w:szCs w:val="22"/>
          <w:highlight w:val="cyan"/>
        </w:rPr>
        <w:t>recorded RevPAR and ADR comparable to the previous years, expanding their portfolio and adding more rooms on a yearly basi</w:t>
      </w:r>
      <w:bookmarkStart w:id="1" w:name="_GoBack"/>
      <w:bookmarkEnd w:id="1"/>
      <w:r>
        <w:rPr>
          <w:rFonts w:ascii="Calibri" w:hAnsi="Calibri" w:cs="Calibri"/>
          <w:color w:val="000000" w:themeColor="text1"/>
          <w:sz w:val="22"/>
          <w:szCs w:val="22"/>
        </w:rPr>
        <w:t xml:space="preserve">s, </w:t>
      </w:r>
      <w:r w:rsidR="00B50B37" w:rsidRPr="002F610F">
        <w:rPr>
          <w:rFonts w:ascii="Calibri" w:hAnsi="Calibri" w:cs="Calibri"/>
          <w:color w:val="000000" w:themeColor="text1"/>
          <w:sz w:val="22"/>
          <w:szCs w:val="22"/>
        </w:rPr>
        <w:t>is expanding into travel offerings to attract new clients while keeping its current customers loyal with an attractive loyalty program</w:t>
      </w:r>
      <w:r w:rsidR="00B50B37">
        <w:rPr>
          <w:rFonts w:ascii="Calibri" w:hAnsi="Calibri" w:cs="Calibri"/>
          <w:color w:val="000000" w:themeColor="text1"/>
          <w:sz w:val="22"/>
          <w:szCs w:val="22"/>
        </w:rPr>
        <w:t>, and</w:t>
      </w:r>
      <w:r>
        <w:rPr>
          <w:rFonts w:ascii="Calibri" w:hAnsi="Calibri" w:cs="Calibri"/>
          <w:color w:val="000000" w:themeColor="text1"/>
          <w:sz w:val="22"/>
          <w:szCs w:val="22"/>
        </w:rPr>
        <w:t xml:space="preserve"> grew in other areas</w:t>
      </w:r>
      <w:r w:rsidR="00B50B37">
        <w:rPr>
          <w:rFonts w:ascii="Calibri" w:hAnsi="Calibri" w:cs="Calibri"/>
          <w:color w:val="000000" w:themeColor="text1"/>
          <w:sz w:val="22"/>
          <w:szCs w:val="22"/>
        </w:rPr>
        <w:t xml:space="preserve"> with</w:t>
      </w:r>
      <w:r>
        <w:rPr>
          <w:rFonts w:ascii="Calibri" w:hAnsi="Calibri" w:cs="Calibri"/>
          <w:color w:val="000000" w:themeColor="text1"/>
          <w:sz w:val="22"/>
          <w:szCs w:val="22"/>
        </w:rPr>
        <w:t xml:space="preserve"> </w:t>
      </w:r>
      <w:r w:rsidR="00B50B37">
        <w:rPr>
          <w:rFonts w:ascii="Calibri" w:hAnsi="Calibri" w:cs="Calibri"/>
          <w:color w:val="000000" w:themeColor="text1"/>
          <w:sz w:val="22"/>
          <w:szCs w:val="22"/>
        </w:rPr>
        <w:t xml:space="preserve">a </w:t>
      </w:r>
      <w:r>
        <w:rPr>
          <w:rFonts w:ascii="Calibri" w:hAnsi="Calibri" w:cs="Calibri"/>
          <w:color w:val="000000" w:themeColor="text1"/>
          <w:sz w:val="22"/>
          <w:szCs w:val="22"/>
        </w:rPr>
        <w:t>co-branded credit card</w:t>
      </w:r>
      <w:r w:rsidR="00B50B37">
        <w:rPr>
          <w:rFonts w:ascii="Calibri" w:hAnsi="Calibri" w:cs="Calibri"/>
          <w:color w:val="000000" w:themeColor="text1"/>
          <w:sz w:val="22"/>
          <w:szCs w:val="22"/>
        </w:rPr>
        <w:t>.</w:t>
      </w:r>
      <w:r w:rsidR="00534099">
        <w:rPr>
          <w:rFonts w:ascii="Calibri" w:hAnsi="Calibri" w:cs="Calibri"/>
          <w:color w:val="000000" w:themeColor="text1"/>
          <w:sz w:val="22"/>
          <w:szCs w:val="22"/>
        </w:rPr>
        <w:t xml:space="preserve"> M</w:t>
      </w:r>
      <w:r w:rsidRPr="002F610F">
        <w:rPr>
          <w:rFonts w:ascii="Calibri" w:hAnsi="Calibri" w:cs="Calibri"/>
          <w:color w:val="000000" w:themeColor="text1"/>
          <w:sz w:val="22"/>
          <w:szCs w:val="22"/>
        </w:rPr>
        <w:t>arket leaders</w:t>
      </w:r>
      <w:r w:rsidR="00534099">
        <w:rPr>
          <w:rFonts w:ascii="Calibri" w:hAnsi="Calibri" w:cs="Calibri"/>
          <w:color w:val="000000" w:themeColor="text1"/>
          <w:sz w:val="22"/>
          <w:szCs w:val="22"/>
        </w:rPr>
        <w:t xml:space="preserve"> with an encouraging </w:t>
      </w:r>
      <w:r w:rsidR="002F610F" w:rsidRPr="002F610F">
        <w:rPr>
          <w:rFonts w:ascii="Calibri" w:hAnsi="Calibri" w:cs="Calibri"/>
          <w:color w:val="000000" w:themeColor="text1"/>
          <w:sz w:val="22"/>
          <w:szCs w:val="22"/>
        </w:rPr>
        <w:t xml:space="preserve">outlook for </w:t>
      </w:r>
      <w:r w:rsidR="004573C7" w:rsidRPr="002F610F">
        <w:rPr>
          <w:rFonts w:ascii="Calibri" w:hAnsi="Calibri" w:cs="Calibri"/>
          <w:color w:val="000000" w:themeColor="text1"/>
          <w:sz w:val="22"/>
          <w:szCs w:val="22"/>
        </w:rPr>
        <w:t>short- and long-term</w:t>
      </w:r>
      <w:r w:rsidR="002F610F" w:rsidRPr="002F610F">
        <w:rPr>
          <w:rFonts w:ascii="Calibri" w:hAnsi="Calibri" w:cs="Calibri"/>
          <w:color w:val="000000" w:themeColor="text1"/>
          <w:sz w:val="22"/>
          <w:szCs w:val="22"/>
        </w:rPr>
        <w:t xml:space="preserve"> futur</w:t>
      </w:r>
      <w:r w:rsidR="00534099">
        <w:rPr>
          <w:rFonts w:ascii="Calibri" w:hAnsi="Calibri" w:cs="Calibri"/>
          <w:color w:val="000000" w:themeColor="text1"/>
          <w:sz w:val="22"/>
          <w:szCs w:val="22"/>
        </w:rPr>
        <w:t>e</w:t>
      </w:r>
      <w:r w:rsidR="002F610F" w:rsidRPr="002F610F">
        <w:rPr>
          <w:rFonts w:ascii="Calibri" w:hAnsi="Calibri" w:cs="Calibri"/>
          <w:color w:val="000000" w:themeColor="text1"/>
          <w:sz w:val="22"/>
          <w:szCs w:val="22"/>
        </w:rPr>
        <w:t>.</w:t>
      </w:r>
    </w:p>
    <w:p w14:paraId="331955A4" w14:textId="77777777" w:rsidR="00116285" w:rsidRDefault="00116285" w:rsidP="00A70A3A">
      <w:pPr>
        <w:jc w:val="both"/>
        <w:rPr>
          <w:rFonts w:ascii="Calibri" w:hAnsi="Calibri" w:cs="Calibri"/>
          <w:color w:val="000000" w:themeColor="text1"/>
          <w:sz w:val="22"/>
          <w:szCs w:val="22"/>
        </w:rPr>
      </w:pPr>
    </w:p>
    <w:p w14:paraId="41352B50" w14:textId="77777777" w:rsidR="00116285" w:rsidRDefault="00116285" w:rsidP="00116285">
      <w:pPr>
        <w:rPr>
          <w:shd w:val="clear" w:color="auto" w:fill="00FF00"/>
        </w:rPr>
      </w:pPr>
      <w:r>
        <w:rPr>
          <w:shd w:val="clear" w:color="auto" w:fill="00FF00"/>
        </w:rPr>
        <w:t xml:space="preserve">Revenue is driven as RevPAR * No. Rooms where, </w:t>
      </w:r>
    </w:p>
    <w:p w14:paraId="2FCB7E98" w14:textId="77777777" w:rsidR="00116285" w:rsidRDefault="00116285" w:rsidP="00116285">
      <w:pPr>
        <w:ind w:left="360"/>
        <w:rPr>
          <w:shd w:val="clear" w:color="auto" w:fill="00FF00"/>
        </w:rPr>
      </w:pPr>
      <w:r>
        <w:rPr>
          <w:shd w:val="clear" w:color="auto" w:fill="00FF00"/>
        </w:rPr>
        <w:t xml:space="preserve"> RevPAR is the function of ADR (price impact) * Occupancy (volume impact)</w:t>
      </w:r>
    </w:p>
    <w:p w14:paraId="2CC46197" w14:textId="77777777" w:rsidR="00116285" w:rsidRDefault="00116285" w:rsidP="00116285">
      <w:pPr>
        <w:rPr>
          <w:shd w:val="clear" w:color="auto" w:fill="00FF00"/>
        </w:rPr>
      </w:pPr>
    </w:p>
    <w:p w14:paraId="04E0A591" w14:textId="77777777" w:rsidR="00116285" w:rsidRDefault="00116285" w:rsidP="00116285">
      <w:pPr>
        <w:rPr>
          <w:shd w:val="clear" w:color="auto" w:fill="00FF00"/>
        </w:rPr>
      </w:pPr>
      <w:r>
        <w:rPr>
          <w:shd w:val="clear" w:color="auto" w:fill="00FF00"/>
        </w:rPr>
        <w:t>Note that for each of the segments, North America (full service, limited service), APAC and Other international, RevPAR, Room count Occupancy and ADR are reported by the company. These will be forecasted based on historical trend analysis.</w:t>
      </w:r>
    </w:p>
    <w:p w14:paraId="3E5B53F1" w14:textId="77777777" w:rsidR="00703462" w:rsidRDefault="00703462" w:rsidP="00116285">
      <w:pPr>
        <w:rPr>
          <w:shd w:val="clear" w:color="auto" w:fill="00FF00"/>
        </w:rPr>
      </w:pPr>
    </w:p>
    <w:p w14:paraId="50B02BBA" w14:textId="101C55A2" w:rsidR="00703462" w:rsidRDefault="00703462" w:rsidP="00116285">
      <w:pPr>
        <w:rPr>
          <w:shd w:val="clear" w:color="auto" w:fill="00FF00"/>
        </w:rPr>
      </w:pPr>
      <w:r w:rsidRPr="00703462">
        <w:rPr>
          <w:shd w:val="clear" w:color="auto" w:fill="00FF00"/>
        </w:rPr>
        <w:drawing>
          <wp:inline distT="0" distB="0" distL="0" distR="0" wp14:anchorId="2A0DD02A" wp14:editId="6EF7AA74">
            <wp:extent cx="5204911" cy="25148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04911" cy="2514818"/>
                    </a:xfrm>
                    <a:prstGeom prst="rect">
                      <a:avLst/>
                    </a:prstGeom>
                  </pic:spPr>
                </pic:pic>
              </a:graphicData>
            </a:graphic>
          </wp:inline>
        </w:drawing>
      </w:r>
    </w:p>
    <w:p w14:paraId="6DF73EE8" w14:textId="77777777" w:rsidR="00116285" w:rsidRDefault="00116285" w:rsidP="00A70A3A">
      <w:pPr>
        <w:jc w:val="both"/>
        <w:rPr>
          <w:rFonts w:ascii="Calibri" w:hAnsi="Calibri" w:cs="Calibri"/>
          <w:color w:val="000000" w:themeColor="text1"/>
          <w:sz w:val="22"/>
          <w:szCs w:val="22"/>
        </w:rPr>
      </w:pPr>
    </w:p>
    <w:p w14:paraId="40E74DB9" w14:textId="77777777" w:rsidR="00116285" w:rsidRPr="009D0768" w:rsidRDefault="00116285" w:rsidP="00116285">
      <w:r>
        <w:rPr>
          <w:shd w:val="clear" w:color="auto" w:fill="00FF00"/>
        </w:rPr>
        <w:t>Large portion of Marriot’s cost is the reimbursed expenses which is directly related to reimbursed revenue. Management and franchise related operating expenses will have be derived as a % of revenue.</w:t>
      </w:r>
    </w:p>
    <w:p w14:paraId="049D7D70" w14:textId="77777777" w:rsidR="00116285" w:rsidRPr="000D0728" w:rsidRDefault="00116285" w:rsidP="00116285">
      <w:pPr>
        <w:pStyle w:val="Default"/>
        <w:spacing w:after="0" w:line="240" w:lineRule="auto"/>
        <w:rPr>
          <w:rFonts w:ascii="Times New Roman" w:eastAsia="Times New Roman" w:hAnsi="Times New Roman" w:cs="Times New Roman"/>
          <w:sz w:val="24"/>
          <w:szCs w:val="24"/>
        </w:rPr>
      </w:pPr>
    </w:p>
    <w:p w14:paraId="1FA61102" w14:textId="77777777" w:rsidR="00116285" w:rsidRDefault="00116285" w:rsidP="00A70A3A">
      <w:pPr>
        <w:jc w:val="both"/>
        <w:rPr>
          <w:rFonts w:ascii="Calibri" w:hAnsi="Calibri" w:cs="Calibri"/>
          <w:color w:val="000000" w:themeColor="text1"/>
          <w:sz w:val="22"/>
          <w:szCs w:val="22"/>
        </w:rPr>
      </w:pPr>
    </w:p>
    <w:p w14:paraId="50E0185D" w14:textId="1A2E1664" w:rsidR="00A70A3A" w:rsidRPr="00A70A3A" w:rsidRDefault="00A70A3A" w:rsidP="00A70A3A">
      <w:pPr>
        <w:jc w:val="center"/>
        <w:rPr>
          <w:rFonts w:ascii="Calibri" w:hAnsi="Calibri" w:cs="Calibri"/>
          <w:color w:val="000000" w:themeColor="text1"/>
          <w:sz w:val="22"/>
          <w:szCs w:val="22"/>
        </w:rPr>
      </w:pPr>
      <w:r>
        <w:rPr>
          <w:rFonts w:ascii="Calibri" w:hAnsi="Calibri" w:cs="Calibri"/>
          <w:b/>
          <w:bCs/>
          <w:i/>
          <w:iCs/>
          <w:color w:val="000000" w:themeColor="text1"/>
        </w:rPr>
        <w:t>JOHNSON &amp; JOHNSON</w:t>
      </w:r>
    </w:p>
    <w:p w14:paraId="40138B97" w14:textId="77777777" w:rsidR="00A70A3A" w:rsidRPr="00534099" w:rsidRDefault="00A70A3A" w:rsidP="00A70A3A">
      <w:pPr>
        <w:jc w:val="center"/>
        <w:rPr>
          <w:rFonts w:ascii="Calibri" w:hAnsi="Calibri" w:cs="Calibri"/>
          <w:b/>
          <w:bCs/>
          <w:i/>
          <w:iCs/>
          <w:color w:val="000000" w:themeColor="text1"/>
        </w:rPr>
      </w:pPr>
    </w:p>
    <w:p w14:paraId="48DEF799" w14:textId="77777777" w:rsidR="00A70A3A" w:rsidRDefault="00A70A3A" w:rsidP="00A70A3A">
      <w:pPr>
        <w:rPr>
          <w:rFonts w:ascii="Calibri" w:hAnsi="Calibri" w:cs="Calibri"/>
          <w:sz w:val="22"/>
          <w:szCs w:val="22"/>
        </w:rPr>
      </w:pPr>
      <w:r>
        <w:rPr>
          <w:rFonts w:ascii="Calibri" w:hAnsi="Calibri" w:cs="Calibri"/>
          <w:sz w:val="22"/>
          <w:szCs w:val="22"/>
        </w:rPr>
        <w:t>J&amp;J is organised into three segments and generates half of its revenue in the US. Its main drivers are:</w:t>
      </w:r>
    </w:p>
    <w:p w14:paraId="2CCD76F5" w14:textId="77777777" w:rsidR="00A70A3A" w:rsidRPr="00B50B37" w:rsidRDefault="00A70A3A" w:rsidP="00A70A3A">
      <w:pPr>
        <w:rPr>
          <w:rFonts w:ascii="Calibri" w:hAnsi="Calibri" w:cs="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536"/>
      </w:tblGrid>
      <w:tr w:rsidR="00A70A3A" w:rsidRPr="00ED0700" w14:paraId="1D2DEEAD" w14:textId="77777777" w:rsidTr="00CC3187">
        <w:tc>
          <w:tcPr>
            <w:tcW w:w="4962" w:type="dxa"/>
          </w:tcPr>
          <w:p w14:paraId="61596EB1" w14:textId="77777777" w:rsidR="00A70A3A" w:rsidRPr="00ED0700" w:rsidRDefault="00A70A3A" w:rsidP="00CC3187">
            <w:pPr>
              <w:rPr>
                <w:rFonts w:ascii="Calibri" w:hAnsi="Calibri" w:cs="Calibri"/>
                <w:b/>
                <w:bCs/>
                <w:i/>
                <w:iCs/>
                <w:color w:val="000000" w:themeColor="text1"/>
                <w:sz w:val="22"/>
                <w:szCs w:val="22"/>
              </w:rPr>
            </w:pPr>
            <w:r w:rsidRPr="00ED0700">
              <w:rPr>
                <w:rFonts w:ascii="Calibri" w:hAnsi="Calibri" w:cs="Calibri"/>
                <w:b/>
                <w:bCs/>
                <w:i/>
                <w:iCs/>
                <w:color w:val="000000" w:themeColor="text1"/>
                <w:sz w:val="22"/>
                <w:szCs w:val="22"/>
              </w:rPr>
              <w:t>Revenue:</w:t>
            </w:r>
          </w:p>
          <w:p w14:paraId="3EF86666" w14:textId="77777777" w:rsidR="00A70A3A" w:rsidRDefault="00A70A3A" w:rsidP="00CC3187">
            <w:pPr>
              <w:pStyle w:val="ListParagraph"/>
              <w:numPr>
                <w:ilvl w:val="0"/>
                <w:numId w:val="2"/>
              </w:numPr>
              <w:rPr>
                <w:rFonts w:ascii="Calibri" w:hAnsi="Calibri" w:cs="Calibri"/>
                <w:color w:val="000000" w:themeColor="text1"/>
                <w:sz w:val="22"/>
                <w:szCs w:val="22"/>
              </w:rPr>
            </w:pPr>
            <w:r>
              <w:rPr>
                <w:rFonts w:ascii="Calibri" w:hAnsi="Calibri" w:cs="Calibri"/>
                <w:color w:val="000000" w:themeColor="text1"/>
                <w:sz w:val="22"/>
                <w:szCs w:val="22"/>
              </w:rPr>
              <w:t>MedTech</w:t>
            </w:r>
          </w:p>
          <w:p w14:paraId="5A7D38AF" w14:textId="77777777" w:rsidR="00A70A3A" w:rsidRDefault="00A70A3A" w:rsidP="00CC3187">
            <w:pPr>
              <w:pStyle w:val="ListParagraph"/>
              <w:numPr>
                <w:ilvl w:val="0"/>
                <w:numId w:val="2"/>
              </w:numPr>
              <w:rPr>
                <w:rFonts w:ascii="Calibri" w:hAnsi="Calibri" w:cs="Calibri"/>
                <w:color w:val="000000" w:themeColor="text1"/>
                <w:sz w:val="22"/>
                <w:szCs w:val="22"/>
              </w:rPr>
            </w:pPr>
            <w:r>
              <w:rPr>
                <w:rFonts w:ascii="Calibri" w:hAnsi="Calibri" w:cs="Calibri"/>
                <w:color w:val="000000" w:themeColor="text1"/>
                <w:sz w:val="22"/>
                <w:szCs w:val="22"/>
              </w:rPr>
              <w:t>Pharmaceutical</w:t>
            </w:r>
          </w:p>
          <w:p w14:paraId="10F4856B" w14:textId="77777777" w:rsidR="00A70A3A" w:rsidRPr="00310451" w:rsidRDefault="00A70A3A" w:rsidP="00CC3187">
            <w:pPr>
              <w:pStyle w:val="ListParagraph"/>
              <w:numPr>
                <w:ilvl w:val="0"/>
                <w:numId w:val="2"/>
              </w:numPr>
              <w:rPr>
                <w:rFonts w:ascii="Calibri" w:hAnsi="Calibri" w:cs="Calibri"/>
                <w:color w:val="000000" w:themeColor="text1"/>
                <w:sz w:val="22"/>
                <w:szCs w:val="22"/>
              </w:rPr>
            </w:pPr>
            <w:r>
              <w:rPr>
                <w:rFonts w:ascii="Calibri" w:hAnsi="Calibri" w:cs="Calibri"/>
                <w:color w:val="000000" w:themeColor="text1"/>
                <w:sz w:val="22"/>
                <w:szCs w:val="22"/>
              </w:rPr>
              <w:t>Consumer Health</w:t>
            </w:r>
          </w:p>
        </w:tc>
        <w:tc>
          <w:tcPr>
            <w:tcW w:w="4536" w:type="dxa"/>
          </w:tcPr>
          <w:p w14:paraId="0FAF064F" w14:textId="77777777" w:rsidR="00A70A3A" w:rsidRPr="00ED0700" w:rsidRDefault="00A70A3A" w:rsidP="00CC3187">
            <w:pPr>
              <w:rPr>
                <w:rFonts w:ascii="Calibri" w:hAnsi="Calibri" w:cs="Calibri"/>
                <w:b/>
                <w:bCs/>
                <w:i/>
                <w:iCs/>
                <w:color w:val="000000" w:themeColor="text1"/>
                <w:sz w:val="22"/>
                <w:szCs w:val="22"/>
              </w:rPr>
            </w:pPr>
            <w:r w:rsidRPr="00ED0700">
              <w:rPr>
                <w:rFonts w:ascii="Calibri" w:hAnsi="Calibri" w:cs="Calibri"/>
                <w:b/>
                <w:bCs/>
                <w:i/>
                <w:iCs/>
                <w:color w:val="000000" w:themeColor="text1"/>
                <w:sz w:val="22"/>
                <w:szCs w:val="22"/>
              </w:rPr>
              <w:t>Cost:</w:t>
            </w:r>
          </w:p>
          <w:p w14:paraId="4891AD29" w14:textId="77777777" w:rsidR="00A70A3A" w:rsidRDefault="00A70A3A" w:rsidP="00CC3187">
            <w:pPr>
              <w:pStyle w:val="ListParagraph"/>
              <w:numPr>
                <w:ilvl w:val="0"/>
                <w:numId w:val="3"/>
              </w:numPr>
              <w:rPr>
                <w:rFonts w:ascii="Calibri" w:hAnsi="Calibri" w:cs="Calibri"/>
                <w:color w:val="000000" w:themeColor="text1"/>
                <w:sz w:val="22"/>
                <w:szCs w:val="22"/>
              </w:rPr>
            </w:pPr>
            <w:r>
              <w:rPr>
                <w:rFonts w:ascii="Calibri" w:hAnsi="Calibri" w:cs="Calibri"/>
                <w:color w:val="000000" w:themeColor="text1"/>
                <w:sz w:val="22"/>
                <w:szCs w:val="22"/>
              </w:rPr>
              <w:t>Manufacturing costs</w:t>
            </w:r>
          </w:p>
          <w:p w14:paraId="17ACDB08" w14:textId="77777777" w:rsidR="00A70A3A" w:rsidRDefault="00A70A3A" w:rsidP="00CC3187">
            <w:pPr>
              <w:pStyle w:val="ListParagraph"/>
              <w:numPr>
                <w:ilvl w:val="0"/>
                <w:numId w:val="3"/>
              </w:numPr>
              <w:rPr>
                <w:rFonts w:ascii="Calibri" w:hAnsi="Calibri" w:cs="Calibri"/>
                <w:color w:val="000000" w:themeColor="text1"/>
                <w:sz w:val="22"/>
                <w:szCs w:val="22"/>
              </w:rPr>
            </w:pPr>
            <w:r>
              <w:rPr>
                <w:rFonts w:ascii="Calibri" w:hAnsi="Calibri" w:cs="Calibri"/>
                <w:color w:val="000000" w:themeColor="text1"/>
                <w:sz w:val="22"/>
                <w:szCs w:val="22"/>
              </w:rPr>
              <w:t>Selling, Marketing and Administrative</w:t>
            </w:r>
          </w:p>
          <w:p w14:paraId="5D5B9347" w14:textId="77777777" w:rsidR="00A70A3A" w:rsidRPr="00310451" w:rsidRDefault="00A70A3A" w:rsidP="00CC3187">
            <w:pPr>
              <w:pStyle w:val="ListParagraph"/>
              <w:numPr>
                <w:ilvl w:val="0"/>
                <w:numId w:val="3"/>
              </w:numPr>
              <w:rPr>
                <w:rFonts w:ascii="Calibri" w:hAnsi="Calibri" w:cs="Calibri"/>
                <w:color w:val="000000" w:themeColor="text1"/>
                <w:sz w:val="22"/>
                <w:szCs w:val="22"/>
              </w:rPr>
            </w:pPr>
            <w:r>
              <w:rPr>
                <w:rFonts w:ascii="Calibri" w:hAnsi="Calibri" w:cs="Calibri"/>
                <w:color w:val="000000" w:themeColor="text1"/>
                <w:sz w:val="22"/>
                <w:szCs w:val="22"/>
              </w:rPr>
              <w:t>Research and Development</w:t>
            </w:r>
          </w:p>
        </w:tc>
      </w:tr>
    </w:tbl>
    <w:p w14:paraId="062A1B33" w14:textId="77777777" w:rsidR="00A70A3A" w:rsidRDefault="00A70A3A" w:rsidP="00A70A3A">
      <w:pPr>
        <w:rPr>
          <w:rFonts w:ascii="Calibri" w:hAnsi="Calibri" w:cs="Calibri"/>
          <w:sz w:val="22"/>
          <w:szCs w:val="22"/>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6"/>
        <w:gridCol w:w="4403"/>
      </w:tblGrid>
      <w:tr w:rsidR="00A70A3A" w14:paraId="12605447" w14:textId="77777777" w:rsidTr="00CC3187">
        <w:tc>
          <w:tcPr>
            <w:tcW w:w="5063" w:type="dxa"/>
          </w:tcPr>
          <w:p w14:paraId="1862176C" w14:textId="77777777" w:rsidR="00A70A3A" w:rsidRPr="00FC17A4" w:rsidRDefault="00A70A3A" w:rsidP="00CC3187">
            <w:pPr>
              <w:rPr>
                <w:rFonts w:ascii="Calibri" w:hAnsi="Calibri" w:cs="Calibri"/>
                <w:i/>
                <w:iCs/>
                <w:sz w:val="15"/>
                <w:szCs w:val="15"/>
              </w:rPr>
            </w:pPr>
            <w:r w:rsidRPr="00562AD6">
              <w:rPr>
                <w:rFonts w:ascii="Calibri" w:hAnsi="Calibri" w:cs="Calibri"/>
                <w:i/>
                <w:iCs/>
                <w:sz w:val="15"/>
                <w:szCs w:val="15"/>
              </w:rPr>
              <w:t xml:space="preserve"> </w:t>
            </w:r>
          </w:p>
          <w:p w14:paraId="06293DF0" w14:textId="77777777" w:rsidR="00A70A3A" w:rsidRDefault="00A70A3A" w:rsidP="00CC3187">
            <w:pPr>
              <w:rPr>
                <w:rFonts w:ascii="Calibri" w:hAnsi="Calibri" w:cs="Calibri"/>
                <w:i/>
                <w:iCs/>
                <w:sz w:val="15"/>
                <w:szCs w:val="15"/>
              </w:rPr>
            </w:pPr>
            <w:r>
              <w:rPr>
                <w:rFonts w:ascii="Calibri" w:hAnsi="Calibri" w:cs="Calibri"/>
                <w:i/>
                <w:iCs/>
                <w:noProof/>
                <w:sz w:val="15"/>
                <w:szCs w:val="15"/>
                <w:lang w:val="en-US" w:eastAsia="en-US"/>
              </w:rPr>
              <w:drawing>
                <wp:inline distT="0" distB="0" distL="0" distR="0" wp14:anchorId="6779F0E3" wp14:editId="4C1B1E7D">
                  <wp:extent cx="3185160" cy="1497013"/>
                  <wp:effectExtent l="0" t="0" r="2540" b="1905"/>
                  <wp:docPr id="10" name="Picture 10" descr="A picture containing text, screenshot, soft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screenshot, softwar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86267" cy="1544533"/>
                          </a:xfrm>
                          <a:prstGeom prst="rect">
                            <a:avLst/>
                          </a:prstGeom>
                        </pic:spPr>
                      </pic:pic>
                    </a:graphicData>
                  </a:graphic>
                </wp:inline>
              </w:drawing>
            </w:r>
          </w:p>
          <w:p w14:paraId="7739E066" w14:textId="77777777" w:rsidR="00A70A3A" w:rsidRDefault="00A70A3A" w:rsidP="00CC3187">
            <w:pPr>
              <w:rPr>
                <w:rFonts w:ascii="Calibri" w:hAnsi="Calibri" w:cs="Calibri"/>
                <w:i/>
                <w:iCs/>
                <w:sz w:val="15"/>
                <w:szCs w:val="15"/>
              </w:rPr>
            </w:pPr>
            <w:r>
              <w:rPr>
                <w:rFonts w:ascii="Calibri" w:hAnsi="Calibri" w:cs="Calibri"/>
                <w:i/>
                <w:iCs/>
                <w:sz w:val="15"/>
                <w:szCs w:val="15"/>
              </w:rPr>
              <w:t>JNJ experienced revenue growth in MedTech and Pharmaceutical, and a minor decrease in Consumer Health in 2022.</w:t>
            </w:r>
          </w:p>
          <w:p w14:paraId="02629C73" w14:textId="77777777" w:rsidR="00A70A3A" w:rsidRDefault="00A70A3A" w:rsidP="00CC3187">
            <w:pPr>
              <w:rPr>
                <w:rFonts w:ascii="Calibri" w:hAnsi="Calibri" w:cs="Calibri"/>
                <w:i/>
                <w:iCs/>
                <w:sz w:val="15"/>
                <w:szCs w:val="15"/>
              </w:rPr>
            </w:pPr>
          </w:p>
          <w:p w14:paraId="1C1890C4" w14:textId="77777777" w:rsidR="00A70A3A" w:rsidRDefault="00A70A3A" w:rsidP="00CC3187">
            <w:pPr>
              <w:rPr>
                <w:rFonts w:ascii="Calibri" w:hAnsi="Calibri" w:cs="Calibri"/>
                <w:i/>
                <w:iCs/>
                <w:sz w:val="15"/>
                <w:szCs w:val="15"/>
              </w:rPr>
            </w:pPr>
            <w:r>
              <w:rPr>
                <w:rFonts w:ascii="Calibri" w:hAnsi="Calibri" w:cs="Calibri"/>
                <w:i/>
                <w:iCs/>
                <w:noProof/>
                <w:sz w:val="15"/>
                <w:szCs w:val="15"/>
                <w:lang w:val="en-US" w:eastAsia="en-US"/>
              </w:rPr>
              <w:lastRenderedPageBreak/>
              <w:drawing>
                <wp:inline distT="0" distB="0" distL="0" distR="0" wp14:anchorId="476D7C13" wp14:editId="4E3DB680">
                  <wp:extent cx="3185160" cy="1604815"/>
                  <wp:effectExtent l="0" t="0" r="2540" b="0"/>
                  <wp:docPr id="12" name="Picture 12" descr="A picture containing text, screenshot, diagram, soft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screenshot, diagram, softwar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43903" cy="1634412"/>
                          </a:xfrm>
                          <a:prstGeom prst="rect">
                            <a:avLst/>
                          </a:prstGeom>
                        </pic:spPr>
                      </pic:pic>
                    </a:graphicData>
                  </a:graphic>
                </wp:inline>
              </w:drawing>
            </w:r>
          </w:p>
          <w:p w14:paraId="75767064" w14:textId="77777777" w:rsidR="00A70A3A" w:rsidRDefault="00A70A3A" w:rsidP="00CC3187">
            <w:pPr>
              <w:rPr>
                <w:rFonts w:ascii="Calibri" w:hAnsi="Calibri" w:cs="Calibri"/>
                <w:i/>
                <w:iCs/>
                <w:sz w:val="15"/>
                <w:szCs w:val="15"/>
              </w:rPr>
            </w:pPr>
            <w:r>
              <w:rPr>
                <w:rFonts w:ascii="Calibri" w:hAnsi="Calibri" w:cs="Calibri"/>
                <w:i/>
                <w:iCs/>
                <w:sz w:val="15"/>
                <w:szCs w:val="15"/>
              </w:rPr>
              <w:t>JNJ costs went down mainly in Sales, Marketing and Administrative and secondarily in Research and Development, while Manufacturing Costs arose.</w:t>
            </w:r>
          </w:p>
          <w:p w14:paraId="5BC29E38" w14:textId="77777777" w:rsidR="00A70A3A" w:rsidRDefault="00A70A3A" w:rsidP="00CC3187">
            <w:pPr>
              <w:rPr>
                <w:rFonts w:ascii="Calibri" w:hAnsi="Calibri" w:cs="Calibri"/>
                <w:i/>
                <w:iCs/>
                <w:sz w:val="15"/>
                <w:szCs w:val="15"/>
              </w:rPr>
            </w:pPr>
          </w:p>
          <w:p w14:paraId="543CA7C7" w14:textId="77777777" w:rsidR="00A70A3A" w:rsidRDefault="00A70A3A" w:rsidP="00CC3187">
            <w:pPr>
              <w:rPr>
                <w:rFonts w:ascii="Calibri" w:hAnsi="Calibri" w:cs="Calibri"/>
                <w:i/>
                <w:iCs/>
                <w:sz w:val="15"/>
                <w:szCs w:val="15"/>
              </w:rPr>
            </w:pPr>
            <w:r>
              <w:rPr>
                <w:rFonts w:ascii="Calibri" w:hAnsi="Calibri" w:cs="Calibri"/>
                <w:i/>
                <w:iCs/>
                <w:noProof/>
                <w:sz w:val="15"/>
                <w:szCs w:val="15"/>
                <w:lang w:val="en-US" w:eastAsia="en-US"/>
              </w:rPr>
              <w:drawing>
                <wp:inline distT="0" distB="0" distL="0" distR="0" wp14:anchorId="308F1EEC" wp14:editId="7DA21614">
                  <wp:extent cx="3185160" cy="1548929"/>
                  <wp:effectExtent l="0" t="0" r="2540" b="635"/>
                  <wp:docPr id="15" name="Picture 15" descr="A picture containing text, screenshot, diagram,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screenshot, diagram, numb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62422" cy="1586501"/>
                          </a:xfrm>
                          <a:prstGeom prst="rect">
                            <a:avLst/>
                          </a:prstGeom>
                        </pic:spPr>
                      </pic:pic>
                    </a:graphicData>
                  </a:graphic>
                </wp:inline>
              </w:drawing>
            </w:r>
          </w:p>
          <w:p w14:paraId="35FD6A8A" w14:textId="77777777" w:rsidR="00A70A3A" w:rsidRPr="00FC17A4" w:rsidRDefault="00A70A3A" w:rsidP="00CC3187">
            <w:pPr>
              <w:rPr>
                <w:rFonts w:ascii="Calibri" w:hAnsi="Calibri" w:cs="Calibri"/>
                <w:i/>
                <w:iCs/>
                <w:sz w:val="15"/>
                <w:szCs w:val="15"/>
              </w:rPr>
            </w:pPr>
            <w:r>
              <w:rPr>
                <w:rFonts w:ascii="Calibri" w:hAnsi="Calibri" w:cs="Calibri"/>
                <w:i/>
                <w:iCs/>
                <w:sz w:val="15"/>
                <w:szCs w:val="15"/>
              </w:rPr>
              <w:t>Solid profits for the company, way ahead of several competitors but runner-up to Pfizer for the second year in a row.</w:t>
            </w:r>
          </w:p>
        </w:tc>
        <w:tc>
          <w:tcPr>
            <w:tcW w:w="4576" w:type="dxa"/>
          </w:tcPr>
          <w:p w14:paraId="55ED0387" w14:textId="77777777" w:rsidR="00A70A3A" w:rsidRDefault="00A70A3A" w:rsidP="00CC3187">
            <w:pPr>
              <w:jc w:val="both"/>
              <w:rPr>
                <w:rFonts w:ascii="Calibri" w:hAnsi="Calibri" w:cs="Calibri"/>
                <w:sz w:val="22"/>
                <w:szCs w:val="22"/>
              </w:rPr>
            </w:pPr>
            <w:r>
              <w:rPr>
                <w:rFonts w:ascii="Calibri" w:hAnsi="Calibri" w:cs="Calibri"/>
                <w:sz w:val="22"/>
                <w:szCs w:val="22"/>
              </w:rPr>
              <w:lastRenderedPageBreak/>
              <w:t xml:space="preserve">Slow but steady growth characterised the recent triennium. Higher revenue was recorded by the </w:t>
            </w:r>
            <w:r w:rsidRPr="002905C4">
              <w:rPr>
                <w:rFonts w:ascii="Calibri" w:hAnsi="Calibri" w:cs="Calibri"/>
                <w:i/>
                <w:iCs/>
                <w:sz w:val="22"/>
                <w:szCs w:val="22"/>
              </w:rPr>
              <w:t>MedTech</w:t>
            </w:r>
            <w:r>
              <w:rPr>
                <w:rFonts w:ascii="Calibri" w:hAnsi="Calibri" w:cs="Calibri"/>
                <w:sz w:val="22"/>
                <w:szCs w:val="22"/>
              </w:rPr>
              <w:t xml:space="preserve"> and </w:t>
            </w:r>
            <w:r w:rsidRPr="002905C4">
              <w:rPr>
                <w:rFonts w:ascii="Calibri" w:hAnsi="Calibri" w:cs="Calibri"/>
                <w:i/>
                <w:iCs/>
                <w:sz w:val="22"/>
                <w:szCs w:val="22"/>
              </w:rPr>
              <w:t>Pharmaceutical</w:t>
            </w:r>
            <w:r>
              <w:rPr>
                <w:rFonts w:ascii="Calibri" w:hAnsi="Calibri" w:cs="Calibri"/>
                <w:sz w:val="22"/>
                <w:szCs w:val="22"/>
              </w:rPr>
              <w:t xml:space="preserve"> segments (respectively accounting for 34% and 65% of the total revenue), while </w:t>
            </w:r>
            <w:r>
              <w:rPr>
                <w:rFonts w:ascii="Calibri" w:hAnsi="Calibri" w:cs="Calibri"/>
                <w:i/>
                <w:iCs/>
                <w:sz w:val="22"/>
                <w:szCs w:val="22"/>
              </w:rPr>
              <w:t>Consumer Health</w:t>
            </w:r>
            <w:r>
              <w:rPr>
                <w:rFonts w:ascii="Calibri" w:hAnsi="Calibri" w:cs="Calibri"/>
                <w:sz w:val="22"/>
                <w:szCs w:val="22"/>
              </w:rPr>
              <w:t xml:space="preserve"> has been trivially lower; this might be attributed both to reduced advertising expenses but also to the transformation the company is undergoing for which this segment is becoming independent (operating as </w:t>
            </w:r>
            <w:proofErr w:type="spellStart"/>
            <w:r>
              <w:rPr>
                <w:rFonts w:ascii="Calibri" w:hAnsi="Calibri" w:cs="Calibri"/>
                <w:i/>
                <w:iCs/>
                <w:sz w:val="22"/>
                <w:szCs w:val="22"/>
              </w:rPr>
              <w:t>Kenvue</w:t>
            </w:r>
            <w:proofErr w:type="spellEnd"/>
            <w:r>
              <w:rPr>
                <w:rFonts w:ascii="Calibri" w:hAnsi="Calibri" w:cs="Calibri"/>
                <w:sz w:val="22"/>
                <w:szCs w:val="22"/>
              </w:rPr>
              <w:t>).</w:t>
            </w:r>
          </w:p>
          <w:p w14:paraId="00AD3241" w14:textId="77777777" w:rsidR="00A70A3A" w:rsidRDefault="00A70A3A" w:rsidP="00CC3187">
            <w:pPr>
              <w:jc w:val="both"/>
              <w:rPr>
                <w:rFonts w:ascii="Calibri" w:hAnsi="Calibri" w:cs="Calibri"/>
                <w:sz w:val="22"/>
                <w:szCs w:val="22"/>
              </w:rPr>
            </w:pPr>
          </w:p>
          <w:p w14:paraId="0F6DA3C9" w14:textId="77777777" w:rsidR="00A70A3A" w:rsidRDefault="00A70A3A" w:rsidP="00CC3187">
            <w:pPr>
              <w:jc w:val="both"/>
              <w:rPr>
                <w:rFonts w:ascii="Calibri" w:hAnsi="Calibri" w:cs="Calibri"/>
                <w:sz w:val="22"/>
                <w:szCs w:val="22"/>
              </w:rPr>
            </w:pPr>
            <w:r>
              <w:rPr>
                <w:rFonts w:ascii="Calibri" w:hAnsi="Calibri" w:cs="Calibri"/>
                <w:sz w:val="22"/>
                <w:szCs w:val="22"/>
              </w:rPr>
              <w:t xml:space="preserve">Costs have a direct correlation to the company performances. In the most recent year </w:t>
            </w:r>
            <w:r w:rsidRPr="000C2494">
              <w:rPr>
                <w:rFonts w:ascii="Calibri" w:hAnsi="Calibri" w:cs="Calibri"/>
                <w:i/>
                <w:iCs/>
                <w:sz w:val="22"/>
                <w:szCs w:val="22"/>
              </w:rPr>
              <w:t>R&amp;D</w:t>
            </w:r>
            <w:r w:rsidRPr="000C2494">
              <w:rPr>
                <w:rFonts w:ascii="Calibri" w:hAnsi="Calibri" w:cs="Calibri"/>
                <w:sz w:val="22"/>
                <w:szCs w:val="22"/>
              </w:rPr>
              <w:t xml:space="preserve"> decreased driven by</w:t>
            </w:r>
            <w:r>
              <w:rPr>
                <w:rFonts w:ascii="Calibri" w:hAnsi="Calibri" w:cs="Calibri"/>
                <w:sz w:val="22"/>
                <w:szCs w:val="22"/>
              </w:rPr>
              <w:t xml:space="preserve"> lower </w:t>
            </w:r>
            <w:r w:rsidRPr="000C2494">
              <w:rPr>
                <w:rFonts w:ascii="Calibri" w:hAnsi="Calibri" w:cs="Calibri"/>
                <w:sz w:val="22"/>
                <w:szCs w:val="22"/>
              </w:rPr>
              <w:t xml:space="preserve">milestone payments </w:t>
            </w:r>
            <w:r w:rsidRPr="000C2494">
              <w:rPr>
                <w:rFonts w:ascii="Calibri" w:hAnsi="Calibri" w:cs="Calibri"/>
                <w:sz w:val="22"/>
                <w:szCs w:val="22"/>
              </w:rPr>
              <w:lastRenderedPageBreak/>
              <w:t>in the pharmaceutical business</w:t>
            </w:r>
            <w:r>
              <w:rPr>
                <w:rFonts w:ascii="Calibri" w:hAnsi="Calibri" w:cs="Calibri"/>
                <w:sz w:val="22"/>
                <w:szCs w:val="22"/>
              </w:rPr>
              <w:t xml:space="preserve">, while </w:t>
            </w:r>
            <w:r>
              <w:rPr>
                <w:rFonts w:ascii="Calibri" w:hAnsi="Calibri" w:cs="Calibri"/>
                <w:i/>
                <w:iCs/>
                <w:sz w:val="22"/>
                <w:szCs w:val="22"/>
              </w:rPr>
              <w:t>cost of products</w:t>
            </w:r>
            <w:r>
              <w:rPr>
                <w:rFonts w:ascii="Calibri" w:hAnsi="Calibri" w:cs="Calibri"/>
                <w:sz w:val="22"/>
                <w:szCs w:val="22"/>
              </w:rPr>
              <w:t xml:space="preserve"> increased mostly for currency impacts and commodity inflation.</w:t>
            </w:r>
          </w:p>
          <w:p w14:paraId="7C310406" w14:textId="77777777" w:rsidR="00A70A3A" w:rsidRDefault="00A70A3A" w:rsidP="00CC3187">
            <w:pPr>
              <w:jc w:val="both"/>
              <w:rPr>
                <w:rFonts w:ascii="Calibri" w:hAnsi="Calibri" w:cs="Calibri"/>
                <w:sz w:val="22"/>
                <w:szCs w:val="22"/>
              </w:rPr>
            </w:pPr>
          </w:p>
          <w:p w14:paraId="7F7453BF" w14:textId="77777777" w:rsidR="00A70A3A" w:rsidRDefault="00A70A3A" w:rsidP="00CC3187">
            <w:pPr>
              <w:jc w:val="both"/>
              <w:rPr>
                <w:rFonts w:ascii="Calibri" w:hAnsi="Calibri" w:cs="Calibri"/>
                <w:sz w:val="22"/>
                <w:szCs w:val="22"/>
              </w:rPr>
            </w:pPr>
            <w:r>
              <w:rPr>
                <w:rFonts w:ascii="Calibri" w:hAnsi="Calibri" w:cs="Calibri"/>
                <w:sz w:val="22"/>
                <w:szCs w:val="22"/>
              </w:rPr>
              <w:t xml:space="preserve">J&amp;J turned another very profitable year, and despite recording a lower profit than 2021, the company bested almost all of its competitors, being runner-up only to Pfizer for the second year in a row. As for TSR, the company has regained its crown in 2022, outperforming not only its competitors in the </w:t>
            </w:r>
            <w:r w:rsidRPr="000714BC">
              <w:rPr>
                <w:rFonts w:ascii="Calibri" w:hAnsi="Calibri" w:cs="Calibri"/>
                <w:i/>
                <w:iCs/>
                <w:sz w:val="22"/>
                <w:szCs w:val="22"/>
              </w:rPr>
              <w:t>Pharmaceutical</w:t>
            </w:r>
            <w:r>
              <w:rPr>
                <w:rFonts w:ascii="Calibri" w:hAnsi="Calibri" w:cs="Calibri"/>
                <w:sz w:val="22"/>
                <w:szCs w:val="22"/>
              </w:rPr>
              <w:t xml:space="preserve"> and </w:t>
            </w:r>
            <w:r w:rsidRPr="000714BC">
              <w:rPr>
                <w:rFonts w:ascii="Calibri" w:hAnsi="Calibri" w:cs="Calibri"/>
                <w:i/>
                <w:iCs/>
                <w:sz w:val="22"/>
                <w:szCs w:val="22"/>
              </w:rPr>
              <w:t>Healthcare</w:t>
            </w:r>
            <w:r>
              <w:rPr>
                <w:rFonts w:ascii="Calibri" w:hAnsi="Calibri" w:cs="Calibri"/>
                <w:i/>
                <w:iCs/>
                <w:sz w:val="22"/>
                <w:szCs w:val="22"/>
              </w:rPr>
              <w:t xml:space="preserve"> Equipment Indexes</w:t>
            </w:r>
            <w:r>
              <w:rPr>
                <w:rFonts w:ascii="Calibri" w:hAnsi="Calibri" w:cs="Calibri"/>
                <w:sz w:val="22"/>
                <w:szCs w:val="22"/>
              </w:rPr>
              <w:t xml:space="preserve"> (many of which had outrageous growth in 2021 to then bounce back to pre-pandemic levels last year) but also the wider </w:t>
            </w:r>
            <w:r w:rsidRPr="000714BC">
              <w:rPr>
                <w:rFonts w:ascii="Calibri" w:hAnsi="Calibri" w:cs="Calibri"/>
                <w:i/>
                <w:iCs/>
                <w:sz w:val="22"/>
                <w:szCs w:val="22"/>
              </w:rPr>
              <w:t>S&amp;P 500</w:t>
            </w:r>
            <w:r>
              <w:rPr>
                <w:rFonts w:ascii="Calibri" w:hAnsi="Calibri" w:cs="Calibri"/>
                <w:sz w:val="22"/>
                <w:szCs w:val="22"/>
              </w:rPr>
              <w:t>. Remarkably, the company also outperformed this index when considering the 10-years TSR but fell short relatively to the industry index.</w:t>
            </w:r>
          </w:p>
          <w:p w14:paraId="2CBDCED5" w14:textId="77777777" w:rsidR="00A70A3A" w:rsidRDefault="00A70A3A" w:rsidP="00CC3187">
            <w:pPr>
              <w:jc w:val="both"/>
              <w:rPr>
                <w:rFonts w:ascii="Calibri" w:hAnsi="Calibri" w:cs="Calibri"/>
                <w:sz w:val="22"/>
                <w:szCs w:val="22"/>
              </w:rPr>
            </w:pPr>
          </w:p>
          <w:p w14:paraId="08B49261" w14:textId="77777777" w:rsidR="00A70A3A" w:rsidRPr="00A734C3" w:rsidRDefault="00A70A3A" w:rsidP="00CC3187">
            <w:pPr>
              <w:jc w:val="both"/>
              <w:rPr>
                <w:rFonts w:ascii="Calibri" w:hAnsi="Calibri" w:cs="Calibri"/>
                <w:sz w:val="22"/>
                <w:szCs w:val="22"/>
              </w:rPr>
            </w:pPr>
          </w:p>
        </w:tc>
      </w:tr>
    </w:tbl>
    <w:p w14:paraId="148DF4BF" w14:textId="77777777" w:rsidR="00A70A3A" w:rsidRDefault="00A70A3A" w:rsidP="00A70A3A">
      <w:pPr>
        <w:jc w:val="both"/>
        <w:rPr>
          <w:rFonts w:ascii="Calibri" w:hAnsi="Calibri" w:cs="Calibri"/>
          <w:sz w:val="22"/>
          <w:szCs w:val="22"/>
        </w:rPr>
      </w:pPr>
      <w:r>
        <w:rPr>
          <w:rFonts w:ascii="Calibri" w:hAnsi="Calibri" w:cs="Calibri"/>
          <w:color w:val="000000" w:themeColor="text1"/>
          <w:sz w:val="22"/>
          <w:szCs w:val="22"/>
        </w:rPr>
        <w:lastRenderedPageBreak/>
        <w:t xml:space="preserve">A clearly established industry leader, J&amp;J </w:t>
      </w:r>
      <w:r>
        <w:rPr>
          <w:rFonts w:ascii="Calibri" w:hAnsi="Calibri" w:cs="Calibri"/>
          <w:sz w:val="22"/>
          <w:szCs w:val="22"/>
        </w:rPr>
        <w:t xml:space="preserve">turned a very healthy profit of almost </w:t>
      </w:r>
      <w:r w:rsidRPr="002E34AB">
        <w:rPr>
          <w:rFonts w:ascii="Calibri" w:hAnsi="Calibri" w:cs="Calibri"/>
          <w:b/>
          <w:bCs/>
          <w:i/>
          <w:iCs/>
          <w:sz w:val="22"/>
          <w:szCs w:val="22"/>
        </w:rPr>
        <w:t>$18B</w:t>
      </w:r>
      <w:r w:rsidRPr="002E34AB">
        <w:rPr>
          <w:rFonts w:ascii="Calibri" w:hAnsi="Calibri" w:cs="Calibri"/>
          <w:i/>
          <w:iCs/>
          <w:sz w:val="22"/>
          <w:szCs w:val="22"/>
        </w:rPr>
        <w:t xml:space="preserve"> </w:t>
      </w:r>
      <w:r>
        <w:rPr>
          <w:rFonts w:ascii="Calibri" w:hAnsi="Calibri" w:cs="Calibri"/>
          <w:sz w:val="22"/>
          <w:szCs w:val="22"/>
        </w:rPr>
        <w:t xml:space="preserve">in 2022 although investing nearly </w:t>
      </w:r>
      <w:r w:rsidRPr="002E34AB">
        <w:rPr>
          <w:rFonts w:ascii="Calibri" w:hAnsi="Calibri" w:cs="Calibri"/>
          <w:b/>
          <w:bCs/>
          <w:i/>
          <w:iCs/>
          <w:sz w:val="22"/>
          <w:szCs w:val="22"/>
        </w:rPr>
        <w:t>$1</w:t>
      </w:r>
      <w:r>
        <w:rPr>
          <w:rFonts w:ascii="Calibri" w:hAnsi="Calibri" w:cs="Calibri"/>
          <w:b/>
          <w:bCs/>
          <w:i/>
          <w:iCs/>
          <w:sz w:val="22"/>
          <w:szCs w:val="22"/>
        </w:rPr>
        <w:t>5</w:t>
      </w:r>
      <w:r w:rsidRPr="002E34AB">
        <w:rPr>
          <w:rFonts w:ascii="Calibri" w:hAnsi="Calibri" w:cs="Calibri"/>
          <w:b/>
          <w:bCs/>
          <w:i/>
          <w:iCs/>
          <w:sz w:val="22"/>
          <w:szCs w:val="22"/>
        </w:rPr>
        <w:t>B</w:t>
      </w:r>
      <w:r>
        <w:rPr>
          <w:rFonts w:ascii="Calibri" w:hAnsi="Calibri" w:cs="Calibri"/>
          <w:sz w:val="22"/>
          <w:szCs w:val="22"/>
        </w:rPr>
        <w:t xml:space="preserve"> in Research &amp; Development and another </w:t>
      </w:r>
      <w:r w:rsidRPr="002E34AB">
        <w:rPr>
          <w:rFonts w:ascii="Calibri" w:hAnsi="Calibri" w:cs="Calibri"/>
          <w:b/>
          <w:bCs/>
          <w:i/>
          <w:iCs/>
          <w:sz w:val="22"/>
          <w:szCs w:val="22"/>
        </w:rPr>
        <w:t>$18B</w:t>
      </w:r>
      <w:r>
        <w:rPr>
          <w:rFonts w:ascii="Calibri" w:hAnsi="Calibri" w:cs="Calibri"/>
          <w:sz w:val="22"/>
          <w:szCs w:val="22"/>
        </w:rPr>
        <w:t xml:space="preserve"> in acquisition and mergers while increased the shareholders dividend at the same time (redistributing roughly </w:t>
      </w:r>
      <w:r w:rsidRPr="002E34AB">
        <w:rPr>
          <w:rFonts w:ascii="Calibri" w:hAnsi="Calibri" w:cs="Calibri"/>
          <w:b/>
          <w:bCs/>
          <w:i/>
          <w:iCs/>
          <w:sz w:val="22"/>
          <w:szCs w:val="22"/>
        </w:rPr>
        <w:t>$1</w:t>
      </w:r>
      <w:r>
        <w:rPr>
          <w:rFonts w:ascii="Calibri" w:hAnsi="Calibri" w:cs="Calibri"/>
          <w:b/>
          <w:bCs/>
          <w:i/>
          <w:iCs/>
          <w:sz w:val="22"/>
          <w:szCs w:val="22"/>
        </w:rPr>
        <w:t>2</w:t>
      </w:r>
      <w:r w:rsidRPr="002E34AB">
        <w:rPr>
          <w:rFonts w:ascii="Calibri" w:hAnsi="Calibri" w:cs="Calibri"/>
          <w:b/>
          <w:bCs/>
          <w:i/>
          <w:iCs/>
          <w:sz w:val="22"/>
          <w:szCs w:val="22"/>
        </w:rPr>
        <w:t>B</w:t>
      </w:r>
      <w:r w:rsidRPr="002E34AB">
        <w:rPr>
          <w:rFonts w:ascii="Calibri" w:hAnsi="Calibri" w:cs="Calibri"/>
          <w:i/>
          <w:iCs/>
          <w:sz w:val="22"/>
          <w:szCs w:val="22"/>
        </w:rPr>
        <w:t xml:space="preserve"> </w:t>
      </w:r>
      <w:r>
        <w:rPr>
          <w:rFonts w:ascii="Calibri" w:hAnsi="Calibri" w:cs="Calibri"/>
          <w:sz w:val="22"/>
          <w:szCs w:val="22"/>
        </w:rPr>
        <w:t xml:space="preserve">to investors!). </w:t>
      </w:r>
    </w:p>
    <w:p w14:paraId="24F30BC5" w14:textId="77777777" w:rsidR="00A70A3A" w:rsidRDefault="00A70A3A" w:rsidP="00A70A3A">
      <w:pPr>
        <w:jc w:val="both"/>
        <w:rPr>
          <w:rFonts w:ascii="Calibri" w:hAnsi="Calibri" w:cs="Calibri"/>
          <w:sz w:val="22"/>
          <w:szCs w:val="22"/>
        </w:rPr>
      </w:pPr>
    </w:p>
    <w:p w14:paraId="22BE7CF2" w14:textId="4E35EF02" w:rsidR="00BE399E" w:rsidRDefault="00A70A3A" w:rsidP="00534099">
      <w:pPr>
        <w:jc w:val="both"/>
        <w:rPr>
          <w:rFonts w:ascii="Calibri" w:hAnsi="Calibri" w:cs="Calibri"/>
          <w:sz w:val="22"/>
          <w:szCs w:val="22"/>
        </w:rPr>
      </w:pPr>
      <w:r>
        <w:rPr>
          <w:rFonts w:ascii="Calibri" w:hAnsi="Calibri" w:cs="Calibri"/>
          <w:sz w:val="22"/>
          <w:szCs w:val="22"/>
        </w:rPr>
        <w:t xml:space="preserve">Not only this remarkable results came in a moment where the company and its peers have been affected by high inflation and unrelenting disruptions to the supply chain, but at the same time J&amp;J is progressing toward a separation from its </w:t>
      </w:r>
      <w:r>
        <w:rPr>
          <w:rFonts w:ascii="Calibri" w:hAnsi="Calibri" w:cs="Calibri"/>
          <w:i/>
          <w:iCs/>
          <w:sz w:val="22"/>
          <w:szCs w:val="22"/>
        </w:rPr>
        <w:t xml:space="preserve">Consumer </w:t>
      </w:r>
      <w:r w:rsidRPr="00D04A90">
        <w:rPr>
          <w:rFonts w:ascii="Calibri" w:hAnsi="Calibri" w:cs="Calibri"/>
          <w:i/>
          <w:iCs/>
          <w:sz w:val="22"/>
          <w:szCs w:val="22"/>
        </w:rPr>
        <w:t>Health</w:t>
      </w:r>
      <w:r>
        <w:rPr>
          <w:rFonts w:ascii="Calibri" w:hAnsi="Calibri" w:cs="Calibri"/>
          <w:sz w:val="22"/>
          <w:szCs w:val="22"/>
        </w:rPr>
        <w:t xml:space="preserve"> </w:t>
      </w:r>
      <w:r w:rsidRPr="00D04A90">
        <w:rPr>
          <w:rFonts w:ascii="Calibri" w:hAnsi="Calibri" w:cs="Calibri"/>
          <w:sz w:val="22"/>
          <w:szCs w:val="22"/>
        </w:rPr>
        <w:t>segment</w:t>
      </w:r>
      <w:r>
        <w:rPr>
          <w:rFonts w:ascii="Calibri" w:hAnsi="Calibri" w:cs="Calibri"/>
          <w:sz w:val="22"/>
          <w:szCs w:val="22"/>
        </w:rPr>
        <w:t xml:space="preserve"> to streamline operations and further strengthen its position as a leading pharmaceutical company.</w:t>
      </w:r>
    </w:p>
    <w:p w14:paraId="62A014F7" w14:textId="77777777" w:rsidR="00116285" w:rsidRDefault="00116285" w:rsidP="00534099">
      <w:pPr>
        <w:jc w:val="both"/>
        <w:rPr>
          <w:rFonts w:ascii="Calibri" w:hAnsi="Calibri" w:cs="Calibri"/>
          <w:sz w:val="22"/>
          <w:szCs w:val="22"/>
        </w:rPr>
      </w:pPr>
    </w:p>
    <w:p w14:paraId="6FAF569E" w14:textId="77777777" w:rsidR="00116285" w:rsidRDefault="00116285" w:rsidP="00116285">
      <w:pPr>
        <w:spacing w:line="276" w:lineRule="auto"/>
      </w:pPr>
      <w:r w:rsidRPr="0056541D">
        <w:rPr>
          <w:highlight w:val="green"/>
        </w:rPr>
        <w:t xml:space="preserve">Each of the three segments, Consumer, Pharmaceuticals and Medical Devices have sub segments with product lines </w:t>
      </w:r>
      <w:r>
        <w:rPr>
          <w:highlight w:val="green"/>
        </w:rPr>
        <w:t xml:space="preserve">like </w:t>
      </w:r>
      <w:proofErr w:type="spellStart"/>
      <w:r>
        <w:rPr>
          <w:highlight w:val="green"/>
        </w:rPr>
        <w:t>Remicade</w:t>
      </w:r>
      <w:proofErr w:type="spellEnd"/>
      <w:r>
        <w:rPr>
          <w:highlight w:val="green"/>
        </w:rPr>
        <w:t xml:space="preserve">, </w:t>
      </w:r>
      <w:proofErr w:type="spellStart"/>
      <w:r w:rsidRPr="00C8728A">
        <w:rPr>
          <w:highlight w:val="green"/>
        </w:rPr>
        <w:t>Darzalex</w:t>
      </w:r>
      <w:proofErr w:type="spellEnd"/>
      <w:r w:rsidRPr="00C8728A">
        <w:rPr>
          <w:highlight w:val="green"/>
        </w:rPr>
        <w:t xml:space="preserve"> , </w:t>
      </w:r>
      <w:proofErr w:type="spellStart"/>
      <w:r w:rsidRPr="00C8728A">
        <w:rPr>
          <w:highlight w:val="green"/>
        </w:rPr>
        <w:t>Stelara</w:t>
      </w:r>
      <w:proofErr w:type="spellEnd"/>
      <w:r w:rsidRPr="00C8728A">
        <w:rPr>
          <w:highlight w:val="green"/>
        </w:rPr>
        <w:t xml:space="preserve"> and </w:t>
      </w:r>
      <w:proofErr w:type="spellStart"/>
      <w:r w:rsidRPr="00C8728A">
        <w:rPr>
          <w:highlight w:val="green"/>
        </w:rPr>
        <w:t>Tremfya</w:t>
      </w:r>
      <w:proofErr w:type="spellEnd"/>
      <w:r w:rsidRPr="00C8728A">
        <w:rPr>
          <w:highlight w:val="green"/>
        </w:rPr>
        <w:t xml:space="preserve">  or </w:t>
      </w:r>
      <w:r w:rsidRPr="0056541D">
        <w:rPr>
          <w:highlight w:val="green"/>
        </w:rPr>
        <w:t>Surgery, Orthopaedics and Intervention solutions. All of these lines have US &amp; International sales. US revenue can be driven by annual growth rates, international revenue growth has two components, organic growth and currency impact</w:t>
      </w:r>
      <w:r>
        <w:t>.</w:t>
      </w:r>
    </w:p>
    <w:p w14:paraId="349AF14C" w14:textId="77777777" w:rsidR="00116285" w:rsidRDefault="00116285" w:rsidP="00116285">
      <w:pPr>
        <w:pStyle w:val="Default"/>
        <w:spacing w:after="240" w:line="240" w:lineRule="auto"/>
        <w:rPr>
          <w:rFonts w:ascii="Times New Roman" w:eastAsia="Times New Roman" w:hAnsi="Times New Roman" w:cs="Times New Roman"/>
          <w:sz w:val="24"/>
          <w:szCs w:val="24"/>
        </w:rPr>
      </w:pPr>
    </w:p>
    <w:p w14:paraId="3727BADD" w14:textId="77777777" w:rsidR="00116285" w:rsidRPr="00556097" w:rsidRDefault="00116285" w:rsidP="00116285">
      <w:pPr>
        <w:rPr>
          <w:highlight w:val="green"/>
          <w:u w:val="single"/>
        </w:rPr>
      </w:pPr>
      <w:r w:rsidRPr="00556097">
        <w:rPr>
          <w:highlight w:val="green"/>
          <w:u w:val="single"/>
        </w:rPr>
        <w:t>Cost Drivers</w:t>
      </w:r>
      <w:r>
        <w:rPr>
          <w:highlight w:val="green"/>
          <w:u w:val="single"/>
        </w:rPr>
        <w:t xml:space="preserve"> – as % of revenue (trend analysis)</w:t>
      </w:r>
    </w:p>
    <w:p w14:paraId="0A388A5A" w14:textId="77777777" w:rsidR="00116285" w:rsidRPr="00556097" w:rsidRDefault="00116285" w:rsidP="00116285">
      <w:pPr>
        <w:pStyle w:val="ListParagraph"/>
        <w:numPr>
          <w:ilvl w:val="0"/>
          <w:numId w:val="4"/>
        </w:numPr>
        <w:spacing w:after="160" w:line="259" w:lineRule="auto"/>
        <w:rPr>
          <w:highlight w:val="green"/>
          <w:u w:val="single"/>
        </w:rPr>
      </w:pPr>
      <w:r w:rsidRPr="00556097">
        <w:rPr>
          <w:highlight w:val="green"/>
        </w:rPr>
        <w:t>Selling, Marketing and Administrative Expenses</w:t>
      </w:r>
    </w:p>
    <w:p w14:paraId="36205EE9" w14:textId="77777777" w:rsidR="00116285" w:rsidRPr="00556097" w:rsidRDefault="00116285" w:rsidP="00116285">
      <w:pPr>
        <w:pStyle w:val="ListParagraph"/>
        <w:numPr>
          <w:ilvl w:val="0"/>
          <w:numId w:val="4"/>
        </w:numPr>
        <w:spacing w:after="160" w:line="259" w:lineRule="auto"/>
        <w:rPr>
          <w:highlight w:val="green"/>
          <w:u w:val="single"/>
        </w:rPr>
      </w:pPr>
      <w:r w:rsidRPr="00556097">
        <w:rPr>
          <w:highlight w:val="green"/>
        </w:rPr>
        <w:t>Research and Development Expenses</w:t>
      </w:r>
    </w:p>
    <w:p w14:paraId="12E5DDAD" w14:textId="77777777" w:rsidR="00116285" w:rsidRPr="00E10FB1" w:rsidRDefault="00116285" w:rsidP="00116285">
      <w:pPr>
        <w:pStyle w:val="ListParagraph"/>
        <w:numPr>
          <w:ilvl w:val="0"/>
          <w:numId w:val="4"/>
        </w:numPr>
        <w:spacing w:after="160" w:line="259" w:lineRule="auto"/>
        <w:rPr>
          <w:highlight w:val="green"/>
          <w:u w:val="single"/>
        </w:rPr>
      </w:pPr>
      <w:r w:rsidRPr="00556097">
        <w:rPr>
          <w:highlight w:val="green"/>
        </w:rPr>
        <w:t>In-process research and development</w:t>
      </w:r>
    </w:p>
    <w:p w14:paraId="1775DED6" w14:textId="77777777" w:rsidR="00116285" w:rsidRPr="00E10FB1" w:rsidRDefault="00116285" w:rsidP="00116285">
      <w:pPr>
        <w:pStyle w:val="ListParagraph"/>
        <w:numPr>
          <w:ilvl w:val="0"/>
          <w:numId w:val="4"/>
        </w:numPr>
        <w:spacing w:after="160" w:line="259" w:lineRule="auto"/>
        <w:rPr>
          <w:highlight w:val="green"/>
          <w:u w:val="single"/>
        </w:rPr>
      </w:pPr>
      <w:r w:rsidRPr="00E10FB1">
        <w:rPr>
          <w:highlight w:val="green"/>
        </w:rPr>
        <w:t>Cost of products sold</w:t>
      </w:r>
    </w:p>
    <w:p w14:paraId="3251301B" w14:textId="77777777" w:rsidR="00116285" w:rsidRPr="00A70A3A" w:rsidRDefault="00116285" w:rsidP="00534099">
      <w:pPr>
        <w:jc w:val="both"/>
        <w:rPr>
          <w:rFonts w:ascii="Calibri" w:hAnsi="Calibri" w:cs="Calibri"/>
          <w:sz w:val="22"/>
          <w:szCs w:val="22"/>
        </w:rPr>
      </w:pPr>
    </w:p>
    <w:sectPr w:rsidR="00116285" w:rsidRPr="00A70A3A" w:rsidSect="00B50B37">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ela Text Regular">
    <w:altName w:val="Cambria"/>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24E30"/>
    <w:multiLevelType w:val="hybridMultilevel"/>
    <w:tmpl w:val="B91C0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6D4EA8"/>
    <w:multiLevelType w:val="hybridMultilevel"/>
    <w:tmpl w:val="96D0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FB69AD"/>
    <w:multiLevelType w:val="hybridMultilevel"/>
    <w:tmpl w:val="AFD63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AD624D"/>
    <w:multiLevelType w:val="hybridMultilevel"/>
    <w:tmpl w:val="BFD4B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A7D"/>
    <w:rsid w:val="000F7217"/>
    <w:rsid w:val="00116285"/>
    <w:rsid w:val="00153D8E"/>
    <w:rsid w:val="0016669C"/>
    <w:rsid w:val="001E31B6"/>
    <w:rsid w:val="002954B0"/>
    <w:rsid w:val="002D4CF5"/>
    <w:rsid w:val="002F610F"/>
    <w:rsid w:val="00307731"/>
    <w:rsid w:val="00310451"/>
    <w:rsid w:val="0034619E"/>
    <w:rsid w:val="00396061"/>
    <w:rsid w:val="003A27BE"/>
    <w:rsid w:val="003A2ED2"/>
    <w:rsid w:val="003A5E84"/>
    <w:rsid w:val="00443900"/>
    <w:rsid w:val="004573C7"/>
    <w:rsid w:val="00460E3A"/>
    <w:rsid w:val="004B1FF4"/>
    <w:rsid w:val="00534099"/>
    <w:rsid w:val="00534B5A"/>
    <w:rsid w:val="00562AD6"/>
    <w:rsid w:val="00574A52"/>
    <w:rsid w:val="005D2A7D"/>
    <w:rsid w:val="005F2AFA"/>
    <w:rsid w:val="00617948"/>
    <w:rsid w:val="00631CD1"/>
    <w:rsid w:val="00641F25"/>
    <w:rsid w:val="00703462"/>
    <w:rsid w:val="007623BB"/>
    <w:rsid w:val="0077196A"/>
    <w:rsid w:val="0079422F"/>
    <w:rsid w:val="00797165"/>
    <w:rsid w:val="00831265"/>
    <w:rsid w:val="0084677B"/>
    <w:rsid w:val="00852C55"/>
    <w:rsid w:val="008A54C6"/>
    <w:rsid w:val="008C51C8"/>
    <w:rsid w:val="0096537C"/>
    <w:rsid w:val="009B6FAE"/>
    <w:rsid w:val="009F480F"/>
    <w:rsid w:val="00A67CCE"/>
    <w:rsid w:val="00A70A3A"/>
    <w:rsid w:val="00AA2A19"/>
    <w:rsid w:val="00AB2A8C"/>
    <w:rsid w:val="00AD1348"/>
    <w:rsid w:val="00B25061"/>
    <w:rsid w:val="00B50B37"/>
    <w:rsid w:val="00B55EEB"/>
    <w:rsid w:val="00B6530C"/>
    <w:rsid w:val="00B657E4"/>
    <w:rsid w:val="00BE399E"/>
    <w:rsid w:val="00C53CD4"/>
    <w:rsid w:val="00C72DE2"/>
    <w:rsid w:val="00D0564E"/>
    <w:rsid w:val="00D734F6"/>
    <w:rsid w:val="00D77C5D"/>
    <w:rsid w:val="00ED0700"/>
    <w:rsid w:val="00FC17A4"/>
    <w:rsid w:val="00FD3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4ECA8"/>
  <w15:chartTrackingRefBased/>
  <w15:docId w15:val="{2D2110B2-FDDC-E74D-BE9E-DEAC123F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A8C"/>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2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23BB"/>
    <w:pPr>
      <w:ind w:left="720"/>
      <w:contextualSpacing/>
    </w:pPr>
  </w:style>
  <w:style w:type="paragraph" w:customStyle="1" w:styleId="Default">
    <w:name w:val="Default"/>
    <w:rsid w:val="00116285"/>
    <w:pPr>
      <w:pBdr>
        <w:top w:val="nil"/>
        <w:left w:val="nil"/>
        <w:bottom w:val="nil"/>
        <w:right w:val="nil"/>
        <w:between w:val="nil"/>
        <w:bar w:val="nil"/>
      </w:pBdr>
      <w:suppressAutoHyphens/>
      <w:spacing w:after="180" w:line="264" w:lineRule="auto"/>
    </w:pPr>
    <w:rPr>
      <w:rFonts w:ascii="Canela Text Regular" w:eastAsia="Arial Unicode MS" w:hAnsi="Canela Text Regular" w:cs="Arial Unicode MS"/>
      <w:color w:val="000000"/>
      <w:sz w:val="22"/>
      <w:szCs w:val="22"/>
      <w:u w:color="000000"/>
      <w:bdr w:val="nil"/>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47245">
      <w:bodyDiv w:val="1"/>
      <w:marLeft w:val="0"/>
      <w:marRight w:val="0"/>
      <w:marTop w:val="0"/>
      <w:marBottom w:val="0"/>
      <w:divBdr>
        <w:top w:val="none" w:sz="0" w:space="0" w:color="auto"/>
        <w:left w:val="none" w:sz="0" w:space="0" w:color="auto"/>
        <w:bottom w:val="none" w:sz="0" w:space="0" w:color="auto"/>
        <w:right w:val="none" w:sz="0" w:space="0" w:color="auto"/>
      </w:divBdr>
    </w:div>
    <w:div w:id="230428880">
      <w:bodyDiv w:val="1"/>
      <w:marLeft w:val="0"/>
      <w:marRight w:val="0"/>
      <w:marTop w:val="0"/>
      <w:marBottom w:val="0"/>
      <w:divBdr>
        <w:top w:val="none" w:sz="0" w:space="0" w:color="auto"/>
        <w:left w:val="none" w:sz="0" w:space="0" w:color="auto"/>
        <w:bottom w:val="none" w:sz="0" w:space="0" w:color="auto"/>
        <w:right w:val="none" w:sz="0" w:space="0" w:color="auto"/>
      </w:divBdr>
    </w:div>
    <w:div w:id="251938880">
      <w:bodyDiv w:val="1"/>
      <w:marLeft w:val="0"/>
      <w:marRight w:val="0"/>
      <w:marTop w:val="0"/>
      <w:marBottom w:val="0"/>
      <w:divBdr>
        <w:top w:val="none" w:sz="0" w:space="0" w:color="auto"/>
        <w:left w:val="none" w:sz="0" w:space="0" w:color="auto"/>
        <w:bottom w:val="none" w:sz="0" w:space="0" w:color="auto"/>
        <w:right w:val="none" w:sz="0" w:space="0" w:color="auto"/>
      </w:divBdr>
    </w:div>
    <w:div w:id="345637982">
      <w:bodyDiv w:val="1"/>
      <w:marLeft w:val="0"/>
      <w:marRight w:val="0"/>
      <w:marTop w:val="0"/>
      <w:marBottom w:val="0"/>
      <w:divBdr>
        <w:top w:val="none" w:sz="0" w:space="0" w:color="auto"/>
        <w:left w:val="none" w:sz="0" w:space="0" w:color="auto"/>
        <w:bottom w:val="none" w:sz="0" w:space="0" w:color="auto"/>
        <w:right w:val="none" w:sz="0" w:space="0" w:color="auto"/>
      </w:divBdr>
    </w:div>
    <w:div w:id="568813168">
      <w:bodyDiv w:val="1"/>
      <w:marLeft w:val="0"/>
      <w:marRight w:val="0"/>
      <w:marTop w:val="0"/>
      <w:marBottom w:val="0"/>
      <w:divBdr>
        <w:top w:val="none" w:sz="0" w:space="0" w:color="auto"/>
        <w:left w:val="none" w:sz="0" w:space="0" w:color="auto"/>
        <w:bottom w:val="none" w:sz="0" w:space="0" w:color="auto"/>
        <w:right w:val="none" w:sz="0" w:space="0" w:color="auto"/>
      </w:divBdr>
    </w:div>
    <w:div w:id="580528909">
      <w:bodyDiv w:val="1"/>
      <w:marLeft w:val="0"/>
      <w:marRight w:val="0"/>
      <w:marTop w:val="0"/>
      <w:marBottom w:val="0"/>
      <w:divBdr>
        <w:top w:val="none" w:sz="0" w:space="0" w:color="auto"/>
        <w:left w:val="none" w:sz="0" w:space="0" w:color="auto"/>
        <w:bottom w:val="none" w:sz="0" w:space="0" w:color="auto"/>
        <w:right w:val="none" w:sz="0" w:space="0" w:color="auto"/>
      </w:divBdr>
    </w:div>
    <w:div w:id="646323737">
      <w:bodyDiv w:val="1"/>
      <w:marLeft w:val="0"/>
      <w:marRight w:val="0"/>
      <w:marTop w:val="0"/>
      <w:marBottom w:val="0"/>
      <w:divBdr>
        <w:top w:val="none" w:sz="0" w:space="0" w:color="auto"/>
        <w:left w:val="none" w:sz="0" w:space="0" w:color="auto"/>
        <w:bottom w:val="none" w:sz="0" w:space="0" w:color="auto"/>
        <w:right w:val="none" w:sz="0" w:space="0" w:color="auto"/>
      </w:divBdr>
    </w:div>
    <w:div w:id="646856167">
      <w:bodyDiv w:val="1"/>
      <w:marLeft w:val="0"/>
      <w:marRight w:val="0"/>
      <w:marTop w:val="0"/>
      <w:marBottom w:val="0"/>
      <w:divBdr>
        <w:top w:val="none" w:sz="0" w:space="0" w:color="auto"/>
        <w:left w:val="none" w:sz="0" w:space="0" w:color="auto"/>
        <w:bottom w:val="none" w:sz="0" w:space="0" w:color="auto"/>
        <w:right w:val="none" w:sz="0" w:space="0" w:color="auto"/>
      </w:divBdr>
    </w:div>
    <w:div w:id="863447983">
      <w:bodyDiv w:val="1"/>
      <w:marLeft w:val="0"/>
      <w:marRight w:val="0"/>
      <w:marTop w:val="0"/>
      <w:marBottom w:val="0"/>
      <w:divBdr>
        <w:top w:val="none" w:sz="0" w:space="0" w:color="auto"/>
        <w:left w:val="none" w:sz="0" w:space="0" w:color="auto"/>
        <w:bottom w:val="none" w:sz="0" w:space="0" w:color="auto"/>
        <w:right w:val="none" w:sz="0" w:space="0" w:color="auto"/>
      </w:divBdr>
    </w:div>
    <w:div w:id="880364789">
      <w:bodyDiv w:val="1"/>
      <w:marLeft w:val="0"/>
      <w:marRight w:val="0"/>
      <w:marTop w:val="0"/>
      <w:marBottom w:val="0"/>
      <w:divBdr>
        <w:top w:val="none" w:sz="0" w:space="0" w:color="auto"/>
        <w:left w:val="none" w:sz="0" w:space="0" w:color="auto"/>
        <w:bottom w:val="none" w:sz="0" w:space="0" w:color="auto"/>
        <w:right w:val="none" w:sz="0" w:space="0" w:color="auto"/>
      </w:divBdr>
    </w:div>
    <w:div w:id="896162434">
      <w:bodyDiv w:val="1"/>
      <w:marLeft w:val="0"/>
      <w:marRight w:val="0"/>
      <w:marTop w:val="0"/>
      <w:marBottom w:val="0"/>
      <w:divBdr>
        <w:top w:val="none" w:sz="0" w:space="0" w:color="auto"/>
        <w:left w:val="none" w:sz="0" w:space="0" w:color="auto"/>
        <w:bottom w:val="none" w:sz="0" w:space="0" w:color="auto"/>
        <w:right w:val="none" w:sz="0" w:space="0" w:color="auto"/>
      </w:divBdr>
    </w:div>
    <w:div w:id="1125074885">
      <w:bodyDiv w:val="1"/>
      <w:marLeft w:val="0"/>
      <w:marRight w:val="0"/>
      <w:marTop w:val="0"/>
      <w:marBottom w:val="0"/>
      <w:divBdr>
        <w:top w:val="none" w:sz="0" w:space="0" w:color="auto"/>
        <w:left w:val="none" w:sz="0" w:space="0" w:color="auto"/>
        <w:bottom w:val="none" w:sz="0" w:space="0" w:color="auto"/>
        <w:right w:val="none" w:sz="0" w:space="0" w:color="auto"/>
      </w:divBdr>
    </w:div>
    <w:div w:id="1221092564">
      <w:bodyDiv w:val="1"/>
      <w:marLeft w:val="0"/>
      <w:marRight w:val="0"/>
      <w:marTop w:val="0"/>
      <w:marBottom w:val="0"/>
      <w:divBdr>
        <w:top w:val="none" w:sz="0" w:space="0" w:color="auto"/>
        <w:left w:val="none" w:sz="0" w:space="0" w:color="auto"/>
        <w:bottom w:val="none" w:sz="0" w:space="0" w:color="auto"/>
        <w:right w:val="none" w:sz="0" w:space="0" w:color="auto"/>
      </w:divBdr>
    </w:div>
    <w:div w:id="1338927335">
      <w:bodyDiv w:val="1"/>
      <w:marLeft w:val="0"/>
      <w:marRight w:val="0"/>
      <w:marTop w:val="0"/>
      <w:marBottom w:val="0"/>
      <w:divBdr>
        <w:top w:val="none" w:sz="0" w:space="0" w:color="auto"/>
        <w:left w:val="none" w:sz="0" w:space="0" w:color="auto"/>
        <w:bottom w:val="none" w:sz="0" w:space="0" w:color="auto"/>
        <w:right w:val="none" w:sz="0" w:space="0" w:color="auto"/>
      </w:divBdr>
    </w:div>
    <w:div w:id="1387531331">
      <w:bodyDiv w:val="1"/>
      <w:marLeft w:val="0"/>
      <w:marRight w:val="0"/>
      <w:marTop w:val="0"/>
      <w:marBottom w:val="0"/>
      <w:divBdr>
        <w:top w:val="none" w:sz="0" w:space="0" w:color="auto"/>
        <w:left w:val="none" w:sz="0" w:space="0" w:color="auto"/>
        <w:bottom w:val="none" w:sz="0" w:space="0" w:color="auto"/>
        <w:right w:val="none" w:sz="0" w:space="0" w:color="auto"/>
      </w:divBdr>
    </w:div>
    <w:div w:id="1403874065">
      <w:bodyDiv w:val="1"/>
      <w:marLeft w:val="0"/>
      <w:marRight w:val="0"/>
      <w:marTop w:val="0"/>
      <w:marBottom w:val="0"/>
      <w:divBdr>
        <w:top w:val="none" w:sz="0" w:space="0" w:color="auto"/>
        <w:left w:val="none" w:sz="0" w:space="0" w:color="auto"/>
        <w:bottom w:val="none" w:sz="0" w:space="0" w:color="auto"/>
        <w:right w:val="none" w:sz="0" w:space="0" w:color="auto"/>
      </w:divBdr>
    </w:div>
    <w:div w:id="1411542859">
      <w:bodyDiv w:val="1"/>
      <w:marLeft w:val="0"/>
      <w:marRight w:val="0"/>
      <w:marTop w:val="0"/>
      <w:marBottom w:val="0"/>
      <w:divBdr>
        <w:top w:val="none" w:sz="0" w:space="0" w:color="auto"/>
        <w:left w:val="none" w:sz="0" w:space="0" w:color="auto"/>
        <w:bottom w:val="none" w:sz="0" w:space="0" w:color="auto"/>
        <w:right w:val="none" w:sz="0" w:space="0" w:color="auto"/>
      </w:divBdr>
    </w:div>
    <w:div w:id="1424375366">
      <w:bodyDiv w:val="1"/>
      <w:marLeft w:val="0"/>
      <w:marRight w:val="0"/>
      <w:marTop w:val="0"/>
      <w:marBottom w:val="0"/>
      <w:divBdr>
        <w:top w:val="none" w:sz="0" w:space="0" w:color="auto"/>
        <w:left w:val="none" w:sz="0" w:space="0" w:color="auto"/>
        <w:bottom w:val="none" w:sz="0" w:space="0" w:color="auto"/>
        <w:right w:val="none" w:sz="0" w:space="0" w:color="auto"/>
      </w:divBdr>
    </w:div>
    <w:div w:id="1488978394">
      <w:bodyDiv w:val="1"/>
      <w:marLeft w:val="0"/>
      <w:marRight w:val="0"/>
      <w:marTop w:val="0"/>
      <w:marBottom w:val="0"/>
      <w:divBdr>
        <w:top w:val="none" w:sz="0" w:space="0" w:color="auto"/>
        <w:left w:val="none" w:sz="0" w:space="0" w:color="auto"/>
        <w:bottom w:val="none" w:sz="0" w:space="0" w:color="auto"/>
        <w:right w:val="none" w:sz="0" w:space="0" w:color="auto"/>
      </w:divBdr>
    </w:div>
    <w:div w:id="1553493349">
      <w:bodyDiv w:val="1"/>
      <w:marLeft w:val="0"/>
      <w:marRight w:val="0"/>
      <w:marTop w:val="0"/>
      <w:marBottom w:val="0"/>
      <w:divBdr>
        <w:top w:val="none" w:sz="0" w:space="0" w:color="auto"/>
        <w:left w:val="none" w:sz="0" w:space="0" w:color="auto"/>
        <w:bottom w:val="none" w:sz="0" w:space="0" w:color="auto"/>
        <w:right w:val="none" w:sz="0" w:space="0" w:color="auto"/>
      </w:divBdr>
    </w:div>
    <w:div w:id="1555891930">
      <w:bodyDiv w:val="1"/>
      <w:marLeft w:val="0"/>
      <w:marRight w:val="0"/>
      <w:marTop w:val="0"/>
      <w:marBottom w:val="0"/>
      <w:divBdr>
        <w:top w:val="none" w:sz="0" w:space="0" w:color="auto"/>
        <w:left w:val="none" w:sz="0" w:space="0" w:color="auto"/>
        <w:bottom w:val="none" w:sz="0" w:space="0" w:color="auto"/>
        <w:right w:val="none" w:sz="0" w:space="0" w:color="auto"/>
      </w:divBdr>
    </w:div>
    <w:div w:id="1567103171">
      <w:bodyDiv w:val="1"/>
      <w:marLeft w:val="0"/>
      <w:marRight w:val="0"/>
      <w:marTop w:val="0"/>
      <w:marBottom w:val="0"/>
      <w:divBdr>
        <w:top w:val="none" w:sz="0" w:space="0" w:color="auto"/>
        <w:left w:val="none" w:sz="0" w:space="0" w:color="auto"/>
        <w:bottom w:val="none" w:sz="0" w:space="0" w:color="auto"/>
        <w:right w:val="none" w:sz="0" w:space="0" w:color="auto"/>
      </w:divBdr>
    </w:div>
    <w:div w:id="1631206694">
      <w:bodyDiv w:val="1"/>
      <w:marLeft w:val="0"/>
      <w:marRight w:val="0"/>
      <w:marTop w:val="0"/>
      <w:marBottom w:val="0"/>
      <w:divBdr>
        <w:top w:val="none" w:sz="0" w:space="0" w:color="auto"/>
        <w:left w:val="none" w:sz="0" w:space="0" w:color="auto"/>
        <w:bottom w:val="none" w:sz="0" w:space="0" w:color="auto"/>
        <w:right w:val="none" w:sz="0" w:space="0" w:color="auto"/>
      </w:divBdr>
    </w:div>
    <w:div w:id="1720282471">
      <w:bodyDiv w:val="1"/>
      <w:marLeft w:val="0"/>
      <w:marRight w:val="0"/>
      <w:marTop w:val="0"/>
      <w:marBottom w:val="0"/>
      <w:divBdr>
        <w:top w:val="none" w:sz="0" w:space="0" w:color="auto"/>
        <w:left w:val="none" w:sz="0" w:space="0" w:color="auto"/>
        <w:bottom w:val="none" w:sz="0" w:space="0" w:color="auto"/>
        <w:right w:val="none" w:sz="0" w:space="0" w:color="auto"/>
      </w:divBdr>
    </w:div>
    <w:div w:id="1790733160">
      <w:bodyDiv w:val="1"/>
      <w:marLeft w:val="0"/>
      <w:marRight w:val="0"/>
      <w:marTop w:val="0"/>
      <w:marBottom w:val="0"/>
      <w:divBdr>
        <w:top w:val="none" w:sz="0" w:space="0" w:color="auto"/>
        <w:left w:val="none" w:sz="0" w:space="0" w:color="auto"/>
        <w:bottom w:val="none" w:sz="0" w:space="0" w:color="auto"/>
        <w:right w:val="none" w:sz="0" w:space="0" w:color="auto"/>
      </w:divBdr>
    </w:div>
    <w:div w:id="1856266914">
      <w:bodyDiv w:val="1"/>
      <w:marLeft w:val="0"/>
      <w:marRight w:val="0"/>
      <w:marTop w:val="0"/>
      <w:marBottom w:val="0"/>
      <w:divBdr>
        <w:top w:val="none" w:sz="0" w:space="0" w:color="auto"/>
        <w:left w:val="none" w:sz="0" w:space="0" w:color="auto"/>
        <w:bottom w:val="none" w:sz="0" w:space="0" w:color="auto"/>
        <w:right w:val="none" w:sz="0" w:space="0" w:color="auto"/>
      </w:divBdr>
    </w:div>
    <w:div w:id="2050177221">
      <w:bodyDiv w:val="1"/>
      <w:marLeft w:val="0"/>
      <w:marRight w:val="0"/>
      <w:marTop w:val="0"/>
      <w:marBottom w:val="0"/>
      <w:divBdr>
        <w:top w:val="none" w:sz="0" w:space="0" w:color="auto"/>
        <w:left w:val="none" w:sz="0" w:space="0" w:color="auto"/>
        <w:bottom w:val="none" w:sz="0" w:space="0" w:color="auto"/>
        <w:right w:val="none" w:sz="0" w:space="0" w:color="auto"/>
      </w:divBdr>
    </w:div>
    <w:div w:id="2058701307">
      <w:bodyDiv w:val="1"/>
      <w:marLeft w:val="0"/>
      <w:marRight w:val="0"/>
      <w:marTop w:val="0"/>
      <w:marBottom w:val="0"/>
      <w:divBdr>
        <w:top w:val="none" w:sz="0" w:space="0" w:color="auto"/>
        <w:left w:val="none" w:sz="0" w:space="0" w:color="auto"/>
        <w:bottom w:val="none" w:sz="0" w:space="0" w:color="auto"/>
        <w:right w:val="none" w:sz="0" w:space="0" w:color="auto"/>
      </w:divBdr>
    </w:div>
    <w:div w:id="208813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Rapicano</dc:creator>
  <cp:keywords/>
  <dc:description/>
  <cp:lastModifiedBy>Microsoft account</cp:lastModifiedBy>
  <cp:revision>4</cp:revision>
  <dcterms:created xsi:type="dcterms:W3CDTF">2023-06-19T16:43:00Z</dcterms:created>
  <dcterms:modified xsi:type="dcterms:W3CDTF">2023-06-19T16:53:00Z</dcterms:modified>
</cp:coreProperties>
</file>