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C394" w14:textId="6CDADF78" w:rsidR="002D6A0E" w:rsidRPr="002D6A0E" w:rsidRDefault="002D6A0E" w:rsidP="002D6A0E">
      <w:pPr>
        <w:jc w:val="center"/>
        <w:rPr>
          <w:rFonts w:ascii="Calibri" w:hAnsi="Calibri" w:cs="Calibri"/>
          <w:b/>
          <w:bCs/>
          <w:i/>
          <w:iCs/>
          <w:sz w:val="28"/>
          <w:szCs w:val="28"/>
        </w:rPr>
      </w:pPr>
      <w:r w:rsidRPr="002D6A0E">
        <w:rPr>
          <w:rFonts w:ascii="Calibri" w:hAnsi="Calibri" w:cs="Calibri"/>
          <w:b/>
          <w:bCs/>
          <w:i/>
          <w:iCs/>
          <w:sz w:val="28"/>
          <w:szCs w:val="28"/>
        </w:rPr>
        <w:t>Visa Inc. – Market Research Report</w:t>
      </w:r>
    </w:p>
    <w:p w14:paraId="37ECA056" w14:textId="5DE46FA2" w:rsidR="002D6A0E" w:rsidRDefault="002D6A0E">
      <w:pPr>
        <w:rPr>
          <w:rFonts w:ascii="Calibri" w:hAnsi="Calibri" w:cs="Calibri"/>
        </w:rPr>
      </w:pPr>
    </w:p>
    <w:p w14:paraId="1F9B8CDE" w14:textId="77777777" w:rsidR="00E441EB" w:rsidRDefault="00E441EB">
      <w:pPr>
        <w:rPr>
          <w:rFonts w:ascii="Calibri" w:hAnsi="Calibri" w:cs="Calibri"/>
        </w:rPr>
      </w:pPr>
    </w:p>
    <w:p w14:paraId="6A2134A6" w14:textId="02B98205" w:rsidR="0076530E" w:rsidRPr="00AE061D" w:rsidRDefault="0076530E" w:rsidP="00AE061D">
      <w:pPr>
        <w:pStyle w:val="ListParagraph"/>
        <w:numPr>
          <w:ilvl w:val="0"/>
          <w:numId w:val="4"/>
        </w:numPr>
        <w:rPr>
          <w:rFonts w:ascii="Calibri" w:hAnsi="Calibri" w:cs="Calibri"/>
          <w:b/>
          <w:bCs/>
          <w:i/>
          <w:iCs/>
        </w:rPr>
      </w:pPr>
      <w:r w:rsidRPr="00AE061D">
        <w:rPr>
          <w:rFonts w:ascii="Calibri" w:hAnsi="Calibri" w:cs="Calibri"/>
          <w:b/>
          <w:bCs/>
          <w:i/>
          <w:iCs/>
        </w:rPr>
        <w:t>Industry</w:t>
      </w:r>
      <w:r w:rsidR="00023D1C">
        <w:rPr>
          <w:rFonts w:ascii="Calibri" w:hAnsi="Calibri" w:cs="Calibri"/>
          <w:b/>
          <w:bCs/>
          <w:i/>
          <w:iCs/>
        </w:rPr>
        <w:t xml:space="preserve"> Outlook</w:t>
      </w:r>
    </w:p>
    <w:p w14:paraId="43C87EE2" w14:textId="77777777" w:rsidR="0076530E" w:rsidRPr="0076530E" w:rsidRDefault="0076530E">
      <w:pPr>
        <w:rPr>
          <w:rFonts w:ascii="Calibri" w:hAnsi="Calibri" w:cs="Calibri"/>
          <w:b/>
          <w:bCs/>
        </w:rPr>
      </w:pPr>
    </w:p>
    <w:p w14:paraId="79AF900D" w14:textId="2EC73AE0" w:rsidR="002D6A0E" w:rsidRDefault="002D6A0E" w:rsidP="00B557D4">
      <w:pPr>
        <w:jc w:val="both"/>
        <w:rPr>
          <w:rFonts w:ascii="Calibri" w:hAnsi="Calibri" w:cs="Calibri"/>
        </w:rPr>
      </w:pPr>
      <w:r>
        <w:rPr>
          <w:rFonts w:ascii="Calibri" w:hAnsi="Calibri" w:cs="Calibri"/>
        </w:rPr>
        <w:t xml:space="preserve">Visa, the largest payment processor in the world, </w:t>
      </w:r>
      <w:r w:rsidR="00755FCF">
        <w:rPr>
          <w:rFonts w:ascii="Calibri" w:hAnsi="Calibri" w:cs="Calibri"/>
        </w:rPr>
        <w:t xml:space="preserve">is </w:t>
      </w:r>
      <w:r w:rsidR="00024E7F">
        <w:rPr>
          <w:rFonts w:ascii="Calibri" w:hAnsi="Calibri" w:cs="Calibri"/>
        </w:rPr>
        <w:t>catalogued</w:t>
      </w:r>
      <w:r w:rsidR="00755FCF">
        <w:rPr>
          <w:rFonts w:ascii="Calibri" w:hAnsi="Calibri" w:cs="Calibri"/>
        </w:rPr>
        <w:t xml:space="preserve"> in the </w:t>
      </w:r>
      <w:r w:rsidR="00755FCF">
        <w:rPr>
          <w:rFonts w:ascii="Calibri" w:hAnsi="Calibri" w:cs="Calibri"/>
          <w:i/>
          <w:iCs/>
        </w:rPr>
        <w:t>Financial Services</w:t>
      </w:r>
      <w:r w:rsidR="00755FCF">
        <w:rPr>
          <w:rFonts w:ascii="Calibri" w:hAnsi="Calibri" w:cs="Calibri"/>
        </w:rPr>
        <w:t xml:space="preserve"> </w:t>
      </w:r>
      <w:r w:rsidR="00755FCF" w:rsidRPr="00755FCF">
        <w:rPr>
          <w:rFonts w:ascii="Calibri" w:hAnsi="Calibri" w:cs="Calibri"/>
          <w:b/>
          <w:bCs/>
        </w:rPr>
        <w:t>sector</w:t>
      </w:r>
      <w:r w:rsidR="00755FCF">
        <w:rPr>
          <w:rFonts w:ascii="Calibri" w:hAnsi="Calibri" w:cs="Calibri"/>
        </w:rPr>
        <w:t xml:space="preserve"> and, more specifically, in the </w:t>
      </w:r>
      <w:r w:rsidR="00755FCF">
        <w:rPr>
          <w:rFonts w:ascii="Calibri" w:hAnsi="Calibri" w:cs="Calibri"/>
          <w:i/>
          <w:iCs/>
        </w:rPr>
        <w:t>Credit Services</w:t>
      </w:r>
      <w:r w:rsidR="00755FCF">
        <w:rPr>
          <w:rFonts w:ascii="Calibri" w:hAnsi="Calibri" w:cs="Calibri"/>
        </w:rPr>
        <w:t xml:space="preserve"> </w:t>
      </w:r>
      <w:r w:rsidR="00755FCF" w:rsidRPr="00755FCF">
        <w:rPr>
          <w:rFonts w:ascii="Calibri" w:hAnsi="Calibri" w:cs="Calibri"/>
          <w:b/>
          <w:bCs/>
        </w:rPr>
        <w:t>industry</w:t>
      </w:r>
      <w:r w:rsidR="00755FCF">
        <w:rPr>
          <w:rFonts w:ascii="Calibri" w:hAnsi="Calibri" w:cs="Calibri"/>
        </w:rPr>
        <w:t>.</w:t>
      </w:r>
    </w:p>
    <w:p w14:paraId="603ED3CB" w14:textId="325B97CB" w:rsidR="00344203" w:rsidRDefault="00344203" w:rsidP="00B557D4">
      <w:pPr>
        <w:jc w:val="both"/>
        <w:rPr>
          <w:rFonts w:ascii="Calibri" w:hAnsi="Calibri" w:cs="Calibri"/>
        </w:rPr>
      </w:pPr>
    </w:p>
    <w:p w14:paraId="087403FA" w14:textId="495397AB" w:rsidR="00E441EB" w:rsidRDefault="00C867D8" w:rsidP="00AE3B16">
      <w:pPr>
        <w:jc w:val="both"/>
        <w:rPr>
          <w:rFonts w:ascii="Calibri" w:hAnsi="Calibri" w:cs="Calibri"/>
        </w:rPr>
      </w:pPr>
      <w:r w:rsidRPr="00C867D8">
        <w:rPr>
          <w:rFonts w:ascii="Calibri" w:hAnsi="Calibri" w:cs="Calibri"/>
        </w:rPr>
        <w:t>The global pandemic had a massive</w:t>
      </w:r>
      <w:r w:rsidRPr="00C867D8">
        <w:rPr>
          <w:rFonts w:ascii="Calibri" w:hAnsi="Calibri" w:cs="Calibri"/>
        </w:rPr>
        <w:t xml:space="preserve"> impact </w:t>
      </w:r>
      <w:r w:rsidRPr="00C867D8">
        <w:rPr>
          <w:rFonts w:ascii="Calibri" w:hAnsi="Calibri" w:cs="Calibri"/>
        </w:rPr>
        <w:t>on</w:t>
      </w:r>
      <w:r w:rsidRPr="00C867D8">
        <w:rPr>
          <w:rFonts w:ascii="Calibri" w:hAnsi="Calibri" w:cs="Calibri"/>
        </w:rPr>
        <w:t xml:space="preserve"> cash usage, plummeted by 15</w:t>
      </w:r>
      <w:r w:rsidRPr="00C867D8">
        <w:rPr>
          <w:rFonts w:ascii="Calibri" w:hAnsi="Calibri" w:cs="Calibri"/>
        </w:rPr>
        <w:t xml:space="preserve">% </w:t>
      </w:r>
      <w:r w:rsidRPr="00C867D8">
        <w:rPr>
          <w:rFonts w:ascii="Calibri" w:hAnsi="Calibri" w:cs="Calibri"/>
        </w:rPr>
        <w:t>in 2020</w:t>
      </w:r>
      <w:r w:rsidRPr="00C867D8">
        <w:rPr>
          <w:rFonts w:ascii="Calibri" w:hAnsi="Calibri" w:cs="Calibri"/>
        </w:rPr>
        <w:t xml:space="preserve"> and </w:t>
      </w:r>
      <w:r>
        <w:rPr>
          <w:rFonts w:ascii="Calibri" w:hAnsi="Calibri" w:cs="Calibri"/>
        </w:rPr>
        <w:t xml:space="preserve">never bounced back after </w:t>
      </w:r>
      <w:r w:rsidR="00306F04">
        <w:rPr>
          <w:rFonts w:ascii="Calibri" w:hAnsi="Calibri" w:cs="Calibri"/>
        </w:rPr>
        <w:t xml:space="preserve">we </w:t>
      </w:r>
      <w:r w:rsidR="00B219BD">
        <w:rPr>
          <w:rFonts w:ascii="Calibri" w:hAnsi="Calibri" w:cs="Calibri"/>
        </w:rPr>
        <w:t>return</w:t>
      </w:r>
      <w:r w:rsidR="00306F04">
        <w:rPr>
          <w:rFonts w:ascii="Calibri" w:hAnsi="Calibri" w:cs="Calibri"/>
        </w:rPr>
        <w:t>ed</w:t>
      </w:r>
      <w:r w:rsidR="00B219BD">
        <w:rPr>
          <w:rFonts w:ascii="Calibri" w:hAnsi="Calibri" w:cs="Calibri"/>
        </w:rPr>
        <w:t xml:space="preserve"> to normality. Digital payments, on the other hand, </w:t>
      </w:r>
      <w:r w:rsidR="00024E7F">
        <w:rPr>
          <w:rFonts w:ascii="Calibri" w:hAnsi="Calibri" w:cs="Calibri"/>
        </w:rPr>
        <w:t xml:space="preserve">already on upward trajectory, </w:t>
      </w:r>
      <w:r w:rsidR="003566B7">
        <w:rPr>
          <w:rFonts w:ascii="Calibri" w:hAnsi="Calibri" w:cs="Calibri"/>
        </w:rPr>
        <w:t>had an explosive growth since</w:t>
      </w:r>
      <w:r w:rsidR="00B219BD">
        <w:rPr>
          <w:rFonts w:ascii="Calibri" w:hAnsi="Calibri" w:cs="Calibri"/>
        </w:rPr>
        <w:t xml:space="preserve"> </w:t>
      </w:r>
      <w:r w:rsidR="003566B7">
        <w:rPr>
          <w:rFonts w:ascii="Calibri" w:hAnsi="Calibri" w:cs="Calibri"/>
        </w:rPr>
        <w:t>and momentum is still going</w:t>
      </w:r>
      <w:r w:rsidR="00B219BD">
        <w:rPr>
          <w:rFonts w:ascii="Calibri" w:hAnsi="Calibri" w:cs="Calibri"/>
        </w:rPr>
        <w:t>.</w:t>
      </w:r>
    </w:p>
    <w:p w14:paraId="615664D6" w14:textId="77777777" w:rsidR="00F86F88" w:rsidRDefault="00F86F88" w:rsidP="00AE3B16">
      <w:pPr>
        <w:jc w:val="both"/>
        <w:rPr>
          <w:rFonts w:ascii="Calibri" w:hAnsi="Calibri" w:cs="Calibr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57"/>
      </w:tblGrid>
      <w:tr w:rsidR="00F86F88" w14:paraId="04CF5687" w14:textId="77777777" w:rsidTr="00E441EB">
        <w:tc>
          <w:tcPr>
            <w:tcW w:w="5524" w:type="dxa"/>
          </w:tcPr>
          <w:p w14:paraId="0C826480" w14:textId="77777777" w:rsidR="00F86F88" w:rsidRDefault="00F86F88" w:rsidP="00AE3B16">
            <w:pPr>
              <w:jc w:val="both"/>
              <w:rPr>
                <w:rFonts w:ascii="Calibri" w:hAnsi="Calibri" w:cs="Calibri"/>
              </w:rPr>
            </w:pPr>
            <w:r>
              <w:rPr>
                <w:noProof/>
              </w:rPr>
              <w:drawing>
                <wp:inline distT="0" distB="0" distL="0" distR="0" wp14:anchorId="23ECEEE0" wp14:editId="5394D2D4">
                  <wp:extent cx="3348990" cy="2242185"/>
                  <wp:effectExtent l="0" t="0" r="3810" b="5715"/>
                  <wp:docPr id="7" name="Picture 7" descr="A graph of blue and black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blue and black bar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348990" cy="2242185"/>
                          </a:xfrm>
                          <a:prstGeom prst="rect">
                            <a:avLst/>
                          </a:prstGeom>
                        </pic:spPr>
                      </pic:pic>
                    </a:graphicData>
                  </a:graphic>
                </wp:inline>
              </w:drawing>
            </w:r>
          </w:p>
          <w:p w14:paraId="2FE63373" w14:textId="0092079D" w:rsidR="00F86F88" w:rsidRDefault="00F86F88" w:rsidP="00AE3B16">
            <w:pPr>
              <w:jc w:val="both"/>
              <w:rPr>
                <w:rFonts w:ascii="Calibri" w:hAnsi="Calibri" w:cs="Calibri"/>
              </w:rPr>
            </w:pPr>
            <w:r>
              <w:rPr>
                <w:rFonts w:ascii="Calibri" w:hAnsi="Calibri" w:cs="Calibri"/>
                <w:noProof/>
              </w:rPr>
              <w:drawing>
                <wp:inline distT="0" distB="0" distL="0" distR="0" wp14:anchorId="6594F024" wp14:editId="1DCD92BD">
                  <wp:extent cx="3345180" cy="1878965"/>
                  <wp:effectExtent l="0" t="0" r="0" b="635"/>
                  <wp:docPr id="1" name="Picture 1"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graph&#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5180" cy="1878965"/>
                          </a:xfrm>
                          <a:prstGeom prst="rect">
                            <a:avLst/>
                          </a:prstGeom>
                        </pic:spPr>
                      </pic:pic>
                    </a:graphicData>
                  </a:graphic>
                </wp:inline>
              </w:drawing>
            </w:r>
            <w:r>
              <w:rPr>
                <w:rFonts w:ascii="Calibri" w:hAnsi="Calibri" w:cs="Calibri"/>
                <w:noProof/>
              </w:rPr>
              <w:t xml:space="preserve"> </w:t>
            </w:r>
            <w:r>
              <w:rPr>
                <w:rFonts w:ascii="Calibri" w:hAnsi="Calibri" w:cs="Calibri"/>
                <w:noProof/>
              </w:rPr>
              <w:drawing>
                <wp:inline distT="0" distB="0" distL="0" distR="0" wp14:anchorId="00308490" wp14:editId="7548CDAC">
                  <wp:extent cx="3348962" cy="2601310"/>
                  <wp:effectExtent l="0" t="0" r="4445" b="2540"/>
                  <wp:docPr id="3" name="Picture 3"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graph&#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359023" cy="2609125"/>
                          </a:xfrm>
                          <a:prstGeom prst="rect">
                            <a:avLst/>
                          </a:prstGeom>
                        </pic:spPr>
                      </pic:pic>
                    </a:graphicData>
                  </a:graphic>
                </wp:inline>
              </w:drawing>
            </w:r>
          </w:p>
        </w:tc>
        <w:tc>
          <w:tcPr>
            <w:tcW w:w="4257" w:type="dxa"/>
          </w:tcPr>
          <w:p w14:paraId="18674C3B" w14:textId="0885873D" w:rsidR="00A77829" w:rsidRDefault="00F86F88" w:rsidP="00AE3FCD">
            <w:pPr>
              <w:jc w:val="both"/>
              <w:rPr>
                <w:rFonts w:ascii="AppleSystemUIFont" w:eastAsiaTheme="minorHAnsi" w:hAnsi="AppleSystemUIFont" w:cs="AppleSystemUIFont"/>
                <w:lang w:eastAsia="en-US"/>
              </w:rPr>
            </w:pPr>
            <w:r w:rsidRPr="003D03BE">
              <w:rPr>
                <w:rFonts w:ascii="AppleSystemUIFont" w:eastAsiaTheme="minorHAnsi" w:hAnsi="AppleSystemUIFont" w:cs="AppleSystemUIFont"/>
                <w:lang w:eastAsia="en-US"/>
              </w:rPr>
              <w:t>According to ‘The 2022 McKinsey Global Payments Report’,</w:t>
            </w:r>
            <w:r w:rsidR="004E585E" w:rsidRPr="003D03BE">
              <w:rPr>
                <w:rFonts w:ascii="AppleSystemUIFont" w:eastAsiaTheme="minorHAnsi" w:hAnsi="AppleSystemUIFont" w:cs="AppleSystemUIFont"/>
                <w:lang w:eastAsia="en-US"/>
              </w:rPr>
              <w:t xml:space="preserve"> </w:t>
            </w:r>
            <w:r w:rsidR="00AE3FCD" w:rsidRPr="003D03BE">
              <w:rPr>
                <w:rFonts w:ascii="AppleSystemUIFont" w:eastAsiaTheme="minorHAnsi" w:hAnsi="AppleSystemUIFont" w:cs="AppleSystemUIFont"/>
                <w:lang w:eastAsia="en-US"/>
              </w:rPr>
              <w:t>the p</w:t>
            </w:r>
            <w:r w:rsidR="00AE3FCD">
              <w:rPr>
                <w:rFonts w:ascii="AppleSystemUIFont" w:eastAsiaTheme="minorHAnsi" w:hAnsi="AppleSystemUIFont" w:cs="AppleSystemUIFont"/>
                <w:lang w:eastAsia="en-US"/>
              </w:rPr>
              <w:t>ayments industry revenues rebounded strongly in 2021, growing 11% and reaching a new high of $2.1 trillion globally; overall electronic payment transactions grew 19%</w:t>
            </w:r>
            <w:r w:rsidR="00AE3FCD" w:rsidRPr="003D03BE">
              <w:rPr>
                <w:rFonts w:ascii="AppleSystemUIFont" w:eastAsiaTheme="minorHAnsi" w:hAnsi="AppleSystemUIFont" w:cs="AppleSystemUIFont"/>
                <w:lang w:eastAsia="en-US"/>
              </w:rPr>
              <w:t>.</w:t>
            </w:r>
          </w:p>
          <w:p w14:paraId="05A1D680" w14:textId="77777777" w:rsidR="00E441EB" w:rsidRPr="003D03BE" w:rsidRDefault="00E441EB" w:rsidP="00AE3FCD">
            <w:pPr>
              <w:jc w:val="both"/>
              <w:rPr>
                <w:rFonts w:ascii="AppleSystemUIFont" w:eastAsiaTheme="minorHAnsi" w:hAnsi="AppleSystemUIFont" w:cs="AppleSystemUIFont"/>
                <w:lang w:eastAsia="en-US"/>
              </w:rPr>
            </w:pPr>
          </w:p>
          <w:p w14:paraId="55702D37" w14:textId="77777777" w:rsidR="00306F04" w:rsidRDefault="00AE3FCD" w:rsidP="00AE3FCD">
            <w:pPr>
              <w:jc w:val="both"/>
              <w:rPr>
                <w:rFonts w:ascii="AppleSystemUIFont" w:eastAsiaTheme="minorHAnsi" w:hAnsi="AppleSystemUIFont" w:cs="AppleSystemUIFont"/>
                <w:lang w:eastAsia="en-US"/>
              </w:rPr>
            </w:pPr>
            <w:r>
              <w:rPr>
                <w:rFonts w:ascii="AppleSystemUIFont" w:eastAsiaTheme="minorHAnsi" w:hAnsi="AppleSystemUIFont" w:cs="AppleSystemUIFont"/>
                <w:lang w:eastAsia="en-US"/>
              </w:rPr>
              <w:t>A</w:t>
            </w:r>
            <w:r w:rsidR="00306F04">
              <w:rPr>
                <w:rFonts w:ascii="AppleSystemUIFont" w:eastAsiaTheme="minorHAnsi" w:hAnsi="AppleSystemUIFont" w:cs="AppleSystemUIFont"/>
                <w:lang w:eastAsia="en-US"/>
              </w:rPr>
              <w:t>sia-Pacific</w:t>
            </w:r>
            <w:r>
              <w:rPr>
                <w:rFonts w:ascii="AppleSystemUIFont" w:eastAsiaTheme="minorHAnsi" w:hAnsi="AppleSystemUIFont" w:cs="AppleSystemUIFont"/>
                <w:lang w:eastAsia="en-US"/>
              </w:rPr>
              <w:t xml:space="preserve"> accounted for 57% of global revenue growth (with China accounting for 88% of it), mainly thanks to A2A activity</w:t>
            </w:r>
            <w:r>
              <w:rPr>
                <w:rFonts w:ascii="AppleSystemUIFont" w:eastAsiaTheme="minorHAnsi" w:hAnsi="AppleSystemUIFont" w:cs="AppleSystemUIFont"/>
                <w:lang w:eastAsia="en-US"/>
              </w:rPr>
              <w:t xml:space="preserve">. </w:t>
            </w:r>
          </w:p>
          <w:p w14:paraId="0FDBF3D0" w14:textId="77777777" w:rsidR="00306F04" w:rsidRDefault="00306F04" w:rsidP="00AE3FCD">
            <w:pPr>
              <w:jc w:val="both"/>
              <w:rPr>
                <w:rFonts w:ascii="AppleSystemUIFont" w:eastAsiaTheme="minorHAnsi" w:hAnsi="AppleSystemUIFont" w:cs="AppleSystemUIFont"/>
                <w:lang w:eastAsia="en-US"/>
              </w:rPr>
            </w:pPr>
          </w:p>
          <w:p w14:paraId="486FDF61" w14:textId="543D28D0" w:rsidR="00A77829" w:rsidRDefault="00AE3FCD" w:rsidP="00AE3FCD">
            <w:pPr>
              <w:jc w:val="both"/>
              <w:rPr>
                <w:rFonts w:ascii="AppleSystemUIFont" w:eastAsiaTheme="minorHAnsi" w:hAnsi="AppleSystemUIFont" w:cs="AppleSystemUIFont"/>
                <w:lang w:eastAsia="en-US"/>
              </w:rPr>
            </w:pPr>
            <w:r>
              <w:rPr>
                <w:rFonts w:ascii="AppleSystemUIFont" w:eastAsiaTheme="minorHAnsi" w:hAnsi="AppleSystemUIFont" w:cs="AppleSystemUIFont"/>
                <w:lang w:eastAsia="en-US"/>
              </w:rPr>
              <w:t>A2A transactions</w:t>
            </w:r>
            <w:r>
              <w:rPr>
                <w:rFonts w:ascii="AppleSystemUIFont" w:eastAsiaTheme="minorHAnsi" w:hAnsi="AppleSystemUIFont" w:cs="AppleSystemUIFont"/>
                <w:lang w:eastAsia="en-US"/>
              </w:rPr>
              <w:t xml:space="preserve"> contributed to </w:t>
            </w:r>
            <w:r>
              <w:rPr>
                <w:rFonts w:ascii="AppleSystemUIFont" w:eastAsiaTheme="minorHAnsi" w:hAnsi="AppleSystemUIFont" w:cs="AppleSystemUIFont"/>
                <w:lang w:eastAsia="en-US"/>
              </w:rPr>
              <w:t>29% of 2021’s rise in global revenue</w:t>
            </w:r>
            <w:r w:rsidR="003D03BE">
              <w:rPr>
                <w:rFonts w:ascii="AppleSystemUIFont" w:eastAsiaTheme="minorHAnsi" w:hAnsi="AppleSystemUIFont" w:cs="AppleSystemUIFont"/>
                <w:lang w:eastAsia="en-US"/>
              </w:rPr>
              <w:t>,</w:t>
            </w:r>
            <w:r>
              <w:rPr>
                <w:rFonts w:ascii="AppleSystemUIFont" w:eastAsiaTheme="minorHAnsi" w:hAnsi="AppleSystemUIFont" w:cs="AppleSystemUIFont"/>
                <w:lang w:eastAsia="en-US"/>
              </w:rPr>
              <w:t xml:space="preserve"> primarily at the expenses of</w:t>
            </w:r>
            <w:r>
              <w:rPr>
                <w:rFonts w:ascii="AppleSystemUIFont" w:eastAsiaTheme="minorHAnsi" w:hAnsi="AppleSystemUIFont" w:cs="AppleSystemUIFont"/>
                <w:lang w:eastAsia="en-US"/>
              </w:rPr>
              <w:t xml:space="preserve"> </w:t>
            </w:r>
            <w:r>
              <w:rPr>
                <w:rFonts w:ascii="AppleSystemUIFont" w:eastAsiaTheme="minorHAnsi" w:hAnsi="AppleSystemUIFont" w:cs="AppleSystemUIFont"/>
                <w:lang w:eastAsia="en-US"/>
              </w:rPr>
              <w:t>cash and checks</w:t>
            </w:r>
            <w:r w:rsidR="003D03BE">
              <w:rPr>
                <w:rFonts w:ascii="AppleSystemUIFont" w:eastAsiaTheme="minorHAnsi" w:hAnsi="AppleSystemUIFont" w:cs="AppleSystemUIFont"/>
                <w:lang w:eastAsia="en-US"/>
              </w:rPr>
              <w:t xml:space="preserve">. </w:t>
            </w:r>
            <w:r w:rsidR="00306F04">
              <w:rPr>
                <w:rFonts w:ascii="AppleSystemUIFont" w:eastAsiaTheme="minorHAnsi" w:hAnsi="AppleSystemUIFont" w:cs="AppleSystemUIFont"/>
                <w:lang w:eastAsia="en-US"/>
              </w:rPr>
              <w:t>However, d</w:t>
            </w:r>
            <w:r>
              <w:rPr>
                <w:rFonts w:ascii="AppleSystemUIFont" w:eastAsiaTheme="minorHAnsi" w:hAnsi="AppleSystemUIFont" w:cs="AppleSystemUIFont"/>
                <w:lang w:eastAsia="en-US"/>
              </w:rPr>
              <w:t xml:space="preserve">ebit </w:t>
            </w:r>
            <w:r w:rsidR="003D03BE">
              <w:rPr>
                <w:rFonts w:ascii="AppleSystemUIFont" w:eastAsiaTheme="minorHAnsi" w:hAnsi="AppleSystemUIFont" w:cs="AppleSystemUIFont"/>
                <w:lang w:eastAsia="en-US"/>
              </w:rPr>
              <w:t xml:space="preserve">card </w:t>
            </w:r>
            <w:r>
              <w:rPr>
                <w:rFonts w:ascii="AppleSystemUIFont" w:eastAsiaTheme="minorHAnsi" w:hAnsi="AppleSystemUIFont" w:cs="AppleSystemUIFont"/>
                <w:lang w:eastAsia="en-US"/>
              </w:rPr>
              <w:t>and credit card transactions still grew</w:t>
            </w:r>
            <w:r w:rsidR="003D03BE">
              <w:rPr>
                <w:rFonts w:ascii="AppleSystemUIFont" w:eastAsiaTheme="minorHAnsi" w:hAnsi="AppleSystemUIFont" w:cs="AppleSystemUIFont"/>
                <w:lang w:eastAsia="en-US"/>
              </w:rPr>
              <w:t>,</w:t>
            </w:r>
            <w:r>
              <w:rPr>
                <w:rFonts w:ascii="AppleSystemUIFont" w:eastAsiaTheme="minorHAnsi" w:hAnsi="AppleSystemUIFont" w:cs="AppleSystemUIFont"/>
                <w:lang w:eastAsia="en-US"/>
              </w:rPr>
              <w:t xml:space="preserve"> respectively, </w:t>
            </w:r>
            <w:r w:rsidR="003D03BE">
              <w:rPr>
                <w:rFonts w:ascii="AppleSystemUIFont" w:eastAsiaTheme="minorHAnsi" w:hAnsi="AppleSystemUIFont" w:cs="AppleSystemUIFont"/>
                <w:lang w:eastAsia="en-US"/>
              </w:rPr>
              <w:t xml:space="preserve">by </w:t>
            </w:r>
            <w:r>
              <w:rPr>
                <w:rFonts w:ascii="AppleSystemUIFont" w:eastAsiaTheme="minorHAnsi" w:hAnsi="AppleSystemUIFont" w:cs="AppleSystemUIFont"/>
                <w:lang w:eastAsia="en-US"/>
              </w:rPr>
              <w:t>20% and 18%.</w:t>
            </w:r>
          </w:p>
          <w:p w14:paraId="444FD391" w14:textId="77777777" w:rsidR="00E441EB" w:rsidRDefault="00E441EB" w:rsidP="00AE3FCD">
            <w:pPr>
              <w:jc w:val="both"/>
              <w:rPr>
                <w:rFonts w:ascii="AppleSystemUIFont" w:eastAsiaTheme="minorHAnsi" w:hAnsi="AppleSystemUIFont" w:cs="AppleSystemUIFont"/>
                <w:lang w:eastAsia="en-US"/>
              </w:rPr>
            </w:pPr>
          </w:p>
          <w:p w14:paraId="410CB7AD" w14:textId="207D5C78" w:rsidR="00A77829" w:rsidRDefault="00A77829" w:rsidP="00AE3FCD">
            <w:pPr>
              <w:jc w:val="both"/>
              <w:rPr>
                <w:rFonts w:ascii="AppleSystemUIFont" w:eastAsiaTheme="minorHAnsi" w:hAnsi="AppleSystemUIFont" w:cs="AppleSystemUIFont"/>
                <w:lang w:eastAsia="en-US"/>
              </w:rPr>
            </w:pPr>
            <w:r>
              <w:rPr>
                <w:rFonts w:ascii="AppleSystemUIFont" w:eastAsiaTheme="minorHAnsi" w:hAnsi="AppleSystemUIFont" w:cs="AppleSystemUIFont"/>
                <w:lang w:eastAsia="en-US"/>
              </w:rPr>
              <w:t>D</w:t>
            </w:r>
            <w:r>
              <w:rPr>
                <w:rFonts w:ascii="AppleSystemUIFont" w:eastAsiaTheme="minorHAnsi" w:hAnsi="AppleSystemUIFont" w:cs="AppleSystemUIFont"/>
                <w:lang w:eastAsia="en-US"/>
              </w:rPr>
              <w:t xml:space="preserve">ebit cards </w:t>
            </w:r>
            <w:r>
              <w:rPr>
                <w:rFonts w:ascii="AppleSystemUIFont" w:eastAsiaTheme="minorHAnsi" w:hAnsi="AppleSystemUIFont" w:cs="AppleSystemUIFont"/>
                <w:lang w:eastAsia="en-US"/>
              </w:rPr>
              <w:t xml:space="preserve">are </w:t>
            </w:r>
            <w:r>
              <w:rPr>
                <w:rFonts w:ascii="AppleSystemUIFont" w:eastAsiaTheme="minorHAnsi" w:hAnsi="AppleSystemUIFont" w:cs="AppleSystemUIFont"/>
                <w:lang w:eastAsia="en-US"/>
              </w:rPr>
              <w:t>the</w:t>
            </w:r>
            <w:r>
              <w:rPr>
                <w:rFonts w:ascii="AppleSystemUIFont" w:eastAsiaTheme="minorHAnsi" w:hAnsi="AppleSystemUIFont" w:cs="AppleSystemUIFont"/>
                <w:lang w:eastAsia="en-US"/>
              </w:rPr>
              <w:t xml:space="preserve"> </w:t>
            </w:r>
            <w:r>
              <w:rPr>
                <w:rFonts w:ascii="AppleSystemUIFont" w:eastAsiaTheme="minorHAnsi" w:hAnsi="AppleSystemUIFont" w:cs="AppleSystemUIFont"/>
                <w:lang w:eastAsia="en-US"/>
              </w:rPr>
              <w:t xml:space="preserve">most used card product with 94 transactions per capita globally, </w:t>
            </w:r>
            <w:r>
              <w:rPr>
                <w:rFonts w:ascii="AppleSystemUIFont" w:eastAsiaTheme="minorHAnsi" w:hAnsi="AppleSystemUIFont" w:cs="AppleSystemUIFont"/>
                <w:lang w:eastAsia="en-US"/>
              </w:rPr>
              <w:t>against</w:t>
            </w:r>
            <w:r>
              <w:rPr>
                <w:rFonts w:ascii="AppleSystemUIFont" w:eastAsiaTheme="minorHAnsi" w:hAnsi="AppleSystemUIFont" w:cs="AppleSystemUIFont"/>
                <w:lang w:eastAsia="en-US"/>
              </w:rPr>
              <w:t xml:space="preserve"> 49 for credit</w:t>
            </w:r>
            <w:r w:rsidR="00306F04">
              <w:rPr>
                <w:rFonts w:ascii="AppleSystemUIFont" w:eastAsiaTheme="minorHAnsi" w:hAnsi="AppleSystemUIFont" w:cs="AppleSystemUIFont"/>
                <w:lang w:eastAsia="en-US"/>
              </w:rPr>
              <w:t xml:space="preserve"> cards</w:t>
            </w:r>
            <w:r>
              <w:rPr>
                <w:rFonts w:ascii="AppleSystemUIFont" w:eastAsiaTheme="minorHAnsi" w:hAnsi="AppleSystemUIFont" w:cs="AppleSystemUIFont"/>
                <w:lang w:eastAsia="en-US"/>
              </w:rPr>
              <w:t>.</w:t>
            </w:r>
          </w:p>
          <w:p w14:paraId="17C5A0FF" w14:textId="77777777" w:rsidR="00E441EB" w:rsidRDefault="00E441EB" w:rsidP="00AE3FCD">
            <w:pPr>
              <w:jc w:val="both"/>
              <w:rPr>
                <w:rFonts w:ascii="AppleSystemUIFont" w:eastAsiaTheme="minorHAnsi" w:hAnsi="AppleSystemUIFont" w:cs="AppleSystemUIFont"/>
                <w:lang w:eastAsia="en-US"/>
              </w:rPr>
            </w:pPr>
          </w:p>
          <w:p w14:paraId="1B92A9FC" w14:textId="13BE2311" w:rsidR="003D03BE" w:rsidRDefault="00A73364" w:rsidP="00A73364">
            <w:pPr>
              <w:jc w:val="both"/>
              <w:rPr>
                <w:rFonts w:ascii="AppleSystemUIFont" w:eastAsiaTheme="minorHAnsi" w:hAnsi="AppleSystemUIFont" w:cs="AppleSystemUIFont"/>
                <w:lang w:eastAsia="en-US"/>
              </w:rPr>
            </w:pPr>
            <w:r>
              <w:rPr>
                <w:rFonts w:ascii="AppleSystemUIFont" w:eastAsiaTheme="minorHAnsi" w:hAnsi="AppleSystemUIFont" w:cs="AppleSystemUIFont"/>
                <w:lang w:eastAsia="en-US"/>
              </w:rPr>
              <w:t>Consumer usage of credit cards i</w:t>
            </w:r>
            <w:r>
              <w:rPr>
                <w:rFonts w:ascii="AppleSystemUIFont" w:eastAsiaTheme="minorHAnsi" w:hAnsi="AppleSystemUIFont" w:cs="AppleSystemUIFont"/>
                <w:lang w:eastAsia="en-US"/>
              </w:rPr>
              <w:t>s predominant in</w:t>
            </w:r>
            <w:r>
              <w:rPr>
                <w:rFonts w:ascii="AppleSystemUIFont" w:eastAsiaTheme="minorHAnsi" w:hAnsi="AppleSystemUIFont" w:cs="AppleSystemUIFont"/>
                <w:lang w:eastAsia="en-US"/>
              </w:rPr>
              <w:t xml:space="preserve"> the Americas</w:t>
            </w:r>
            <w:r>
              <w:rPr>
                <w:rFonts w:ascii="AppleSystemUIFont" w:eastAsiaTheme="minorHAnsi" w:hAnsi="AppleSystemUIFont" w:cs="AppleSystemUIFont"/>
                <w:lang w:eastAsia="en-US"/>
              </w:rPr>
              <w:t xml:space="preserve"> and</w:t>
            </w:r>
            <w:r w:rsidR="003D03BE">
              <w:rPr>
                <w:rFonts w:ascii="AppleSystemUIFont" w:eastAsiaTheme="minorHAnsi" w:hAnsi="AppleSystemUIFont" w:cs="AppleSystemUIFont"/>
                <w:lang w:eastAsia="en-US"/>
              </w:rPr>
              <w:t xml:space="preserve"> roughly</w:t>
            </w:r>
            <w:r>
              <w:rPr>
                <w:rFonts w:ascii="AppleSystemUIFont" w:eastAsiaTheme="minorHAnsi" w:hAnsi="AppleSystemUIFont" w:cs="AppleSystemUIFont"/>
                <w:lang w:eastAsia="en-US"/>
              </w:rPr>
              <w:t xml:space="preserve"> accounts for a third of the total yearly revenue</w:t>
            </w:r>
            <w:r w:rsidR="003D03BE">
              <w:rPr>
                <w:rFonts w:ascii="AppleSystemUIFont" w:eastAsiaTheme="minorHAnsi" w:hAnsi="AppleSystemUIFont" w:cs="AppleSystemUIFont"/>
                <w:lang w:eastAsia="en-US"/>
              </w:rPr>
              <w:t>.</w:t>
            </w:r>
          </w:p>
          <w:p w14:paraId="00540125" w14:textId="77777777" w:rsidR="00E441EB" w:rsidRDefault="00E441EB" w:rsidP="00A73364">
            <w:pPr>
              <w:jc w:val="both"/>
              <w:rPr>
                <w:rFonts w:ascii="AppleSystemUIFont" w:eastAsiaTheme="minorHAnsi" w:hAnsi="AppleSystemUIFont" w:cs="AppleSystemUIFont"/>
                <w:lang w:eastAsia="en-US"/>
              </w:rPr>
            </w:pPr>
          </w:p>
          <w:p w14:paraId="29897546" w14:textId="31BCA43C" w:rsidR="003001B8" w:rsidRDefault="003D03BE" w:rsidP="00A73364">
            <w:pPr>
              <w:jc w:val="both"/>
              <w:rPr>
                <w:rFonts w:ascii="AppleSystemUIFont" w:eastAsiaTheme="minorHAnsi" w:hAnsi="AppleSystemUIFont" w:cs="AppleSystemUIFont"/>
                <w:lang w:eastAsia="en-US"/>
              </w:rPr>
            </w:pPr>
            <w:r w:rsidRPr="003D03BE">
              <w:rPr>
                <w:rFonts w:ascii="AppleSystemUIFont" w:eastAsiaTheme="minorHAnsi" w:hAnsi="AppleSystemUIFont" w:cs="AppleSystemUIFont"/>
                <w:lang w:eastAsia="en-US"/>
              </w:rPr>
              <w:t>Payment revenues per capita var</w:t>
            </w:r>
            <w:r w:rsidR="003001B8">
              <w:rPr>
                <w:rFonts w:ascii="AppleSystemUIFont" w:eastAsiaTheme="minorHAnsi" w:hAnsi="AppleSystemUIFont" w:cs="AppleSystemUIFont"/>
                <w:lang w:eastAsia="en-US"/>
              </w:rPr>
              <w:t xml:space="preserve">ies </w:t>
            </w:r>
            <w:r w:rsidRPr="003D03BE">
              <w:rPr>
                <w:rFonts w:ascii="AppleSystemUIFont" w:eastAsiaTheme="minorHAnsi" w:hAnsi="AppleSystemUIFont" w:cs="AppleSystemUIFont"/>
                <w:lang w:eastAsia="en-US"/>
              </w:rPr>
              <w:t>significantly</w:t>
            </w:r>
            <w:r w:rsidRPr="003D03BE">
              <w:rPr>
                <w:rFonts w:ascii="AppleSystemUIFont" w:eastAsiaTheme="minorHAnsi" w:hAnsi="AppleSystemUIFont" w:cs="AppleSystemUIFont"/>
                <w:lang w:eastAsia="en-US"/>
              </w:rPr>
              <w:t xml:space="preserve"> by country</w:t>
            </w:r>
            <w:r>
              <w:rPr>
                <w:rFonts w:ascii="AppleSystemUIFont" w:eastAsiaTheme="minorHAnsi" w:hAnsi="AppleSystemUIFont" w:cs="AppleSystemUIFont"/>
                <w:lang w:eastAsia="en-US"/>
              </w:rPr>
              <w:t xml:space="preserve"> and</w:t>
            </w:r>
            <w:r w:rsidR="003001B8" w:rsidRPr="003001B8">
              <w:rPr>
                <w:rFonts w:ascii="AppleSystemUIFont" w:eastAsiaTheme="minorHAnsi" w:hAnsi="AppleSystemUIFont" w:cs="AppleSystemUIFont"/>
                <w:lang w:eastAsia="en-US"/>
              </w:rPr>
              <w:t xml:space="preserve"> tends to be lower in developing economies</w:t>
            </w:r>
            <w:r w:rsidR="003001B8">
              <w:rPr>
                <w:rFonts w:ascii="AppleSystemUIFont" w:eastAsiaTheme="minorHAnsi" w:hAnsi="AppleSystemUIFont" w:cs="AppleSystemUIFont"/>
                <w:lang w:eastAsia="en-US"/>
              </w:rPr>
              <w:t>,</w:t>
            </w:r>
            <w:r w:rsidR="003001B8" w:rsidRPr="003001B8">
              <w:rPr>
                <w:rFonts w:ascii="AppleSystemUIFont" w:eastAsiaTheme="minorHAnsi" w:hAnsi="AppleSystemUIFont" w:cs="AppleSystemUIFont"/>
                <w:lang w:eastAsia="en-US"/>
              </w:rPr>
              <w:t xml:space="preserve"> </w:t>
            </w:r>
            <w:r w:rsidR="003001B8">
              <w:rPr>
                <w:rFonts w:ascii="AppleSystemUIFont" w:eastAsiaTheme="minorHAnsi" w:hAnsi="AppleSystemUIFont" w:cs="AppleSystemUIFont"/>
                <w:lang w:eastAsia="en-US"/>
              </w:rPr>
              <w:t xml:space="preserve">suggesting the existence of new </w:t>
            </w:r>
            <w:r w:rsidR="003001B8" w:rsidRPr="003001B8">
              <w:rPr>
                <w:rFonts w:ascii="AppleSystemUIFont" w:eastAsiaTheme="minorHAnsi" w:hAnsi="AppleSystemUIFont" w:cs="AppleSystemUIFont"/>
                <w:lang w:eastAsia="en-US"/>
              </w:rPr>
              <w:t>opportunit</w:t>
            </w:r>
            <w:r w:rsidR="003001B8">
              <w:rPr>
                <w:rFonts w:ascii="AppleSystemUIFont" w:eastAsiaTheme="minorHAnsi" w:hAnsi="AppleSystemUIFont" w:cs="AppleSystemUIFont"/>
                <w:lang w:eastAsia="en-US"/>
              </w:rPr>
              <w:t>ies</w:t>
            </w:r>
            <w:r w:rsidR="003001B8" w:rsidRPr="003001B8">
              <w:rPr>
                <w:rFonts w:ascii="AppleSystemUIFont" w:eastAsiaTheme="minorHAnsi" w:hAnsi="AppleSystemUIFont" w:cs="AppleSystemUIFont"/>
                <w:lang w:eastAsia="en-US"/>
              </w:rPr>
              <w:t xml:space="preserve"> </w:t>
            </w:r>
            <w:r w:rsidR="003001B8">
              <w:rPr>
                <w:rFonts w:ascii="AppleSystemUIFont" w:eastAsiaTheme="minorHAnsi" w:hAnsi="AppleSystemUIFont" w:cs="AppleSystemUIFont"/>
                <w:lang w:eastAsia="en-US"/>
              </w:rPr>
              <w:t>as the infrastructure improves.</w:t>
            </w:r>
          </w:p>
          <w:p w14:paraId="2CF569B1" w14:textId="77777777" w:rsidR="00E441EB" w:rsidRDefault="00E441EB" w:rsidP="00A73364">
            <w:pPr>
              <w:jc w:val="both"/>
              <w:rPr>
                <w:rFonts w:ascii="AppleSystemUIFont" w:eastAsiaTheme="minorHAnsi" w:hAnsi="AppleSystemUIFont" w:cs="AppleSystemUIFont"/>
                <w:lang w:eastAsia="en-US"/>
              </w:rPr>
            </w:pPr>
          </w:p>
          <w:p w14:paraId="2D508371" w14:textId="01C9D30E" w:rsidR="00AE3FCD" w:rsidRPr="00AE3FCD" w:rsidRDefault="00A77829" w:rsidP="00A73364">
            <w:pPr>
              <w:jc w:val="both"/>
              <w:rPr>
                <w:rFonts w:ascii="AppleSystemUIFont" w:eastAsiaTheme="minorHAnsi" w:hAnsi="AppleSystemUIFont" w:cs="AppleSystemUIFont"/>
                <w:lang w:eastAsia="en-US"/>
              </w:rPr>
            </w:pPr>
            <w:r>
              <w:rPr>
                <w:rFonts w:ascii="AppleSystemUIFont" w:eastAsiaTheme="minorHAnsi" w:hAnsi="AppleSystemUIFont" w:cs="AppleSystemUIFont"/>
                <w:lang w:eastAsia="en-US"/>
              </w:rPr>
              <w:t>T</w:t>
            </w:r>
            <w:r>
              <w:rPr>
                <w:rFonts w:ascii="AppleSystemUIFont" w:eastAsiaTheme="minorHAnsi" w:hAnsi="AppleSystemUIFont" w:cs="AppleSystemUIFont"/>
                <w:lang w:eastAsia="en-US"/>
              </w:rPr>
              <w:t xml:space="preserve">he </w:t>
            </w:r>
            <w:r>
              <w:rPr>
                <w:rFonts w:ascii="AppleSystemUIFont" w:eastAsiaTheme="minorHAnsi" w:hAnsi="AppleSystemUIFont" w:cs="AppleSystemUIFont"/>
                <w:lang w:eastAsia="en-US"/>
              </w:rPr>
              <w:t xml:space="preserve">industry is </w:t>
            </w:r>
            <w:r w:rsidR="00306F04">
              <w:rPr>
                <w:rFonts w:ascii="AppleSystemUIFont" w:eastAsiaTheme="minorHAnsi" w:hAnsi="AppleSystemUIFont" w:cs="AppleSystemUIFont"/>
                <w:lang w:eastAsia="en-US"/>
              </w:rPr>
              <w:t xml:space="preserve">forecasted </w:t>
            </w:r>
            <w:r>
              <w:rPr>
                <w:rFonts w:ascii="AppleSystemUIFont" w:eastAsiaTheme="minorHAnsi" w:hAnsi="AppleSystemUIFont" w:cs="AppleSystemUIFont"/>
                <w:lang w:eastAsia="en-US"/>
              </w:rPr>
              <w:t xml:space="preserve">to </w:t>
            </w:r>
            <w:r>
              <w:rPr>
                <w:rFonts w:ascii="AppleSystemUIFont" w:eastAsiaTheme="minorHAnsi" w:hAnsi="AppleSystemUIFont" w:cs="AppleSystemUIFont"/>
                <w:lang w:eastAsia="en-US"/>
              </w:rPr>
              <w:t>exceed the $3 trillion mark by 2026</w:t>
            </w:r>
            <w:r>
              <w:rPr>
                <w:rFonts w:ascii="AppleSystemUIFont" w:eastAsiaTheme="minorHAnsi" w:hAnsi="AppleSystemUIFont" w:cs="AppleSystemUIFont"/>
                <w:lang w:eastAsia="en-US"/>
              </w:rPr>
              <w:t>.</w:t>
            </w:r>
          </w:p>
        </w:tc>
      </w:tr>
    </w:tbl>
    <w:p w14:paraId="5B6197C5" w14:textId="5EE50177" w:rsidR="00EC6D0D" w:rsidRDefault="003566B7" w:rsidP="003001B8">
      <w:pPr>
        <w:pStyle w:val="ListParagraph"/>
        <w:numPr>
          <w:ilvl w:val="0"/>
          <w:numId w:val="4"/>
        </w:numPr>
        <w:jc w:val="both"/>
        <w:rPr>
          <w:rFonts w:ascii="Calibri" w:hAnsi="Calibri" w:cs="Calibri"/>
          <w:b/>
          <w:bCs/>
          <w:i/>
          <w:iCs/>
        </w:rPr>
      </w:pPr>
      <w:r w:rsidRPr="00E441EB">
        <w:rPr>
          <w:rFonts w:ascii="Calibri" w:hAnsi="Calibri" w:cs="Calibri"/>
          <w:b/>
          <w:bCs/>
          <w:i/>
          <w:iCs/>
        </w:rPr>
        <w:lastRenderedPageBreak/>
        <w:t>Peers Comparison</w:t>
      </w:r>
    </w:p>
    <w:p w14:paraId="12761AFC" w14:textId="77777777" w:rsidR="00F80227" w:rsidRPr="00F80227" w:rsidRDefault="00F80227" w:rsidP="00F80227">
      <w:pPr>
        <w:jc w:val="both"/>
        <w:rPr>
          <w:rFonts w:ascii="Calibri" w:hAnsi="Calibri" w:cs="Calibri"/>
          <w:b/>
          <w:bCs/>
          <w:i/>
          <w:iCs/>
        </w:rPr>
      </w:pPr>
    </w:p>
    <w:p w14:paraId="37D474A2" w14:textId="06DD084D" w:rsidR="00843585" w:rsidRPr="00780EAE" w:rsidRDefault="0050653E" w:rsidP="00780EAE">
      <w:pPr>
        <w:jc w:val="both"/>
        <w:rPr>
          <w:rFonts w:ascii="Calibri" w:hAnsi="Calibri" w:cs="Calibri"/>
        </w:rPr>
      </w:pPr>
      <w:r w:rsidRPr="006F3740">
        <w:rPr>
          <w:rFonts w:ascii="Calibri" w:hAnsi="Calibri" w:cs="Calibri"/>
          <w:i/>
          <w:iCs/>
        </w:rPr>
        <w:t>Visa</w:t>
      </w:r>
      <w:r>
        <w:rPr>
          <w:rFonts w:ascii="Calibri" w:hAnsi="Calibri" w:cs="Calibri"/>
          <w:i/>
          <w:iCs/>
        </w:rPr>
        <w:t>’s</w:t>
      </w:r>
      <w:r>
        <w:rPr>
          <w:rFonts w:ascii="Calibri" w:hAnsi="Calibri" w:cs="Calibri"/>
        </w:rPr>
        <w:t xml:space="preserve"> biggest US competitors are </w:t>
      </w:r>
      <w:r w:rsidRPr="003B041B">
        <w:rPr>
          <w:rFonts w:ascii="Calibri" w:hAnsi="Calibri" w:cs="Calibri"/>
          <w:i/>
          <w:iCs/>
        </w:rPr>
        <w:t>Mastercard</w:t>
      </w:r>
      <w:r>
        <w:rPr>
          <w:rFonts w:ascii="Calibri" w:hAnsi="Calibri" w:cs="Calibri"/>
        </w:rPr>
        <w:t xml:space="preserve"> and </w:t>
      </w:r>
      <w:r w:rsidRPr="003B041B">
        <w:rPr>
          <w:rFonts w:ascii="Calibri" w:hAnsi="Calibri" w:cs="Calibri"/>
          <w:i/>
          <w:iCs/>
        </w:rPr>
        <w:t>American Express</w:t>
      </w:r>
      <w:r>
        <w:rPr>
          <w:rFonts w:ascii="Calibri" w:hAnsi="Calibri" w:cs="Calibri"/>
        </w:rPr>
        <w:t>.</w:t>
      </w:r>
      <w:r>
        <w:rPr>
          <w:rFonts w:ascii="Calibri" w:hAnsi="Calibri" w:cs="Calibri"/>
        </w:rPr>
        <w:t xml:space="preserve"> </w:t>
      </w:r>
      <w:r w:rsidR="00843585">
        <w:rPr>
          <w:rFonts w:ascii="AppleSystemUIFont" w:eastAsiaTheme="minorHAnsi" w:hAnsi="AppleSystemUIFont" w:cs="AppleSystemUIFont"/>
          <w:lang w:eastAsia="en-US"/>
        </w:rPr>
        <w:t xml:space="preserve">According to the </w:t>
      </w:r>
      <w:proofErr w:type="spellStart"/>
      <w:r w:rsidR="00843585" w:rsidRPr="001A54D1">
        <w:rPr>
          <w:rFonts w:ascii="AppleSystemUIFont" w:eastAsiaTheme="minorHAnsi" w:hAnsi="AppleSystemUIFont" w:cs="AppleSystemUIFont"/>
          <w:i/>
          <w:iCs/>
          <w:lang w:eastAsia="en-US"/>
        </w:rPr>
        <w:t>Nilson</w:t>
      </w:r>
      <w:proofErr w:type="spellEnd"/>
      <w:r w:rsidR="00843585" w:rsidRPr="001A54D1">
        <w:rPr>
          <w:rFonts w:ascii="AppleSystemUIFont" w:eastAsiaTheme="minorHAnsi" w:hAnsi="AppleSystemUIFont" w:cs="AppleSystemUIFont"/>
          <w:i/>
          <w:iCs/>
          <w:lang w:eastAsia="en-US"/>
        </w:rPr>
        <w:t xml:space="preserve"> Report</w:t>
      </w:r>
      <w:r w:rsidR="00843585">
        <w:rPr>
          <w:rFonts w:ascii="AppleSystemUIFont" w:eastAsiaTheme="minorHAnsi" w:hAnsi="AppleSystemUIFont" w:cs="AppleSystemUIFont"/>
          <w:i/>
          <w:iCs/>
          <w:lang w:eastAsia="en-US"/>
        </w:rPr>
        <w:t xml:space="preserve">, </w:t>
      </w:r>
      <w:r w:rsidR="00843585" w:rsidRPr="00306F04">
        <w:rPr>
          <w:rFonts w:ascii="AppleSystemUIFont" w:eastAsiaTheme="minorHAnsi" w:hAnsi="AppleSystemUIFont" w:cs="AppleSystemUIFont"/>
          <w:lang w:eastAsia="en-US"/>
        </w:rPr>
        <w:t>in 202</w:t>
      </w:r>
      <w:r w:rsidR="00843585">
        <w:rPr>
          <w:rFonts w:ascii="AppleSystemUIFont" w:eastAsiaTheme="minorHAnsi" w:hAnsi="AppleSystemUIFont" w:cs="AppleSystemUIFont"/>
          <w:lang w:eastAsia="en-US"/>
        </w:rPr>
        <w:t>1:</w:t>
      </w:r>
    </w:p>
    <w:p w14:paraId="7CDC3CC4" w14:textId="32404FC1" w:rsidR="00843585" w:rsidRPr="00F80227" w:rsidRDefault="00843585" w:rsidP="00843585">
      <w:pPr>
        <w:pStyle w:val="ListParagraph"/>
        <w:numPr>
          <w:ilvl w:val="0"/>
          <w:numId w:val="4"/>
        </w:numPr>
        <w:jc w:val="both"/>
        <w:rPr>
          <w:rFonts w:ascii="Calibri" w:hAnsi="Calibri" w:cs="Calibri"/>
        </w:rPr>
      </w:pPr>
      <w:r w:rsidRPr="00E642B6">
        <w:rPr>
          <w:rFonts w:ascii="Calibri" w:hAnsi="Calibri" w:cs="Calibri"/>
          <w:i/>
          <w:iCs/>
        </w:rPr>
        <w:t>Visa</w:t>
      </w:r>
      <w:r w:rsidRPr="00843585">
        <w:rPr>
          <w:rFonts w:ascii="Calibri" w:hAnsi="Calibri" w:cs="Calibri"/>
        </w:rPr>
        <w:t xml:space="preserve"> ha</w:t>
      </w:r>
      <w:r w:rsidR="00780EAE">
        <w:rPr>
          <w:rFonts w:ascii="Calibri" w:hAnsi="Calibri" w:cs="Calibri"/>
        </w:rPr>
        <w:t>s</w:t>
      </w:r>
      <w:r w:rsidR="00F80227">
        <w:rPr>
          <w:rFonts w:ascii="Calibri" w:hAnsi="Calibri" w:cs="Calibri"/>
        </w:rPr>
        <w:t xml:space="preserve"> </w:t>
      </w:r>
      <w:r w:rsidRPr="00843585">
        <w:rPr>
          <w:rFonts w:ascii="Calibri" w:hAnsi="Calibri" w:cs="Calibri"/>
        </w:rPr>
        <w:t>6</w:t>
      </w:r>
      <w:r w:rsidR="00F80227">
        <w:rPr>
          <w:rFonts w:ascii="Calibri" w:hAnsi="Calibri" w:cs="Calibri"/>
        </w:rPr>
        <w:t>1</w:t>
      </w:r>
      <w:r w:rsidRPr="00843585">
        <w:rPr>
          <w:rFonts w:ascii="Calibri" w:hAnsi="Calibri" w:cs="Calibri"/>
        </w:rPr>
        <w:t>%</w:t>
      </w:r>
      <w:r w:rsidR="00E642B6">
        <w:rPr>
          <w:rFonts w:ascii="Calibri" w:hAnsi="Calibri" w:cs="Calibri"/>
        </w:rPr>
        <w:t xml:space="preserve"> </w:t>
      </w:r>
      <w:r w:rsidR="00780EAE">
        <w:rPr>
          <w:rFonts w:ascii="Calibri" w:hAnsi="Calibri" w:cs="Calibri"/>
        </w:rPr>
        <w:t xml:space="preserve">of the </w:t>
      </w:r>
      <w:r w:rsidR="00780EAE" w:rsidRPr="00780EAE">
        <w:rPr>
          <w:rFonts w:ascii="Calibri" w:hAnsi="Calibri" w:cs="Calibri"/>
          <w:b/>
          <w:bCs/>
        </w:rPr>
        <w:t>US</w:t>
      </w:r>
      <w:r w:rsidR="00780EAE">
        <w:rPr>
          <w:rFonts w:ascii="Calibri" w:hAnsi="Calibri" w:cs="Calibri"/>
        </w:rPr>
        <w:t xml:space="preserve"> </w:t>
      </w:r>
      <w:r w:rsidR="00E642B6" w:rsidRPr="00E642B6">
        <w:rPr>
          <w:rFonts w:ascii="Calibri" w:hAnsi="Calibri" w:cs="Calibri"/>
          <w:b/>
          <w:bCs/>
        </w:rPr>
        <w:t>market share</w:t>
      </w:r>
      <w:r w:rsidR="00F80227">
        <w:rPr>
          <w:rFonts w:ascii="Calibri" w:hAnsi="Calibri" w:cs="Calibri"/>
        </w:rPr>
        <w:t xml:space="preserve">, </w:t>
      </w:r>
      <w:r w:rsidR="00E642B6">
        <w:rPr>
          <w:rFonts w:ascii="Calibri" w:hAnsi="Calibri" w:cs="Calibri"/>
        </w:rPr>
        <w:t xml:space="preserve">while </w:t>
      </w:r>
      <w:r w:rsidRPr="00E642B6">
        <w:rPr>
          <w:rFonts w:ascii="Calibri" w:hAnsi="Calibri" w:cs="Calibri"/>
          <w:i/>
          <w:iCs/>
        </w:rPr>
        <w:t>Mastercard</w:t>
      </w:r>
      <w:r w:rsidRPr="00843585">
        <w:rPr>
          <w:rFonts w:ascii="Calibri" w:hAnsi="Calibri" w:cs="Calibri"/>
        </w:rPr>
        <w:t xml:space="preserve"> </w:t>
      </w:r>
      <w:r w:rsidR="00E642B6">
        <w:rPr>
          <w:rFonts w:ascii="Calibri" w:hAnsi="Calibri" w:cs="Calibri"/>
        </w:rPr>
        <w:t>ha</w:t>
      </w:r>
      <w:r w:rsidR="00780EAE">
        <w:rPr>
          <w:rFonts w:ascii="Calibri" w:hAnsi="Calibri" w:cs="Calibri"/>
        </w:rPr>
        <w:t>s</w:t>
      </w:r>
      <w:r w:rsidRPr="00843585">
        <w:rPr>
          <w:rFonts w:ascii="Calibri" w:hAnsi="Calibri" w:cs="Calibri"/>
        </w:rPr>
        <w:t xml:space="preserve"> 2</w:t>
      </w:r>
      <w:r w:rsidR="00F80227">
        <w:rPr>
          <w:rFonts w:ascii="Calibri" w:hAnsi="Calibri" w:cs="Calibri"/>
        </w:rPr>
        <w:t>5</w:t>
      </w:r>
      <w:r w:rsidRPr="00843585">
        <w:rPr>
          <w:rFonts w:ascii="Calibri" w:hAnsi="Calibri" w:cs="Calibri"/>
        </w:rPr>
        <w:t>%</w:t>
      </w:r>
      <w:r w:rsidR="00E642B6">
        <w:rPr>
          <w:rFonts w:ascii="Calibri" w:hAnsi="Calibri" w:cs="Calibri"/>
        </w:rPr>
        <w:t xml:space="preserve"> and</w:t>
      </w:r>
      <w:r>
        <w:rPr>
          <w:rFonts w:ascii="Calibri" w:hAnsi="Calibri" w:cs="Calibri"/>
        </w:rPr>
        <w:t xml:space="preserve"> </w:t>
      </w:r>
      <w:r w:rsidRPr="00E642B6">
        <w:rPr>
          <w:rFonts w:ascii="Calibri" w:hAnsi="Calibri" w:cs="Calibri"/>
          <w:i/>
          <w:iCs/>
        </w:rPr>
        <w:t>AMEX</w:t>
      </w:r>
      <w:r>
        <w:rPr>
          <w:rFonts w:ascii="Calibri" w:hAnsi="Calibri" w:cs="Calibri"/>
        </w:rPr>
        <w:t xml:space="preserve"> only </w:t>
      </w:r>
      <w:proofErr w:type="gramStart"/>
      <w:r>
        <w:rPr>
          <w:rFonts w:ascii="Calibri" w:hAnsi="Calibri" w:cs="Calibri"/>
        </w:rPr>
        <w:t>1</w:t>
      </w:r>
      <w:r w:rsidR="00F80227">
        <w:rPr>
          <w:rFonts w:ascii="Calibri" w:hAnsi="Calibri" w:cs="Calibri"/>
        </w:rPr>
        <w:t>0</w:t>
      </w:r>
      <w:r>
        <w:rPr>
          <w:rFonts w:ascii="Calibri" w:hAnsi="Calibri" w:cs="Calibri"/>
        </w:rPr>
        <w:t>%</w:t>
      </w:r>
      <w:r w:rsidR="00E642B6">
        <w:rPr>
          <w:rFonts w:ascii="Calibri" w:hAnsi="Calibri" w:cs="Calibri"/>
        </w:rPr>
        <w:t>;</w:t>
      </w:r>
      <w:proofErr w:type="gramEnd"/>
    </w:p>
    <w:p w14:paraId="2C6E4082" w14:textId="65879FF1" w:rsidR="00306F04" w:rsidRDefault="003E7B4E" w:rsidP="00306F04">
      <w:pPr>
        <w:pStyle w:val="ListParagraph"/>
        <w:numPr>
          <w:ilvl w:val="0"/>
          <w:numId w:val="4"/>
        </w:numPr>
        <w:autoSpaceDE w:val="0"/>
        <w:autoSpaceDN w:val="0"/>
        <w:adjustRightInd w:val="0"/>
        <w:jc w:val="both"/>
        <w:rPr>
          <w:rFonts w:ascii="AppleSystemUIFont" w:eastAsiaTheme="minorHAnsi" w:hAnsi="AppleSystemUIFont" w:cs="AppleSystemUIFont"/>
          <w:lang w:eastAsia="en-US"/>
        </w:rPr>
      </w:pPr>
      <w:r w:rsidRPr="00306F04">
        <w:rPr>
          <w:rFonts w:ascii="AppleSystemUIFont" w:eastAsiaTheme="minorHAnsi" w:hAnsi="AppleSystemUIFont" w:cs="AppleSystemUIFont"/>
          <w:lang w:eastAsia="en-US"/>
        </w:rPr>
        <w:t xml:space="preserve">48% of the adult </w:t>
      </w:r>
      <w:r w:rsidR="001A54D1" w:rsidRPr="00E642B6">
        <w:rPr>
          <w:rFonts w:ascii="AppleSystemUIFont" w:eastAsiaTheme="minorHAnsi" w:hAnsi="AppleSystemUIFont" w:cs="AppleSystemUIFont"/>
          <w:b/>
          <w:bCs/>
          <w:lang w:eastAsia="en-US"/>
        </w:rPr>
        <w:t xml:space="preserve">US </w:t>
      </w:r>
      <w:r w:rsidRPr="00E642B6">
        <w:rPr>
          <w:rFonts w:ascii="AppleSystemUIFont" w:eastAsiaTheme="minorHAnsi" w:hAnsi="AppleSystemUIFont" w:cs="AppleSystemUIFont"/>
          <w:b/>
          <w:bCs/>
          <w:lang w:eastAsia="en-US"/>
        </w:rPr>
        <w:t>population</w:t>
      </w:r>
      <w:r w:rsidRPr="00306F04">
        <w:rPr>
          <w:rFonts w:ascii="AppleSystemUIFont" w:eastAsiaTheme="minorHAnsi" w:hAnsi="AppleSystemUIFont" w:cs="AppleSystemUIFont"/>
          <w:lang w:eastAsia="en-US"/>
        </w:rPr>
        <w:t xml:space="preserve"> ha</w:t>
      </w:r>
      <w:r w:rsidR="00780EAE">
        <w:rPr>
          <w:rFonts w:ascii="AppleSystemUIFont" w:eastAsiaTheme="minorHAnsi" w:hAnsi="AppleSystemUIFont" w:cs="AppleSystemUIFont"/>
          <w:lang w:eastAsia="en-US"/>
        </w:rPr>
        <w:t>s</w:t>
      </w:r>
      <w:r w:rsidRPr="00306F04">
        <w:rPr>
          <w:rFonts w:ascii="AppleSystemUIFont" w:eastAsiaTheme="minorHAnsi" w:hAnsi="AppleSystemUIFont" w:cs="AppleSystemUIFont"/>
          <w:lang w:eastAsia="en-US"/>
        </w:rPr>
        <w:t xml:space="preserve"> </w:t>
      </w:r>
      <w:r w:rsidRPr="00306F04">
        <w:rPr>
          <w:rFonts w:ascii="AppleSystemUIFont" w:eastAsiaTheme="minorHAnsi" w:hAnsi="AppleSystemUIFont" w:cs="AppleSystemUIFont"/>
          <w:i/>
          <w:iCs/>
          <w:lang w:eastAsia="en-US"/>
        </w:rPr>
        <w:t>Visa</w:t>
      </w:r>
      <w:r w:rsidRPr="00306F04">
        <w:rPr>
          <w:rFonts w:ascii="AppleSystemUIFont" w:eastAsiaTheme="minorHAnsi" w:hAnsi="AppleSystemUIFont" w:cs="AppleSystemUIFont"/>
          <w:lang w:eastAsia="en-US"/>
        </w:rPr>
        <w:t>, 39% ha</w:t>
      </w:r>
      <w:r w:rsidR="00780EAE">
        <w:rPr>
          <w:rFonts w:ascii="AppleSystemUIFont" w:eastAsiaTheme="minorHAnsi" w:hAnsi="AppleSystemUIFont" w:cs="AppleSystemUIFont"/>
          <w:lang w:eastAsia="en-US"/>
        </w:rPr>
        <w:t>s</w:t>
      </w:r>
      <w:r w:rsidRPr="00306F04">
        <w:rPr>
          <w:rFonts w:ascii="AppleSystemUIFont" w:eastAsiaTheme="minorHAnsi" w:hAnsi="AppleSystemUIFont" w:cs="AppleSystemUIFont"/>
          <w:lang w:eastAsia="en-US"/>
        </w:rPr>
        <w:t xml:space="preserve"> </w:t>
      </w:r>
      <w:r w:rsidRPr="00306F04">
        <w:rPr>
          <w:rFonts w:ascii="AppleSystemUIFont" w:eastAsiaTheme="minorHAnsi" w:hAnsi="AppleSystemUIFont" w:cs="AppleSystemUIFont"/>
          <w:i/>
          <w:iCs/>
          <w:lang w:eastAsia="en-US"/>
        </w:rPr>
        <w:t>Mastercard</w:t>
      </w:r>
      <w:r w:rsidRPr="00306F04">
        <w:rPr>
          <w:rFonts w:ascii="AppleSystemUIFont" w:eastAsiaTheme="minorHAnsi" w:hAnsi="AppleSystemUIFont" w:cs="AppleSystemUIFont"/>
          <w:lang w:eastAsia="en-US"/>
        </w:rPr>
        <w:t xml:space="preserve"> and 15% ha</w:t>
      </w:r>
      <w:r w:rsidR="00780EAE">
        <w:rPr>
          <w:rFonts w:ascii="AppleSystemUIFont" w:eastAsiaTheme="minorHAnsi" w:hAnsi="AppleSystemUIFont" w:cs="AppleSystemUIFont"/>
          <w:lang w:eastAsia="en-US"/>
        </w:rPr>
        <w:t>s</w:t>
      </w:r>
      <w:r w:rsidRPr="00306F04">
        <w:rPr>
          <w:rFonts w:ascii="AppleSystemUIFont" w:eastAsiaTheme="minorHAnsi" w:hAnsi="AppleSystemUIFont" w:cs="AppleSystemUIFont"/>
          <w:lang w:eastAsia="en-US"/>
        </w:rPr>
        <w:t xml:space="preserve"> </w:t>
      </w:r>
      <w:proofErr w:type="gramStart"/>
      <w:r w:rsidRPr="00306F04">
        <w:rPr>
          <w:rFonts w:ascii="AppleSystemUIFont" w:eastAsiaTheme="minorHAnsi" w:hAnsi="AppleSystemUIFont" w:cs="AppleSystemUIFont"/>
          <w:i/>
          <w:iCs/>
          <w:lang w:eastAsia="en-US"/>
        </w:rPr>
        <w:t>AMEX</w:t>
      </w:r>
      <w:r w:rsidR="00306F04">
        <w:rPr>
          <w:rFonts w:ascii="AppleSystemUIFont" w:eastAsiaTheme="minorHAnsi" w:hAnsi="AppleSystemUIFont" w:cs="AppleSystemUIFont"/>
          <w:lang w:eastAsia="en-US"/>
        </w:rPr>
        <w:t>;</w:t>
      </w:r>
      <w:proofErr w:type="gramEnd"/>
    </w:p>
    <w:p w14:paraId="13323E21" w14:textId="27BCDECC" w:rsidR="00306F04" w:rsidRDefault="00306F04" w:rsidP="00306F04">
      <w:pPr>
        <w:pStyle w:val="ListParagraph"/>
        <w:numPr>
          <w:ilvl w:val="0"/>
          <w:numId w:val="4"/>
        </w:numPr>
        <w:autoSpaceDE w:val="0"/>
        <w:autoSpaceDN w:val="0"/>
        <w:adjustRightInd w:val="0"/>
        <w:jc w:val="both"/>
        <w:rPr>
          <w:rFonts w:ascii="AppleSystemUIFont" w:eastAsiaTheme="minorHAnsi" w:hAnsi="AppleSystemUIFont" w:cs="AppleSystemUIFont"/>
          <w:lang w:eastAsia="en-US"/>
        </w:rPr>
      </w:pPr>
      <w:r>
        <w:rPr>
          <w:rFonts w:ascii="AppleSystemUIFont" w:eastAsiaTheme="minorHAnsi" w:hAnsi="AppleSystemUIFont" w:cs="AppleSystemUIFont"/>
          <w:lang w:eastAsia="en-US"/>
        </w:rPr>
        <w:t>of the</w:t>
      </w:r>
      <w:r w:rsidR="003E7B4E" w:rsidRPr="00306F04">
        <w:rPr>
          <w:rFonts w:ascii="AppleSystemUIFont" w:eastAsiaTheme="minorHAnsi" w:hAnsi="AppleSystemUIFont" w:cs="AppleSystemUIFont"/>
          <w:lang w:eastAsia="en-US"/>
        </w:rPr>
        <w:t xml:space="preserve"> 1.08 billion </w:t>
      </w:r>
      <w:r w:rsidR="00780EAE" w:rsidRPr="00780EAE">
        <w:rPr>
          <w:rFonts w:ascii="AppleSystemUIFont" w:eastAsiaTheme="minorHAnsi" w:hAnsi="AppleSystemUIFont" w:cs="AppleSystemUIFont"/>
          <w:b/>
          <w:bCs/>
          <w:lang w:eastAsia="en-US"/>
        </w:rPr>
        <w:t>US</w:t>
      </w:r>
      <w:r w:rsidR="00780EAE">
        <w:rPr>
          <w:rFonts w:ascii="AppleSystemUIFont" w:eastAsiaTheme="minorHAnsi" w:hAnsi="AppleSystemUIFont" w:cs="AppleSystemUIFont"/>
          <w:lang w:eastAsia="en-US"/>
        </w:rPr>
        <w:t xml:space="preserve"> </w:t>
      </w:r>
      <w:r w:rsidR="003E7B4E" w:rsidRPr="00780EAE">
        <w:rPr>
          <w:rFonts w:ascii="AppleSystemUIFont" w:eastAsiaTheme="minorHAnsi" w:hAnsi="AppleSystemUIFont" w:cs="AppleSystemUIFont"/>
          <w:b/>
          <w:bCs/>
          <w:lang w:eastAsia="en-US"/>
        </w:rPr>
        <w:t>circulating</w:t>
      </w:r>
      <w:r w:rsidR="00780EAE">
        <w:rPr>
          <w:rFonts w:ascii="AppleSystemUIFont" w:eastAsiaTheme="minorHAnsi" w:hAnsi="AppleSystemUIFont" w:cs="AppleSystemUIFont"/>
          <w:b/>
          <w:bCs/>
          <w:lang w:eastAsia="en-US"/>
        </w:rPr>
        <w:t xml:space="preserve"> cards</w:t>
      </w:r>
      <w:r w:rsidR="003E7B4E" w:rsidRPr="00306F04">
        <w:rPr>
          <w:rFonts w:ascii="AppleSystemUIFont" w:eastAsiaTheme="minorHAnsi" w:hAnsi="AppleSystemUIFont" w:cs="AppleSystemUIFont"/>
          <w:lang w:eastAsia="en-US"/>
        </w:rPr>
        <w:t xml:space="preserve">, 341 million </w:t>
      </w:r>
      <w:r w:rsidR="00780EAE">
        <w:rPr>
          <w:rFonts w:ascii="AppleSystemUIFont" w:eastAsiaTheme="minorHAnsi" w:hAnsi="AppleSystemUIFont" w:cs="AppleSystemUIFont"/>
          <w:lang w:eastAsia="en-US"/>
        </w:rPr>
        <w:t>a</w:t>
      </w:r>
      <w:r w:rsidR="003E7B4E" w:rsidRPr="00306F04">
        <w:rPr>
          <w:rFonts w:ascii="AppleSystemUIFont" w:eastAsiaTheme="minorHAnsi" w:hAnsi="AppleSystemUIFont" w:cs="AppleSystemUIFont"/>
          <w:lang w:eastAsia="en-US"/>
        </w:rPr>
        <w:t xml:space="preserve">re </w:t>
      </w:r>
      <w:r w:rsidR="003E7B4E" w:rsidRPr="00306F04">
        <w:rPr>
          <w:rFonts w:ascii="AppleSystemUIFont" w:eastAsiaTheme="minorHAnsi" w:hAnsi="AppleSystemUIFont" w:cs="AppleSystemUIFont"/>
          <w:i/>
          <w:iCs/>
          <w:lang w:eastAsia="en-US"/>
        </w:rPr>
        <w:t>Visa</w:t>
      </w:r>
      <w:r w:rsidR="003E7B4E" w:rsidRPr="00306F04">
        <w:rPr>
          <w:rFonts w:ascii="AppleSystemUIFont" w:eastAsiaTheme="minorHAnsi" w:hAnsi="AppleSystemUIFont" w:cs="AppleSystemUIFont"/>
          <w:lang w:eastAsia="en-US"/>
        </w:rPr>
        <w:t xml:space="preserve"> (31%), 245 million </w:t>
      </w:r>
      <w:r w:rsidR="00780EAE">
        <w:rPr>
          <w:rFonts w:ascii="AppleSystemUIFont" w:eastAsiaTheme="minorHAnsi" w:hAnsi="AppleSystemUIFont" w:cs="AppleSystemUIFont"/>
          <w:lang w:eastAsia="en-US"/>
        </w:rPr>
        <w:t>a</w:t>
      </w:r>
      <w:r w:rsidR="003E7B4E" w:rsidRPr="00306F04">
        <w:rPr>
          <w:rFonts w:ascii="AppleSystemUIFont" w:eastAsiaTheme="minorHAnsi" w:hAnsi="AppleSystemUIFont" w:cs="AppleSystemUIFont"/>
          <w:lang w:eastAsia="en-US"/>
        </w:rPr>
        <w:t xml:space="preserve">re </w:t>
      </w:r>
      <w:r w:rsidR="003E7B4E" w:rsidRPr="00306F04">
        <w:rPr>
          <w:rFonts w:ascii="AppleSystemUIFont" w:eastAsiaTheme="minorHAnsi" w:hAnsi="AppleSystemUIFont" w:cs="AppleSystemUIFont"/>
          <w:i/>
          <w:iCs/>
          <w:lang w:eastAsia="en-US"/>
        </w:rPr>
        <w:t>Mastercard</w:t>
      </w:r>
      <w:r w:rsidR="003E7B4E" w:rsidRPr="00306F04">
        <w:rPr>
          <w:rFonts w:ascii="AppleSystemUIFont" w:eastAsiaTheme="minorHAnsi" w:hAnsi="AppleSystemUIFont" w:cs="AppleSystemUIFont"/>
          <w:lang w:eastAsia="en-US"/>
        </w:rPr>
        <w:t xml:space="preserve"> (22%) and 53 million </w:t>
      </w:r>
      <w:r w:rsidR="00780EAE">
        <w:rPr>
          <w:rFonts w:ascii="AppleSystemUIFont" w:eastAsiaTheme="minorHAnsi" w:hAnsi="AppleSystemUIFont" w:cs="AppleSystemUIFont"/>
          <w:lang w:eastAsia="en-US"/>
        </w:rPr>
        <w:t>ar</w:t>
      </w:r>
      <w:r w:rsidR="003E7B4E" w:rsidRPr="00306F04">
        <w:rPr>
          <w:rFonts w:ascii="AppleSystemUIFont" w:eastAsiaTheme="minorHAnsi" w:hAnsi="AppleSystemUIFont" w:cs="AppleSystemUIFont"/>
          <w:lang w:eastAsia="en-US"/>
        </w:rPr>
        <w:t xml:space="preserve">e </w:t>
      </w:r>
      <w:r w:rsidR="003E7B4E" w:rsidRPr="00306F04">
        <w:rPr>
          <w:rFonts w:ascii="AppleSystemUIFont" w:eastAsiaTheme="minorHAnsi" w:hAnsi="AppleSystemUIFont" w:cs="AppleSystemUIFont"/>
          <w:i/>
          <w:iCs/>
          <w:lang w:eastAsia="en-US"/>
        </w:rPr>
        <w:t>AMEX</w:t>
      </w:r>
      <w:r w:rsidR="003E7B4E" w:rsidRPr="00306F04">
        <w:rPr>
          <w:rFonts w:ascii="AppleSystemUIFont" w:eastAsiaTheme="minorHAnsi" w:hAnsi="AppleSystemUIFont" w:cs="AppleSystemUIFont"/>
          <w:lang w:eastAsia="en-US"/>
        </w:rPr>
        <w:t xml:space="preserve"> (5%)</w:t>
      </w:r>
    </w:p>
    <w:p w14:paraId="50150C13" w14:textId="40A599C7" w:rsidR="003E7B4E" w:rsidRPr="00306F04" w:rsidRDefault="003E7B4E" w:rsidP="00306F04">
      <w:pPr>
        <w:pStyle w:val="ListParagraph"/>
        <w:numPr>
          <w:ilvl w:val="0"/>
          <w:numId w:val="4"/>
        </w:numPr>
        <w:autoSpaceDE w:val="0"/>
        <w:autoSpaceDN w:val="0"/>
        <w:adjustRightInd w:val="0"/>
        <w:jc w:val="both"/>
        <w:rPr>
          <w:rFonts w:ascii="AppleSystemUIFont" w:eastAsiaTheme="minorHAnsi" w:hAnsi="AppleSystemUIFont" w:cs="AppleSystemUIFont"/>
          <w:lang w:eastAsia="en-US"/>
        </w:rPr>
      </w:pPr>
      <w:r w:rsidRPr="00306F04">
        <w:rPr>
          <w:rFonts w:ascii="AppleSystemUIFont" w:eastAsiaTheme="minorHAnsi" w:hAnsi="AppleSystemUIFont" w:cs="AppleSystemUIFont"/>
          <w:i/>
          <w:iCs/>
          <w:lang w:eastAsia="en-US"/>
        </w:rPr>
        <w:t>Visa</w:t>
      </w:r>
      <w:r w:rsidRPr="00306F04">
        <w:rPr>
          <w:rFonts w:ascii="AppleSystemUIFont" w:eastAsiaTheme="minorHAnsi" w:hAnsi="AppleSystemUIFont" w:cs="AppleSystemUIFont"/>
          <w:lang w:eastAsia="en-US"/>
        </w:rPr>
        <w:t xml:space="preserve"> accoun</w:t>
      </w:r>
      <w:r w:rsidR="00780EAE">
        <w:rPr>
          <w:rFonts w:ascii="AppleSystemUIFont" w:eastAsiaTheme="minorHAnsi" w:hAnsi="AppleSystemUIFont" w:cs="AppleSystemUIFont"/>
          <w:lang w:eastAsia="en-US"/>
        </w:rPr>
        <w:t>ts</w:t>
      </w:r>
      <w:r w:rsidRPr="00306F04">
        <w:rPr>
          <w:rFonts w:ascii="AppleSystemUIFont" w:eastAsiaTheme="minorHAnsi" w:hAnsi="AppleSystemUIFont" w:cs="AppleSystemUIFont"/>
          <w:lang w:eastAsia="en-US"/>
        </w:rPr>
        <w:t xml:space="preserve"> for 50%</w:t>
      </w:r>
      <w:r w:rsidR="001A54D1" w:rsidRPr="00306F04">
        <w:rPr>
          <w:rFonts w:ascii="AppleSystemUIFont" w:eastAsiaTheme="minorHAnsi" w:hAnsi="AppleSystemUIFont" w:cs="AppleSystemUIFont"/>
          <w:lang w:eastAsia="en-US"/>
        </w:rPr>
        <w:t xml:space="preserve"> </w:t>
      </w:r>
      <w:r w:rsidR="001A54D1" w:rsidRPr="00306F04">
        <w:rPr>
          <w:rFonts w:ascii="AppleSystemUIFont" w:eastAsiaTheme="minorHAnsi" w:hAnsi="AppleSystemUIFont" w:cs="AppleSystemUIFont"/>
          <w:lang w:eastAsia="en-US"/>
        </w:rPr>
        <w:t xml:space="preserve">of the </w:t>
      </w:r>
      <w:r w:rsidR="00780EAE">
        <w:rPr>
          <w:rFonts w:ascii="AppleSystemUIFont" w:eastAsiaTheme="minorHAnsi" w:hAnsi="AppleSystemUIFont" w:cs="AppleSystemUIFont"/>
          <w:b/>
          <w:bCs/>
          <w:lang w:eastAsia="en-US"/>
        </w:rPr>
        <w:t>US p</w:t>
      </w:r>
      <w:r w:rsidR="001A54D1" w:rsidRPr="00780EAE">
        <w:rPr>
          <w:rFonts w:ascii="AppleSystemUIFont" w:eastAsiaTheme="minorHAnsi" w:hAnsi="AppleSystemUIFont" w:cs="AppleSystemUIFont"/>
          <w:b/>
          <w:bCs/>
          <w:lang w:eastAsia="en-US"/>
        </w:rPr>
        <w:t>urchase volume on credit cards</w:t>
      </w:r>
      <w:r w:rsidRPr="00306F04">
        <w:rPr>
          <w:rFonts w:ascii="AppleSystemUIFont" w:eastAsiaTheme="minorHAnsi" w:hAnsi="AppleSystemUIFont" w:cs="AppleSystemUIFont"/>
          <w:lang w:eastAsia="en-US"/>
        </w:rPr>
        <w:t xml:space="preserve">, </w:t>
      </w:r>
      <w:r w:rsidRPr="00306F04">
        <w:rPr>
          <w:rFonts w:ascii="AppleSystemUIFont" w:eastAsiaTheme="minorHAnsi" w:hAnsi="AppleSystemUIFont" w:cs="AppleSystemUIFont"/>
          <w:i/>
          <w:iCs/>
          <w:lang w:eastAsia="en-US"/>
        </w:rPr>
        <w:t>Mastercard</w:t>
      </w:r>
      <w:r w:rsidRPr="00306F04">
        <w:rPr>
          <w:rFonts w:ascii="AppleSystemUIFont" w:eastAsiaTheme="minorHAnsi" w:hAnsi="AppleSystemUIFont" w:cs="AppleSystemUIFont"/>
          <w:lang w:eastAsia="en-US"/>
        </w:rPr>
        <w:t xml:space="preserve"> for 22% and </w:t>
      </w:r>
      <w:r w:rsidRPr="00306F04">
        <w:rPr>
          <w:rFonts w:ascii="AppleSystemUIFont" w:eastAsiaTheme="minorHAnsi" w:hAnsi="AppleSystemUIFont" w:cs="AppleSystemUIFont"/>
          <w:i/>
          <w:iCs/>
          <w:lang w:eastAsia="en-US"/>
        </w:rPr>
        <w:t>AMEX</w:t>
      </w:r>
      <w:r w:rsidRPr="00306F04">
        <w:rPr>
          <w:rFonts w:ascii="AppleSystemUIFont" w:eastAsiaTheme="minorHAnsi" w:hAnsi="AppleSystemUIFont" w:cs="AppleSystemUIFont"/>
          <w:lang w:eastAsia="en-US"/>
        </w:rPr>
        <w:t xml:space="preserve"> for 18%.</w:t>
      </w:r>
    </w:p>
    <w:p w14:paraId="13647D34" w14:textId="42AEF835" w:rsidR="003E7B4E" w:rsidRDefault="003E7B4E" w:rsidP="003E7B4E">
      <w:pPr>
        <w:jc w:val="both"/>
        <w:rPr>
          <w:rFonts w:ascii="AppleSystemUIFont" w:eastAsiaTheme="minorHAnsi" w:hAnsi="AppleSystemUIFont" w:cs="AppleSystemUIFont"/>
          <w:lang w:eastAsia="en-US"/>
        </w:rPr>
      </w:pPr>
    </w:p>
    <w:p w14:paraId="7B7B5F4E" w14:textId="0F882495" w:rsidR="00E441EB" w:rsidRDefault="001A54D1" w:rsidP="003001B8">
      <w:pPr>
        <w:jc w:val="both"/>
        <w:rPr>
          <w:rFonts w:ascii="Calibri" w:hAnsi="Calibri" w:cs="Calibri"/>
        </w:rPr>
      </w:pPr>
      <w:r>
        <w:rPr>
          <w:rFonts w:ascii="AppleSystemUIFont" w:eastAsiaTheme="minorHAnsi" w:hAnsi="AppleSystemUIFont" w:cs="AppleSystemUIFont"/>
          <w:lang w:eastAsia="en-US"/>
        </w:rPr>
        <w:t>The</w:t>
      </w:r>
      <w:r w:rsidR="003E7B4E">
        <w:rPr>
          <w:rFonts w:ascii="AppleSystemUIFont" w:eastAsiaTheme="minorHAnsi" w:hAnsi="AppleSystemUIFont" w:cs="AppleSystemUIFont"/>
          <w:lang w:eastAsia="en-US"/>
        </w:rPr>
        <w:t xml:space="preserve"> following table</w:t>
      </w:r>
      <w:r>
        <w:rPr>
          <w:rFonts w:ascii="AppleSystemUIFont" w:eastAsiaTheme="minorHAnsi" w:hAnsi="AppleSystemUIFont" w:cs="AppleSystemUIFont"/>
          <w:lang w:eastAsia="en-US"/>
        </w:rPr>
        <w:t xml:space="preserve"> compares the </w:t>
      </w:r>
      <w:r w:rsidRPr="001A54D1">
        <w:rPr>
          <w:rFonts w:ascii="AppleSystemUIFont" w:eastAsiaTheme="minorHAnsi" w:hAnsi="AppleSystemUIFont" w:cs="AppleSystemUIFont"/>
          <w:i/>
          <w:iCs/>
          <w:lang w:eastAsia="en-US"/>
        </w:rPr>
        <w:t>total</w:t>
      </w:r>
      <w:r>
        <w:rPr>
          <w:rFonts w:ascii="AppleSystemUIFont" w:eastAsiaTheme="minorHAnsi" w:hAnsi="AppleSystemUIFont" w:cs="AppleSystemUIFont"/>
          <w:lang w:eastAsia="en-US"/>
        </w:rPr>
        <w:t xml:space="preserve"> </w:t>
      </w:r>
      <w:r w:rsidR="003E7B4E">
        <w:rPr>
          <w:rFonts w:ascii="AppleSystemUIFont" w:eastAsiaTheme="minorHAnsi" w:hAnsi="AppleSystemUIFont" w:cs="AppleSystemUIFont"/>
          <w:i/>
          <w:iCs/>
          <w:lang w:eastAsia="en-US"/>
        </w:rPr>
        <w:t>revenue</w:t>
      </w:r>
      <w:r w:rsidR="003E7B4E">
        <w:rPr>
          <w:rFonts w:ascii="AppleSystemUIFont" w:eastAsiaTheme="minorHAnsi" w:hAnsi="AppleSystemUIFont" w:cs="AppleSystemUIFont"/>
          <w:lang w:eastAsia="en-US"/>
        </w:rPr>
        <w:t xml:space="preserve"> and</w:t>
      </w:r>
      <w:r>
        <w:rPr>
          <w:rFonts w:ascii="AppleSystemUIFont" w:eastAsiaTheme="minorHAnsi" w:hAnsi="AppleSystemUIFont" w:cs="AppleSystemUIFont"/>
          <w:lang w:eastAsia="en-US"/>
        </w:rPr>
        <w:t xml:space="preserve"> </w:t>
      </w:r>
      <w:r w:rsidRPr="001A54D1">
        <w:rPr>
          <w:rFonts w:ascii="AppleSystemUIFont" w:eastAsiaTheme="minorHAnsi" w:hAnsi="AppleSystemUIFont" w:cs="AppleSystemUIFont"/>
          <w:i/>
          <w:iCs/>
          <w:lang w:eastAsia="en-US"/>
        </w:rPr>
        <w:t>net</w:t>
      </w:r>
      <w:r>
        <w:rPr>
          <w:rFonts w:ascii="AppleSystemUIFont" w:eastAsiaTheme="minorHAnsi" w:hAnsi="AppleSystemUIFont" w:cs="AppleSystemUIFont"/>
          <w:lang w:eastAsia="en-US"/>
        </w:rPr>
        <w:t xml:space="preserve"> </w:t>
      </w:r>
      <w:r w:rsidR="003E7B4E">
        <w:rPr>
          <w:rFonts w:ascii="AppleSystemUIFont" w:eastAsiaTheme="minorHAnsi" w:hAnsi="AppleSystemUIFont" w:cs="AppleSystemUIFont"/>
          <w:i/>
          <w:iCs/>
          <w:lang w:eastAsia="en-US"/>
        </w:rPr>
        <w:t>income</w:t>
      </w:r>
      <w:r>
        <w:rPr>
          <w:rFonts w:ascii="AppleSystemUIFont" w:eastAsiaTheme="minorHAnsi" w:hAnsi="AppleSystemUIFont" w:cs="AppleSystemUIFont"/>
          <w:i/>
          <w:iCs/>
          <w:lang w:eastAsia="en-US"/>
        </w:rPr>
        <w:t xml:space="preserve"> </w:t>
      </w:r>
      <w:r w:rsidRPr="001A54D1">
        <w:rPr>
          <w:rFonts w:ascii="AppleSystemUIFont" w:eastAsiaTheme="minorHAnsi" w:hAnsi="AppleSystemUIFont" w:cs="AppleSystemUIFont"/>
          <w:lang w:eastAsia="en-US"/>
        </w:rPr>
        <w:t>for the last triennium</w:t>
      </w:r>
      <w:r w:rsidR="00E441EB">
        <w:rPr>
          <w:rFonts w:ascii="AppleSystemUIFont" w:eastAsiaTheme="minorHAnsi" w:hAnsi="AppleSystemUIFont" w:cs="AppleSystemUIFont"/>
          <w:lang w:eastAsia="en-US"/>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867"/>
        <w:gridCol w:w="867"/>
        <w:gridCol w:w="867"/>
        <w:gridCol w:w="856"/>
        <w:gridCol w:w="843"/>
        <w:gridCol w:w="834"/>
        <w:gridCol w:w="840"/>
        <w:gridCol w:w="831"/>
        <w:gridCol w:w="825"/>
      </w:tblGrid>
      <w:tr w:rsidR="00C35F4C" w14:paraId="34DE4D4B" w14:textId="77777777" w:rsidTr="00E441EB">
        <w:trPr>
          <w:trHeight w:val="147"/>
          <w:jc w:val="center"/>
        </w:trPr>
        <w:tc>
          <w:tcPr>
            <w:tcW w:w="1380" w:type="dxa"/>
            <w:shd w:val="clear" w:color="auto" w:fill="FFFFFF" w:themeFill="background1"/>
          </w:tcPr>
          <w:p w14:paraId="3B8487C3" w14:textId="77777777" w:rsidR="004F699E" w:rsidRPr="006302FF" w:rsidRDefault="004F699E" w:rsidP="00C35F4C">
            <w:pPr>
              <w:spacing w:line="276" w:lineRule="auto"/>
              <w:rPr>
                <w:rFonts w:ascii="Calibri" w:hAnsi="Calibri" w:cs="Calibri"/>
                <w:color w:val="262626" w:themeColor="text1" w:themeTint="D9"/>
                <w:sz w:val="18"/>
                <w:szCs w:val="18"/>
              </w:rPr>
            </w:pPr>
          </w:p>
        </w:tc>
        <w:tc>
          <w:tcPr>
            <w:tcW w:w="2601" w:type="dxa"/>
            <w:gridSpan w:val="3"/>
            <w:tcBorders>
              <w:bottom w:val="single" w:sz="4" w:space="0" w:color="FFD966" w:themeColor="accent4" w:themeTint="99"/>
            </w:tcBorders>
            <w:shd w:val="clear" w:color="auto" w:fill="FFE599" w:themeFill="accent4" w:themeFillTint="66"/>
          </w:tcPr>
          <w:p w14:paraId="74452DA3" w14:textId="7F995376" w:rsidR="004F699E" w:rsidRPr="006302FF" w:rsidRDefault="004F699E" w:rsidP="00C35F4C">
            <w:pPr>
              <w:spacing w:line="276" w:lineRule="auto"/>
              <w:jc w:val="center"/>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VISA</w:t>
            </w:r>
          </w:p>
        </w:tc>
        <w:tc>
          <w:tcPr>
            <w:tcW w:w="2533" w:type="dxa"/>
            <w:gridSpan w:val="3"/>
            <w:tcBorders>
              <w:bottom w:val="single" w:sz="4" w:space="0" w:color="9CC2E5" w:themeColor="accent5" w:themeTint="99"/>
            </w:tcBorders>
            <w:shd w:val="clear" w:color="auto" w:fill="BDD6EE" w:themeFill="accent5" w:themeFillTint="66"/>
          </w:tcPr>
          <w:p w14:paraId="5FC6C6B1" w14:textId="38388F5E" w:rsidR="004F699E" w:rsidRPr="006302FF" w:rsidRDefault="004F699E" w:rsidP="00C35F4C">
            <w:pPr>
              <w:spacing w:line="276" w:lineRule="auto"/>
              <w:jc w:val="center"/>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MASTERCARD</w:t>
            </w:r>
          </w:p>
        </w:tc>
        <w:tc>
          <w:tcPr>
            <w:tcW w:w="2496" w:type="dxa"/>
            <w:gridSpan w:val="3"/>
            <w:tcBorders>
              <w:bottom w:val="single" w:sz="4" w:space="0" w:color="A8D08D" w:themeColor="accent6" w:themeTint="99"/>
            </w:tcBorders>
            <w:shd w:val="clear" w:color="auto" w:fill="C5E0B3" w:themeFill="accent6" w:themeFillTint="66"/>
          </w:tcPr>
          <w:p w14:paraId="56772BF6" w14:textId="4990C01D" w:rsidR="004F699E" w:rsidRPr="006302FF" w:rsidRDefault="004F699E" w:rsidP="00C35F4C">
            <w:pPr>
              <w:spacing w:line="276" w:lineRule="auto"/>
              <w:jc w:val="center"/>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AMERICAN EXPRESS</w:t>
            </w:r>
          </w:p>
        </w:tc>
      </w:tr>
      <w:tr w:rsidR="004F699E" w14:paraId="580536B6" w14:textId="77777777" w:rsidTr="00E441EB">
        <w:trPr>
          <w:jc w:val="center"/>
        </w:trPr>
        <w:tc>
          <w:tcPr>
            <w:tcW w:w="1380" w:type="dxa"/>
            <w:shd w:val="clear" w:color="auto" w:fill="FFFFFF" w:themeFill="background1"/>
          </w:tcPr>
          <w:p w14:paraId="4F47FEB3" w14:textId="77777777" w:rsidR="004F699E" w:rsidRPr="006302FF" w:rsidRDefault="004F699E" w:rsidP="00C35F4C">
            <w:pPr>
              <w:spacing w:line="276" w:lineRule="auto"/>
              <w:rPr>
                <w:rFonts w:ascii="Calibri" w:hAnsi="Calibri" w:cs="Calibri"/>
                <w:color w:val="404040" w:themeColor="text1" w:themeTint="BF"/>
                <w:sz w:val="18"/>
                <w:szCs w:val="18"/>
              </w:rPr>
            </w:pP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18030BAC" w14:textId="77EC6C31"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2022</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47E37583" w14:textId="411FB92E"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2021</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F2CC" w:themeFill="accent4" w:themeFillTint="33"/>
          </w:tcPr>
          <w:p w14:paraId="7C200CFC" w14:textId="41D231D1"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2020</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749F1D0D" w14:textId="3D5CB8E8"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2022</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172A5F28" w14:textId="292E7140"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2021</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EEAF6" w:themeFill="accent5" w:themeFillTint="33"/>
          </w:tcPr>
          <w:p w14:paraId="4F913681" w14:textId="75BB7D56"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2020</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10E4DCD1" w14:textId="432BF74F"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2022</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36F7EB42" w14:textId="08BB66D2"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2021</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600918B1" w14:textId="186446F4" w:rsidR="004F699E" w:rsidRPr="006302FF" w:rsidRDefault="004F699E" w:rsidP="00C35F4C">
            <w:pPr>
              <w:spacing w:line="276" w:lineRule="auto"/>
              <w:jc w:val="center"/>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2020</w:t>
            </w:r>
          </w:p>
        </w:tc>
      </w:tr>
      <w:tr w:rsidR="004F699E" w14:paraId="69A75612" w14:textId="77777777" w:rsidTr="00E441EB">
        <w:trPr>
          <w:jc w:val="center"/>
        </w:trPr>
        <w:tc>
          <w:tcPr>
            <w:tcW w:w="1380" w:type="dxa"/>
            <w:shd w:val="clear" w:color="auto" w:fill="FBE4D5" w:themeFill="accent2" w:themeFillTint="33"/>
          </w:tcPr>
          <w:p w14:paraId="5B10B9FC" w14:textId="5B9F2B96" w:rsidR="004F699E" w:rsidRPr="006302FF" w:rsidRDefault="004F699E" w:rsidP="00C35F4C">
            <w:pPr>
              <w:spacing w:line="276" w:lineRule="auto"/>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US</w:t>
            </w:r>
            <w:r w:rsidR="00E600F0" w:rsidRPr="006302FF">
              <w:rPr>
                <w:rFonts w:ascii="Calibri" w:hAnsi="Calibri" w:cs="Calibri"/>
                <w:i/>
                <w:iCs/>
                <w:color w:val="404040" w:themeColor="text1" w:themeTint="BF"/>
                <w:sz w:val="18"/>
                <w:szCs w:val="18"/>
              </w:rPr>
              <w:t xml:space="preserve"> Revenue</w:t>
            </w: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2BBBD888" w14:textId="60B42110" w:rsidR="004F699E" w:rsidRPr="006302FF" w:rsidRDefault="004F699E"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12,851</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606EA708" w14:textId="1872FD2D"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11,160</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F2CC" w:themeFill="accent4" w:themeFillTint="33"/>
          </w:tcPr>
          <w:p w14:paraId="100ABEA4" w14:textId="6DD48E2E"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10,125</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0740602A" w14:textId="51FB7948"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7,809</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4BB5E2C7" w14:textId="6E087F56"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6,667</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EEAF6" w:themeFill="accent5" w:themeFillTint="33"/>
          </w:tcPr>
          <w:p w14:paraId="1BC9DCFD" w14:textId="246CF97D"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5,473</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2A2F9095" w14:textId="5EE8E138" w:rsidR="004F699E" w:rsidRPr="006302FF" w:rsidRDefault="00E600F0"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43,801</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7DCA6038" w14:textId="099057C0" w:rsidR="004F699E" w:rsidRPr="006302FF" w:rsidRDefault="00E600F0"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34,945</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57DA381B" w14:textId="14BA6A5E" w:rsidR="00E600F0" w:rsidRPr="006302FF" w:rsidRDefault="00E600F0" w:rsidP="00E600F0">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29,345</w:t>
            </w:r>
          </w:p>
        </w:tc>
      </w:tr>
      <w:tr w:rsidR="004F699E" w14:paraId="1412159F" w14:textId="77777777" w:rsidTr="00E441EB">
        <w:trPr>
          <w:jc w:val="center"/>
        </w:trPr>
        <w:tc>
          <w:tcPr>
            <w:tcW w:w="1380" w:type="dxa"/>
            <w:shd w:val="clear" w:color="auto" w:fill="FBE4D5" w:themeFill="accent2" w:themeFillTint="33"/>
          </w:tcPr>
          <w:p w14:paraId="539DF0D1" w14:textId="01756341" w:rsidR="004F699E" w:rsidRPr="006302FF" w:rsidRDefault="004F699E" w:rsidP="00C35F4C">
            <w:pPr>
              <w:spacing w:line="276" w:lineRule="auto"/>
              <w:rPr>
                <w:rFonts w:ascii="Calibri" w:hAnsi="Calibri" w:cs="Calibri"/>
                <w:i/>
                <w:iCs/>
                <w:color w:val="404040" w:themeColor="text1" w:themeTint="BF"/>
                <w:sz w:val="18"/>
                <w:szCs w:val="18"/>
              </w:rPr>
            </w:pPr>
            <w:r w:rsidRPr="006302FF">
              <w:rPr>
                <w:rFonts w:ascii="Calibri" w:hAnsi="Calibri" w:cs="Calibri"/>
                <w:i/>
                <w:iCs/>
                <w:color w:val="404040" w:themeColor="text1" w:themeTint="BF"/>
                <w:sz w:val="18"/>
                <w:szCs w:val="18"/>
              </w:rPr>
              <w:t>Int</w:t>
            </w:r>
            <w:r w:rsidR="00E600F0" w:rsidRPr="006302FF">
              <w:rPr>
                <w:rFonts w:ascii="Calibri" w:hAnsi="Calibri" w:cs="Calibri"/>
                <w:i/>
                <w:iCs/>
                <w:color w:val="404040" w:themeColor="text1" w:themeTint="BF"/>
                <w:sz w:val="18"/>
                <w:szCs w:val="18"/>
              </w:rPr>
              <w:t>l. Revenue</w:t>
            </w: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6D2C5A90" w14:textId="18449693" w:rsidR="004F699E" w:rsidRPr="006302FF" w:rsidRDefault="004F699E"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16,459</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F2CC" w:themeFill="accent4" w:themeFillTint="33"/>
          </w:tcPr>
          <w:p w14:paraId="599B41F1" w14:textId="1CC1378B"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12,945</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F2CC" w:themeFill="accent4" w:themeFillTint="33"/>
          </w:tcPr>
          <w:p w14:paraId="343DAFAA" w14:textId="20C67D9E"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11,721</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3D88E2ED" w14:textId="4AF74E06"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14,428</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47767397" w14:textId="388FFF03" w:rsidR="004F699E"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12,217</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DEEAF6" w:themeFill="accent5" w:themeFillTint="33"/>
          </w:tcPr>
          <w:p w14:paraId="263D4B5D" w14:textId="23215A6E" w:rsidR="00C35F4C" w:rsidRPr="006302FF" w:rsidRDefault="00C35F4C"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9,828</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1880EAA8" w14:textId="413BFC75" w:rsidR="004F699E" w:rsidRPr="006302FF" w:rsidRDefault="006613A2"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9,061</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24B6E787" w14:textId="5B2A4816" w:rsidR="004F699E" w:rsidRPr="006302FF" w:rsidRDefault="006613A2"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7,435</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E2EFD9" w:themeFill="accent6" w:themeFillTint="33"/>
          </w:tcPr>
          <w:p w14:paraId="17DCFE3D" w14:textId="64E30FC9" w:rsidR="004F699E" w:rsidRPr="006302FF" w:rsidRDefault="006613A2" w:rsidP="00C35F4C">
            <w:pPr>
              <w:spacing w:line="276" w:lineRule="auto"/>
              <w:jc w:val="center"/>
              <w:rPr>
                <w:rFonts w:ascii="Calibri" w:hAnsi="Calibri" w:cs="Calibri"/>
                <w:color w:val="404040" w:themeColor="text1" w:themeTint="BF"/>
                <w:sz w:val="18"/>
                <w:szCs w:val="18"/>
              </w:rPr>
            </w:pPr>
            <w:r w:rsidRPr="006302FF">
              <w:rPr>
                <w:rFonts w:ascii="Calibri" w:hAnsi="Calibri" w:cs="Calibri"/>
                <w:color w:val="404040" w:themeColor="text1" w:themeTint="BF"/>
                <w:sz w:val="18"/>
                <w:szCs w:val="18"/>
              </w:rPr>
              <w:t>6,742</w:t>
            </w:r>
          </w:p>
        </w:tc>
      </w:tr>
      <w:tr w:rsidR="004F699E" w14:paraId="592C47F6" w14:textId="77777777" w:rsidTr="00E441EB">
        <w:trPr>
          <w:jc w:val="center"/>
        </w:trPr>
        <w:tc>
          <w:tcPr>
            <w:tcW w:w="1380" w:type="dxa"/>
            <w:shd w:val="clear" w:color="auto" w:fill="F7CAAC" w:themeFill="accent2" w:themeFillTint="66"/>
          </w:tcPr>
          <w:p w14:paraId="14D435BA" w14:textId="65A9B8BE" w:rsidR="004F699E" w:rsidRPr="006302FF" w:rsidRDefault="004F699E" w:rsidP="00C35F4C">
            <w:pPr>
              <w:spacing w:line="276" w:lineRule="auto"/>
              <w:rPr>
                <w:rFonts w:ascii="Calibri" w:hAnsi="Calibri" w:cs="Calibri"/>
                <w:i/>
                <w:iCs/>
                <w:color w:val="404040" w:themeColor="text1" w:themeTint="BF"/>
                <w:sz w:val="20"/>
                <w:szCs w:val="20"/>
              </w:rPr>
            </w:pPr>
            <w:r w:rsidRPr="006302FF">
              <w:rPr>
                <w:rFonts w:ascii="Calibri" w:hAnsi="Calibri" w:cs="Calibri"/>
                <w:b/>
                <w:bCs/>
                <w:i/>
                <w:iCs/>
                <w:color w:val="404040" w:themeColor="text1" w:themeTint="BF"/>
                <w:sz w:val="20"/>
                <w:szCs w:val="20"/>
              </w:rPr>
              <w:t>Tot</w:t>
            </w:r>
            <w:r w:rsidR="00E600F0" w:rsidRPr="006302FF">
              <w:rPr>
                <w:rFonts w:ascii="Calibri" w:hAnsi="Calibri" w:cs="Calibri"/>
                <w:b/>
                <w:bCs/>
                <w:i/>
                <w:iCs/>
                <w:color w:val="404040" w:themeColor="text1" w:themeTint="BF"/>
                <w:sz w:val="20"/>
                <w:szCs w:val="20"/>
              </w:rPr>
              <w:t xml:space="preserve"> Revenue</w:t>
            </w:r>
          </w:p>
        </w:tc>
        <w:tc>
          <w:tcPr>
            <w:tcW w:w="867" w:type="dxa"/>
            <w:tcBorders>
              <w:top w:val="single" w:sz="4" w:space="0" w:color="FFD966" w:themeColor="accent4" w:themeTint="99"/>
              <w:bottom w:val="single" w:sz="4" w:space="0" w:color="FFD966" w:themeColor="accent4" w:themeTint="99"/>
              <w:right w:val="single" w:sz="4" w:space="0" w:color="FFD966" w:themeColor="accent4" w:themeTint="99"/>
            </w:tcBorders>
            <w:shd w:val="clear" w:color="auto" w:fill="FFE599" w:themeFill="accent4" w:themeFillTint="66"/>
          </w:tcPr>
          <w:p w14:paraId="2C1DE68E" w14:textId="08ED553B"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29,310</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shd w:val="clear" w:color="auto" w:fill="FFE599" w:themeFill="accent4" w:themeFillTint="66"/>
          </w:tcPr>
          <w:p w14:paraId="1222A217" w14:textId="752896DE"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24,105</w:t>
            </w:r>
          </w:p>
        </w:tc>
        <w:tc>
          <w:tcPr>
            <w:tcW w:w="867" w:type="dxa"/>
            <w:tcBorders>
              <w:top w:val="single" w:sz="4" w:space="0" w:color="FFD966" w:themeColor="accent4" w:themeTint="99"/>
              <w:left w:val="single" w:sz="4" w:space="0" w:color="FFD966" w:themeColor="accent4" w:themeTint="99"/>
              <w:bottom w:val="single" w:sz="4" w:space="0" w:color="FFD966" w:themeColor="accent4" w:themeTint="99"/>
            </w:tcBorders>
            <w:shd w:val="clear" w:color="auto" w:fill="FFE599" w:themeFill="accent4" w:themeFillTint="66"/>
          </w:tcPr>
          <w:p w14:paraId="55B1114A" w14:textId="2ABDB274"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21,846</w:t>
            </w:r>
          </w:p>
        </w:tc>
        <w:tc>
          <w:tcPr>
            <w:tcW w:w="856" w:type="dxa"/>
            <w:tcBorders>
              <w:top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tcPr>
          <w:p w14:paraId="04F121EC" w14:textId="0222BE6D"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22,237</w:t>
            </w:r>
          </w:p>
        </w:tc>
        <w:tc>
          <w:tcPr>
            <w:tcW w:w="843"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tcPr>
          <w:p w14:paraId="31AF0CA3" w14:textId="6E728649"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18,884</w:t>
            </w:r>
          </w:p>
        </w:tc>
        <w:tc>
          <w:tcPr>
            <w:tcW w:w="834" w:type="dxa"/>
            <w:tcBorders>
              <w:top w:val="single" w:sz="4" w:space="0" w:color="9CC2E5" w:themeColor="accent5" w:themeTint="99"/>
              <w:left w:val="single" w:sz="4" w:space="0" w:color="9CC2E5" w:themeColor="accent5" w:themeTint="99"/>
              <w:bottom w:val="single" w:sz="4" w:space="0" w:color="9CC2E5" w:themeColor="accent5" w:themeTint="99"/>
            </w:tcBorders>
            <w:shd w:val="clear" w:color="auto" w:fill="BDD6EE" w:themeFill="accent5" w:themeFillTint="66"/>
          </w:tcPr>
          <w:p w14:paraId="2384A202" w14:textId="1BDB09BD" w:rsidR="004F699E" w:rsidRPr="006302FF" w:rsidRDefault="00C35F4C"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15,301</w:t>
            </w:r>
          </w:p>
        </w:tc>
        <w:tc>
          <w:tcPr>
            <w:tcW w:w="840" w:type="dxa"/>
            <w:tcBorders>
              <w:top w:val="single" w:sz="4" w:space="0" w:color="A8D08D" w:themeColor="accent6" w:themeTint="99"/>
              <w:bottom w:val="single" w:sz="4" w:space="0" w:color="A8D08D" w:themeColor="accent6" w:themeTint="99"/>
              <w:right w:val="single" w:sz="4" w:space="0" w:color="A8D08D" w:themeColor="accent6" w:themeTint="99"/>
            </w:tcBorders>
            <w:shd w:val="clear" w:color="auto" w:fill="C5E0B3" w:themeFill="accent6" w:themeFillTint="66"/>
          </w:tcPr>
          <w:p w14:paraId="3247E392" w14:textId="15B69FE6" w:rsidR="004F699E" w:rsidRPr="006302FF" w:rsidRDefault="006613A2"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52,862</w:t>
            </w:r>
          </w:p>
        </w:tc>
        <w:tc>
          <w:tcPr>
            <w:tcW w:w="83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C5E0B3" w:themeFill="accent6" w:themeFillTint="66"/>
          </w:tcPr>
          <w:p w14:paraId="0AF21E66" w14:textId="6F24EECD" w:rsidR="004F699E" w:rsidRPr="006302FF" w:rsidRDefault="006613A2"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42,380</w:t>
            </w:r>
          </w:p>
        </w:tc>
        <w:tc>
          <w:tcPr>
            <w:tcW w:w="825" w:type="dxa"/>
            <w:tcBorders>
              <w:top w:val="single" w:sz="4" w:space="0" w:color="A8D08D" w:themeColor="accent6" w:themeTint="99"/>
              <w:left w:val="single" w:sz="4" w:space="0" w:color="A8D08D" w:themeColor="accent6" w:themeTint="99"/>
              <w:bottom w:val="single" w:sz="4" w:space="0" w:color="A8D08D" w:themeColor="accent6" w:themeTint="99"/>
            </w:tcBorders>
            <w:shd w:val="clear" w:color="auto" w:fill="C5E0B3" w:themeFill="accent6" w:themeFillTint="66"/>
          </w:tcPr>
          <w:p w14:paraId="0584F80A" w14:textId="4583ED27" w:rsidR="004F699E" w:rsidRPr="006302FF" w:rsidRDefault="006613A2" w:rsidP="00C35F4C">
            <w:pPr>
              <w:spacing w:line="276" w:lineRule="auto"/>
              <w:jc w:val="center"/>
              <w:rPr>
                <w:rFonts w:ascii="Calibri" w:hAnsi="Calibri" w:cs="Calibri"/>
                <w:b/>
                <w:bCs/>
                <w:color w:val="404040" w:themeColor="text1" w:themeTint="BF"/>
                <w:sz w:val="20"/>
                <w:szCs w:val="20"/>
              </w:rPr>
            </w:pPr>
            <w:r w:rsidRPr="006302FF">
              <w:rPr>
                <w:rFonts w:ascii="Calibri" w:hAnsi="Calibri" w:cs="Calibri"/>
                <w:b/>
                <w:bCs/>
                <w:color w:val="404040" w:themeColor="text1" w:themeTint="BF"/>
                <w:sz w:val="20"/>
                <w:szCs w:val="20"/>
              </w:rPr>
              <w:t>36,087</w:t>
            </w:r>
          </w:p>
        </w:tc>
      </w:tr>
      <w:tr w:rsidR="00E600F0" w14:paraId="77055A0E" w14:textId="77777777" w:rsidTr="00E441EB">
        <w:trPr>
          <w:jc w:val="center"/>
        </w:trPr>
        <w:tc>
          <w:tcPr>
            <w:tcW w:w="1380" w:type="dxa"/>
            <w:shd w:val="clear" w:color="auto" w:fill="F7CAAC" w:themeFill="accent2" w:themeFillTint="66"/>
          </w:tcPr>
          <w:p w14:paraId="0C1FC908" w14:textId="1B05A5BE" w:rsidR="00E600F0" w:rsidRPr="006302FF" w:rsidRDefault="00E600F0" w:rsidP="00C35F4C">
            <w:pPr>
              <w:spacing w:line="276" w:lineRule="auto"/>
              <w:rPr>
                <w:rFonts w:ascii="Calibri" w:hAnsi="Calibri" w:cs="Calibri"/>
                <w:b/>
                <w:bCs/>
                <w:i/>
                <w:iCs/>
                <w:color w:val="262626" w:themeColor="text1" w:themeTint="D9"/>
                <w:sz w:val="20"/>
                <w:szCs w:val="20"/>
              </w:rPr>
            </w:pPr>
            <w:r w:rsidRPr="006302FF">
              <w:rPr>
                <w:rFonts w:ascii="Calibri" w:hAnsi="Calibri" w:cs="Calibri"/>
                <w:b/>
                <w:bCs/>
                <w:i/>
                <w:iCs/>
                <w:color w:val="262626" w:themeColor="text1" w:themeTint="D9"/>
                <w:sz w:val="20"/>
                <w:szCs w:val="20"/>
              </w:rPr>
              <w:t>Net Income</w:t>
            </w:r>
          </w:p>
        </w:tc>
        <w:tc>
          <w:tcPr>
            <w:tcW w:w="867" w:type="dxa"/>
            <w:tcBorders>
              <w:top w:val="single" w:sz="4" w:space="0" w:color="FFD966" w:themeColor="accent4" w:themeTint="99"/>
              <w:right w:val="single" w:sz="4" w:space="0" w:color="FFD966" w:themeColor="accent4" w:themeTint="99"/>
            </w:tcBorders>
            <w:shd w:val="clear" w:color="auto" w:fill="FFE599" w:themeFill="accent4" w:themeFillTint="66"/>
          </w:tcPr>
          <w:p w14:paraId="3A6FE889" w14:textId="505C3BBA" w:rsidR="00E600F0" w:rsidRPr="006302FF" w:rsidRDefault="00E600F0"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14,957</w:t>
            </w:r>
          </w:p>
        </w:tc>
        <w:tc>
          <w:tcPr>
            <w:tcW w:w="867" w:type="dxa"/>
            <w:tcBorders>
              <w:top w:val="single" w:sz="4" w:space="0" w:color="FFD966" w:themeColor="accent4" w:themeTint="99"/>
              <w:left w:val="single" w:sz="4" w:space="0" w:color="FFD966" w:themeColor="accent4" w:themeTint="99"/>
              <w:right w:val="single" w:sz="4" w:space="0" w:color="FFD966" w:themeColor="accent4" w:themeTint="99"/>
            </w:tcBorders>
            <w:shd w:val="clear" w:color="auto" w:fill="FFE599" w:themeFill="accent4" w:themeFillTint="66"/>
          </w:tcPr>
          <w:p w14:paraId="7238A52F" w14:textId="6FB3A2C8" w:rsidR="00E600F0" w:rsidRPr="006302FF" w:rsidRDefault="00E600F0"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12,311</w:t>
            </w:r>
          </w:p>
        </w:tc>
        <w:tc>
          <w:tcPr>
            <w:tcW w:w="867" w:type="dxa"/>
            <w:tcBorders>
              <w:top w:val="single" w:sz="4" w:space="0" w:color="FFD966" w:themeColor="accent4" w:themeTint="99"/>
              <w:left w:val="single" w:sz="4" w:space="0" w:color="FFD966" w:themeColor="accent4" w:themeTint="99"/>
            </w:tcBorders>
            <w:shd w:val="clear" w:color="auto" w:fill="FFE599" w:themeFill="accent4" w:themeFillTint="66"/>
          </w:tcPr>
          <w:p w14:paraId="0225FEFA" w14:textId="646BA94C" w:rsidR="00E600F0" w:rsidRPr="006302FF" w:rsidRDefault="00E600F0"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10,866</w:t>
            </w:r>
          </w:p>
        </w:tc>
        <w:tc>
          <w:tcPr>
            <w:tcW w:w="856" w:type="dxa"/>
            <w:tcBorders>
              <w:top w:val="single" w:sz="4" w:space="0" w:color="9CC2E5" w:themeColor="accent5" w:themeTint="99"/>
              <w:right w:val="single" w:sz="4" w:space="0" w:color="9CC2E5" w:themeColor="accent5" w:themeTint="99"/>
            </w:tcBorders>
            <w:shd w:val="clear" w:color="auto" w:fill="BDD6EE" w:themeFill="accent5" w:themeFillTint="66"/>
          </w:tcPr>
          <w:p w14:paraId="06B37CE3" w14:textId="3B5D0157"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9,930</w:t>
            </w:r>
          </w:p>
        </w:tc>
        <w:tc>
          <w:tcPr>
            <w:tcW w:w="843" w:type="dxa"/>
            <w:tcBorders>
              <w:top w:val="single" w:sz="4" w:space="0" w:color="9CC2E5" w:themeColor="accent5" w:themeTint="99"/>
              <w:left w:val="single" w:sz="4" w:space="0" w:color="9CC2E5" w:themeColor="accent5" w:themeTint="99"/>
              <w:right w:val="single" w:sz="4" w:space="0" w:color="9CC2E5" w:themeColor="accent5" w:themeTint="99"/>
            </w:tcBorders>
            <w:shd w:val="clear" w:color="auto" w:fill="BDD6EE" w:themeFill="accent5" w:themeFillTint="66"/>
          </w:tcPr>
          <w:p w14:paraId="2ECACF8F" w14:textId="3762BA43"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8,867</w:t>
            </w:r>
          </w:p>
        </w:tc>
        <w:tc>
          <w:tcPr>
            <w:tcW w:w="834" w:type="dxa"/>
            <w:tcBorders>
              <w:top w:val="single" w:sz="4" w:space="0" w:color="9CC2E5" w:themeColor="accent5" w:themeTint="99"/>
              <w:left w:val="single" w:sz="4" w:space="0" w:color="9CC2E5" w:themeColor="accent5" w:themeTint="99"/>
            </w:tcBorders>
            <w:shd w:val="clear" w:color="auto" w:fill="BDD6EE" w:themeFill="accent5" w:themeFillTint="66"/>
          </w:tcPr>
          <w:p w14:paraId="3589692C" w14:textId="1C23F256"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6,411</w:t>
            </w:r>
          </w:p>
        </w:tc>
        <w:tc>
          <w:tcPr>
            <w:tcW w:w="840" w:type="dxa"/>
            <w:tcBorders>
              <w:top w:val="single" w:sz="4" w:space="0" w:color="A8D08D" w:themeColor="accent6" w:themeTint="99"/>
              <w:right w:val="single" w:sz="4" w:space="0" w:color="A8D08D" w:themeColor="accent6" w:themeTint="99"/>
            </w:tcBorders>
            <w:shd w:val="clear" w:color="auto" w:fill="C5E0B3" w:themeFill="accent6" w:themeFillTint="66"/>
          </w:tcPr>
          <w:p w14:paraId="73948B78" w14:textId="7B0307D9"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7,514</w:t>
            </w:r>
          </w:p>
        </w:tc>
        <w:tc>
          <w:tcPr>
            <w:tcW w:w="831"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C5E0B3" w:themeFill="accent6" w:themeFillTint="66"/>
          </w:tcPr>
          <w:p w14:paraId="24B771E2" w14:textId="4A873EDB"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8,060</w:t>
            </w:r>
          </w:p>
        </w:tc>
        <w:tc>
          <w:tcPr>
            <w:tcW w:w="825" w:type="dxa"/>
            <w:tcBorders>
              <w:top w:val="single" w:sz="4" w:space="0" w:color="A8D08D" w:themeColor="accent6" w:themeTint="99"/>
              <w:left w:val="single" w:sz="4" w:space="0" w:color="A8D08D" w:themeColor="accent6" w:themeTint="99"/>
            </w:tcBorders>
            <w:shd w:val="clear" w:color="auto" w:fill="C5E0B3" w:themeFill="accent6" w:themeFillTint="66"/>
          </w:tcPr>
          <w:p w14:paraId="2C98A52C" w14:textId="03853EBF" w:rsidR="00E600F0" w:rsidRPr="006302FF" w:rsidRDefault="006302FF" w:rsidP="00C35F4C">
            <w:pPr>
              <w:spacing w:line="276" w:lineRule="auto"/>
              <w:jc w:val="center"/>
              <w:rPr>
                <w:rFonts w:ascii="Calibri" w:hAnsi="Calibri" w:cs="Calibri"/>
                <w:b/>
                <w:bCs/>
                <w:color w:val="262626" w:themeColor="text1" w:themeTint="D9"/>
                <w:sz w:val="20"/>
                <w:szCs w:val="20"/>
              </w:rPr>
            </w:pPr>
            <w:r w:rsidRPr="006302FF">
              <w:rPr>
                <w:rFonts w:ascii="Calibri" w:hAnsi="Calibri" w:cs="Calibri"/>
                <w:b/>
                <w:bCs/>
                <w:color w:val="262626" w:themeColor="text1" w:themeTint="D9"/>
                <w:sz w:val="20"/>
                <w:szCs w:val="20"/>
              </w:rPr>
              <w:t>3,135</w:t>
            </w:r>
          </w:p>
        </w:tc>
      </w:tr>
    </w:tbl>
    <w:p w14:paraId="74EBD572" w14:textId="77777777" w:rsidR="00780EAE" w:rsidRDefault="00780EAE" w:rsidP="00B557D4">
      <w:pPr>
        <w:jc w:val="both"/>
        <w:rPr>
          <w:rFonts w:ascii="Calibri" w:hAnsi="Calibri" w:cs="Calibri"/>
        </w:rPr>
      </w:pPr>
    </w:p>
    <w:p w14:paraId="51197461" w14:textId="489E6355" w:rsidR="008F2B10" w:rsidRDefault="0050653E" w:rsidP="00B557D4">
      <w:pPr>
        <w:jc w:val="both"/>
        <w:rPr>
          <w:rFonts w:ascii="Calibri" w:hAnsi="Calibri" w:cs="Calibri"/>
        </w:rPr>
      </w:pPr>
      <w:r>
        <w:rPr>
          <w:rFonts w:ascii="Calibri" w:hAnsi="Calibri" w:cs="Calibri"/>
        </w:rPr>
        <w:t>A</w:t>
      </w:r>
      <w:r w:rsidR="006302FF">
        <w:rPr>
          <w:rFonts w:ascii="Calibri" w:hAnsi="Calibri" w:cs="Calibri"/>
        </w:rPr>
        <w:t xml:space="preserve">ll companies </w:t>
      </w:r>
      <w:r w:rsidR="00985C38">
        <w:rPr>
          <w:rFonts w:ascii="Calibri" w:hAnsi="Calibri" w:cs="Calibri"/>
        </w:rPr>
        <w:t>had</w:t>
      </w:r>
      <w:r w:rsidR="006302FF">
        <w:rPr>
          <w:rFonts w:ascii="Calibri" w:hAnsi="Calibri" w:cs="Calibri"/>
        </w:rPr>
        <w:t xml:space="preserve"> a constant growth of their revenue</w:t>
      </w:r>
      <w:r w:rsidR="00F8462E">
        <w:rPr>
          <w:rFonts w:ascii="Calibri" w:hAnsi="Calibri" w:cs="Calibri"/>
        </w:rPr>
        <w:t xml:space="preserve">, mainly due to increased </w:t>
      </w:r>
      <w:r w:rsidR="006F3740">
        <w:rPr>
          <w:rFonts w:ascii="Calibri" w:hAnsi="Calibri" w:cs="Calibri"/>
        </w:rPr>
        <w:t xml:space="preserve">reliance on </w:t>
      </w:r>
      <w:r>
        <w:rPr>
          <w:rFonts w:ascii="Calibri" w:hAnsi="Calibri" w:cs="Calibri"/>
        </w:rPr>
        <w:t xml:space="preserve">their </w:t>
      </w:r>
      <w:r w:rsidR="006F3740">
        <w:rPr>
          <w:rFonts w:ascii="Calibri" w:hAnsi="Calibri" w:cs="Calibri"/>
        </w:rPr>
        <w:t xml:space="preserve">services from business and consumer customers. </w:t>
      </w:r>
    </w:p>
    <w:p w14:paraId="10E4F340" w14:textId="77777777" w:rsidR="001E44AD" w:rsidRDefault="001E44AD" w:rsidP="00B557D4">
      <w:pPr>
        <w:jc w:val="both"/>
        <w:rPr>
          <w:rFonts w:ascii="Calibri" w:hAnsi="Calibri" w:cs="Calibri"/>
        </w:rPr>
      </w:pPr>
    </w:p>
    <w:p w14:paraId="6A559267" w14:textId="223B0D58" w:rsidR="00F80227" w:rsidRDefault="00F8462E" w:rsidP="00F80227">
      <w:pPr>
        <w:jc w:val="both"/>
        <w:rPr>
          <w:rFonts w:ascii="Calibri" w:hAnsi="Calibri" w:cs="Calibri"/>
        </w:rPr>
      </w:pPr>
      <w:r>
        <w:rPr>
          <w:rFonts w:ascii="Calibri" w:hAnsi="Calibri" w:cs="Calibri"/>
        </w:rPr>
        <w:t>Despite having a slightly slower growth compare</w:t>
      </w:r>
      <w:r w:rsidR="008F2B10">
        <w:rPr>
          <w:rFonts w:ascii="Calibri" w:hAnsi="Calibri" w:cs="Calibri"/>
        </w:rPr>
        <w:t>d</w:t>
      </w:r>
      <w:r>
        <w:rPr>
          <w:rFonts w:ascii="Calibri" w:hAnsi="Calibri" w:cs="Calibri"/>
        </w:rPr>
        <w:t xml:space="preserve"> to American Express, which also </w:t>
      </w:r>
      <w:r w:rsidR="008F2B10">
        <w:rPr>
          <w:rFonts w:ascii="Calibri" w:hAnsi="Calibri" w:cs="Calibri"/>
        </w:rPr>
        <w:t xml:space="preserve">realised </w:t>
      </w:r>
      <w:r>
        <w:rPr>
          <w:rFonts w:ascii="Calibri" w:hAnsi="Calibri" w:cs="Calibri"/>
        </w:rPr>
        <w:t xml:space="preserve">twice the revenue, Visa clearly leads the way in </w:t>
      </w:r>
      <w:r>
        <w:rPr>
          <w:rFonts w:ascii="Calibri" w:hAnsi="Calibri" w:cs="Calibri"/>
          <w:i/>
          <w:iCs/>
        </w:rPr>
        <w:t xml:space="preserve">net </w:t>
      </w:r>
      <w:r w:rsidRPr="00F8462E">
        <w:rPr>
          <w:rFonts w:ascii="Calibri" w:hAnsi="Calibri" w:cs="Calibri"/>
          <w:i/>
          <w:iCs/>
        </w:rPr>
        <w:t>income</w:t>
      </w:r>
      <w:r>
        <w:rPr>
          <w:rFonts w:ascii="Calibri" w:hAnsi="Calibri" w:cs="Calibri"/>
        </w:rPr>
        <w:t xml:space="preserve"> </w:t>
      </w:r>
      <w:r w:rsidRPr="00F8462E">
        <w:rPr>
          <w:rFonts w:ascii="Calibri" w:hAnsi="Calibri" w:cs="Calibri"/>
        </w:rPr>
        <w:t>growth</w:t>
      </w:r>
      <w:r>
        <w:rPr>
          <w:rFonts w:ascii="Calibri" w:hAnsi="Calibri" w:cs="Calibri"/>
        </w:rPr>
        <w:t xml:space="preserve"> and, most impressively, recorded twice the American Express profit</w:t>
      </w:r>
      <w:r w:rsidR="006F3740">
        <w:rPr>
          <w:rFonts w:ascii="Calibri" w:hAnsi="Calibri" w:cs="Calibri"/>
        </w:rPr>
        <w:t>. All this</w:t>
      </w:r>
      <w:r>
        <w:rPr>
          <w:rFonts w:ascii="Calibri" w:hAnsi="Calibri" w:cs="Calibri"/>
        </w:rPr>
        <w:t xml:space="preserve"> despite having almost half the revenue, denoting an astonishing effort at </w:t>
      </w:r>
      <w:r w:rsidR="008F2B10">
        <w:rPr>
          <w:rFonts w:ascii="Calibri" w:hAnsi="Calibri" w:cs="Calibri"/>
        </w:rPr>
        <w:t>containing expenses</w:t>
      </w:r>
      <w:r w:rsidR="009373DC">
        <w:rPr>
          <w:rFonts w:ascii="Calibri" w:hAnsi="Calibri" w:cs="Calibri"/>
        </w:rPr>
        <w:t xml:space="preserve">. </w:t>
      </w:r>
      <w:r w:rsidR="006F3740">
        <w:rPr>
          <w:rFonts w:ascii="Calibri" w:hAnsi="Calibri" w:cs="Calibri"/>
        </w:rPr>
        <w:t xml:space="preserve">It </w:t>
      </w:r>
      <w:r w:rsidR="008F2B10">
        <w:rPr>
          <w:rFonts w:ascii="Calibri" w:hAnsi="Calibri" w:cs="Calibri"/>
        </w:rPr>
        <w:t>is however worth noting AMEX spent 14 billion dollars in Card Member rewards</w:t>
      </w:r>
      <w:r w:rsidR="00711AC5">
        <w:rPr>
          <w:rFonts w:ascii="Calibri" w:hAnsi="Calibri" w:cs="Calibri"/>
        </w:rPr>
        <w:t xml:space="preserve">. Also, </w:t>
      </w:r>
      <w:r w:rsidR="00F80227" w:rsidRPr="00F80227">
        <w:rPr>
          <w:rFonts w:ascii="Calibri" w:hAnsi="Calibri" w:cs="Calibri"/>
        </w:rPr>
        <w:t xml:space="preserve">American Express is </w:t>
      </w:r>
      <w:r w:rsidR="00711AC5">
        <w:rPr>
          <w:rFonts w:ascii="Calibri" w:hAnsi="Calibri" w:cs="Calibri"/>
        </w:rPr>
        <w:t xml:space="preserve">both a </w:t>
      </w:r>
      <w:r w:rsidR="00F80227" w:rsidRPr="00F80227">
        <w:rPr>
          <w:rFonts w:ascii="Calibri" w:hAnsi="Calibri" w:cs="Calibri"/>
        </w:rPr>
        <w:t xml:space="preserve">credit card payment processors </w:t>
      </w:r>
      <w:r w:rsidR="00711AC5">
        <w:rPr>
          <w:rFonts w:ascii="Calibri" w:hAnsi="Calibri" w:cs="Calibri"/>
        </w:rPr>
        <w:t>and</w:t>
      </w:r>
      <w:r w:rsidR="00F80227" w:rsidRPr="00F80227">
        <w:rPr>
          <w:rFonts w:ascii="Calibri" w:hAnsi="Calibri" w:cs="Calibri"/>
        </w:rPr>
        <w:t xml:space="preserve"> issue</w:t>
      </w:r>
      <w:r w:rsidR="00711AC5">
        <w:rPr>
          <w:rFonts w:ascii="Calibri" w:hAnsi="Calibri" w:cs="Calibri"/>
        </w:rPr>
        <w:t>r</w:t>
      </w:r>
      <w:r w:rsidR="00F80227" w:rsidRPr="00F80227">
        <w:rPr>
          <w:rFonts w:ascii="Calibri" w:hAnsi="Calibri" w:cs="Calibri"/>
        </w:rPr>
        <w:t xml:space="preserve"> while Visa and Mastercard are payment processors only, operating networks used by other credit card issuers on which they rely for revenue. </w:t>
      </w:r>
    </w:p>
    <w:p w14:paraId="4E7B9F11" w14:textId="77922E8E" w:rsidR="00711AC5" w:rsidRDefault="00711AC5" w:rsidP="00F80227">
      <w:pPr>
        <w:jc w:val="both"/>
        <w:rPr>
          <w:rFonts w:ascii="Calibri" w:hAnsi="Calibri" w:cs="Calibri"/>
        </w:rPr>
      </w:pPr>
    </w:p>
    <w:p w14:paraId="3E11068E" w14:textId="519402FA" w:rsidR="00711AC5" w:rsidRPr="00F80227" w:rsidRDefault="00711AC5" w:rsidP="00711AC5">
      <w:pPr>
        <w:jc w:val="both"/>
        <w:rPr>
          <w:rFonts w:ascii="Calibri" w:hAnsi="Calibri" w:cs="Calibri"/>
        </w:rPr>
      </w:pPr>
      <w:r>
        <w:rPr>
          <w:rFonts w:ascii="Calibri" w:hAnsi="Calibri" w:cs="Calibri"/>
        </w:rPr>
        <w:t xml:space="preserve">In terms of </w:t>
      </w:r>
      <w:r w:rsidRPr="00780EAE">
        <w:rPr>
          <w:rFonts w:ascii="Calibri" w:hAnsi="Calibri" w:cs="Calibri"/>
          <w:b/>
          <w:bCs/>
          <w:i/>
          <w:iCs/>
        </w:rPr>
        <w:t>global</w:t>
      </w:r>
      <w:r w:rsidRPr="00780EAE">
        <w:rPr>
          <w:rFonts w:ascii="Calibri" w:hAnsi="Calibri" w:cs="Calibri"/>
          <w:i/>
          <w:iCs/>
        </w:rPr>
        <w:t xml:space="preserve"> market share</w:t>
      </w:r>
      <w:r>
        <w:rPr>
          <w:rFonts w:ascii="Calibri" w:hAnsi="Calibri" w:cs="Calibri"/>
        </w:rPr>
        <w:t xml:space="preserve">, </w:t>
      </w:r>
      <w:r w:rsidRPr="00711AC5">
        <w:rPr>
          <w:rFonts w:ascii="Calibri" w:hAnsi="Calibri" w:cs="Calibri"/>
        </w:rPr>
        <w:t>the</w:t>
      </w:r>
      <w:r w:rsidRPr="00711AC5">
        <w:rPr>
          <w:rFonts w:ascii="Calibri" w:hAnsi="Calibri" w:cs="Calibri"/>
        </w:rPr>
        <w:t xml:space="preserve"> biggest</w:t>
      </w:r>
      <w:r>
        <w:rPr>
          <w:rFonts w:ascii="Calibri" w:hAnsi="Calibri" w:cs="Calibri"/>
        </w:rPr>
        <w:t xml:space="preserve"> company</w:t>
      </w:r>
      <w:r w:rsidRPr="00711AC5">
        <w:rPr>
          <w:rFonts w:ascii="Calibri" w:hAnsi="Calibri" w:cs="Calibri"/>
        </w:rPr>
        <w:t xml:space="preserve"> is still Visa, </w:t>
      </w:r>
      <w:r>
        <w:rPr>
          <w:rFonts w:ascii="Calibri" w:hAnsi="Calibri" w:cs="Calibri"/>
        </w:rPr>
        <w:t xml:space="preserve">accounting for </w:t>
      </w:r>
      <w:r w:rsidRPr="00711AC5">
        <w:rPr>
          <w:rFonts w:ascii="Calibri" w:hAnsi="Calibri" w:cs="Calibri"/>
        </w:rPr>
        <w:t>40%</w:t>
      </w:r>
      <w:r>
        <w:rPr>
          <w:rFonts w:ascii="Calibri" w:hAnsi="Calibri" w:cs="Calibri"/>
        </w:rPr>
        <w:t>, but the closest competitor is now UnionPay, coming in at 32%, while Mastercard is third best with its 24%. So, this leaves just 4% for all the remaining companies.</w:t>
      </w:r>
    </w:p>
    <w:p w14:paraId="45980015" w14:textId="77777777" w:rsidR="00711AC5" w:rsidRDefault="00711AC5" w:rsidP="00B557D4">
      <w:pPr>
        <w:jc w:val="both"/>
        <w:rPr>
          <w:rFonts w:ascii="Calibri" w:hAnsi="Calibri" w:cs="Calibri"/>
        </w:rPr>
      </w:pPr>
    </w:p>
    <w:p w14:paraId="28266AD9" w14:textId="414670FE" w:rsidR="0076530E" w:rsidRPr="00AE061D" w:rsidRDefault="0076530E" w:rsidP="00AE061D">
      <w:pPr>
        <w:pStyle w:val="ListParagraph"/>
        <w:numPr>
          <w:ilvl w:val="0"/>
          <w:numId w:val="3"/>
        </w:numPr>
        <w:jc w:val="both"/>
        <w:rPr>
          <w:rFonts w:ascii="Calibri" w:hAnsi="Calibri" w:cs="Calibri"/>
          <w:b/>
          <w:bCs/>
          <w:i/>
          <w:iCs/>
        </w:rPr>
      </w:pPr>
      <w:r w:rsidRPr="00AE061D">
        <w:rPr>
          <w:rFonts w:ascii="Calibri" w:hAnsi="Calibri" w:cs="Calibri"/>
          <w:b/>
          <w:bCs/>
          <w:i/>
          <w:iCs/>
        </w:rPr>
        <w:t>Substitutes and New Markets</w:t>
      </w:r>
    </w:p>
    <w:p w14:paraId="2BE79BDA" w14:textId="77777777" w:rsidR="0076530E" w:rsidRDefault="0076530E" w:rsidP="00B557D4">
      <w:pPr>
        <w:jc w:val="both"/>
        <w:rPr>
          <w:rFonts w:ascii="Calibri" w:hAnsi="Calibri" w:cs="Calibri"/>
        </w:rPr>
      </w:pPr>
    </w:p>
    <w:p w14:paraId="41CF5260" w14:textId="7E2E5ACF" w:rsidR="00CE1DF1" w:rsidRDefault="00B557D4" w:rsidP="00CE1DF1">
      <w:pPr>
        <w:jc w:val="both"/>
        <w:rPr>
          <w:rFonts w:ascii="Calibri" w:hAnsi="Calibri" w:cs="Calibri"/>
        </w:rPr>
      </w:pPr>
      <w:r>
        <w:rPr>
          <w:rFonts w:ascii="Calibri" w:hAnsi="Calibri" w:cs="Calibri"/>
        </w:rPr>
        <w:t>In recent years, traditional credit services have been challenged by</w:t>
      </w:r>
      <w:r w:rsidRPr="00B557D4">
        <w:rPr>
          <w:rFonts w:ascii="Calibri" w:hAnsi="Calibri" w:cs="Calibri"/>
        </w:rPr>
        <w:t xml:space="preserve"> </w:t>
      </w:r>
      <w:r w:rsidRPr="00B557D4">
        <w:rPr>
          <w:rFonts w:ascii="Calibri" w:hAnsi="Calibri" w:cs="Calibri"/>
          <w:i/>
          <w:iCs/>
        </w:rPr>
        <w:t>Alternative Payment Providers</w:t>
      </w:r>
      <w:r w:rsidRPr="00B557D4">
        <w:rPr>
          <w:rFonts w:ascii="Calibri" w:eastAsiaTheme="minorHAnsi" w:hAnsi="Calibri" w:cs="Calibri"/>
          <w:lang w:eastAsia="en-US"/>
        </w:rPr>
        <w:t xml:space="preserve"> </w:t>
      </w:r>
      <w:r w:rsidRPr="007577CD">
        <w:rPr>
          <w:rFonts w:ascii="Calibri" w:eastAsiaTheme="minorHAnsi" w:hAnsi="Calibri" w:cs="Calibri"/>
          <w:lang w:eastAsia="en-US"/>
        </w:rPr>
        <w:t xml:space="preserve">such as </w:t>
      </w:r>
      <w:r w:rsidRPr="007577CD">
        <w:rPr>
          <w:rFonts w:ascii="Calibri" w:eastAsiaTheme="minorHAnsi" w:hAnsi="Calibri" w:cs="Calibri"/>
          <w:b/>
          <w:bCs/>
          <w:lang w:eastAsia="en-US"/>
        </w:rPr>
        <w:t>closed commerce ecosystems</w:t>
      </w:r>
      <w:r w:rsidRPr="007577CD">
        <w:rPr>
          <w:rFonts w:ascii="Calibri" w:eastAsiaTheme="minorHAnsi" w:hAnsi="Calibri" w:cs="Calibri"/>
          <w:lang w:eastAsia="en-US"/>
        </w:rPr>
        <w:t xml:space="preserve">, </w:t>
      </w:r>
      <w:r w:rsidRPr="007577CD">
        <w:rPr>
          <w:rFonts w:ascii="Calibri" w:eastAsiaTheme="minorHAnsi" w:hAnsi="Calibri" w:cs="Calibri"/>
          <w:b/>
          <w:bCs/>
          <w:lang w:eastAsia="en-US"/>
        </w:rPr>
        <w:t>BNPL solutions</w:t>
      </w:r>
      <w:r w:rsidRPr="007577CD">
        <w:rPr>
          <w:rFonts w:ascii="Calibri" w:eastAsiaTheme="minorHAnsi" w:hAnsi="Calibri" w:cs="Calibri"/>
          <w:lang w:eastAsia="en-US"/>
        </w:rPr>
        <w:t xml:space="preserve"> and </w:t>
      </w:r>
      <w:r w:rsidRPr="007577CD">
        <w:rPr>
          <w:rFonts w:ascii="Calibri" w:eastAsiaTheme="minorHAnsi" w:hAnsi="Calibri" w:cs="Calibri"/>
          <w:b/>
          <w:bCs/>
          <w:lang w:eastAsia="en-US"/>
        </w:rPr>
        <w:t>cryptocurrency platforms</w:t>
      </w:r>
      <w:r w:rsidR="00340376">
        <w:rPr>
          <w:rFonts w:ascii="Calibri" w:hAnsi="Calibri" w:cs="Calibri"/>
          <w:b/>
          <w:bCs/>
        </w:rPr>
        <w:t xml:space="preserve"> </w:t>
      </w:r>
      <w:r w:rsidR="00340376">
        <w:rPr>
          <w:rFonts w:ascii="Calibri" w:hAnsi="Calibri" w:cs="Calibri"/>
        </w:rPr>
        <w:t>(</w:t>
      </w:r>
      <w:r w:rsidR="00340376">
        <w:rPr>
          <w:rFonts w:ascii="Calibri" w:hAnsi="Calibri" w:cs="Calibri"/>
          <w:i/>
          <w:iCs/>
        </w:rPr>
        <w:t xml:space="preserve">PayPal, Stripe, Square </w:t>
      </w:r>
      <w:r w:rsidR="00340376">
        <w:rPr>
          <w:rFonts w:ascii="Calibri" w:hAnsi="Calibri" w:cs="Calibri"/>
        </w:rPr>
        <w:t>and more</w:t>
      </w:r>
      <w:r w:rsidR="00340376" w:rsidRPr="00340376">
        <w:rPr>
          <w:rFonts w:ascii="Calibri" w:hAnsi="Calibri" w:cs="Calibri"/>
        </w:rPr>
        <w:t>)</w:t>
      </w:r>
      <w:r w:rsidRPr="007577CD">
        <w:rPr>
          <w:rFonts w:ascii="Calibri" w:eastAsiaTheme="minorHAnsi" w:hAnsi="Calibri" w:cs="Calibri"/>
          <w:lang w:eastAsia="en-US"/>
        </w:rPr>
        <w:t xml:space="preserve">, </w:t>
      </w:r>
      <w:r>
        <w:rPr>
          <w:rFonts w:ascii="Calibri" w:hAnsi="Calibri" w:cs="Calibri"/>
        </w:rPr>
        <w:t xml:space="preserve">whose </w:t>
      </w:r>
      <w:r w:rsidRPr="007577CD">
        <w:rPr>
          <w:rFonts w:ascii="Calibri" w:eastAsiaTheme="minorHAnsi" w:hAnsi="Calibri" w:cs="Calibri"/>
          <w:lang w:eastAsia="en-US"/>
        </w:rPr>
        <w:t xml:space="preserve">primary focus </w:t>
      </w:r>
      <w:r>
        <w:rPr>
          <w:rFonts w:ascii="Calibri" w:hAnsi="Calibri" w:cs="Calibri"/>
        </w:rPr>
        <w:t>is to</w:t>
      </w:r>
      <w:r w:rsidRPr="007577CD">
        <w:rPr>
          <w:rFonts w:ascii="Calibri" w:eastAsiaTheme="minorHAnsi" w:hAnsi="Calibri" w:cs="Calibri"/>
          <w:lang w:eastAsia="en-US"/>
        </w:rPr>
        <w:t xml:space="preserve"> enabl</w:t>
      </w:r>
      <w:r>
        <w:rPr>
          <w:rFonts w:ascii="Calibri" w:hAnsi="Calibri" w:cs="Calibri"/>
        </w:rPr>
        <w:t>e</w:t>
      </w:r>
      <w:r w:rsidRPr="007577CD">
        <w:rPr>
          <w:rFonts w:ascii="Calibri" w:eastAsiaTheme="minorHAnsi" w:hAnsi="Calibri" w:cs="Calibri"/>
          <w:lang w:eastAsia="en-US"/>
        </w:rPr>
        <w:t xml:space="preserve"> payments through ecommerce and mobile channels;</w:t>
      </w:r>
      <w:r>
        <w:rPr>
          <w:rFonts w:ascii="Calibri" w:hAnsi="Calibri" w:cs="Calibri"/>
        </w:rPr>
        <w:t xml:space="preserve"> </w:t>
      </w:r>
      <w:r w:rsidR="00CE1DF1">
        <w:rPr>
          <w:rFonts w:ascii="Calibri" w:hAnsi="Calibri" w:cs="Calibri"/>
        </w:rPr>
        <w:t>moreover,</w:t>
      </w:r>
      <w:r>
        <w:rPr>
          <w:rFonts w:ascii="Calibri" w:hAnsi="Calibri" w:cs="Calibri"/>
        </w:rPr>
        <w:t xml:space="preserve"> some companies </w:t>
      </w:r>
      <w:r w:rsidRPr="007577CD">
        <w:rPr>
          <w:rFonts w:ascii="Calibri" w:eastAsiaTheme="minorHAnsi" w:hAnsi="Calibri" w:cs="Calibri"/>
          <w:lang w:eastAsia="en-US"/>
        </w:rPr>
        <w:t xml:space="preserve">are expanding </w:t>
      </w:r>
      <w:r>
        <w:rPr>
          <w:rFonts w:ascii="Calibri" w:hAnsi="Calibri" w:cs="Calibri"/>
        </w:rPr>
        <w:t xml:space="preserve">and may </w:t>
      </w:r>
      <w:r w:rsidRPr="007577CD">
        <w:rPr>
          <w:rFonts w:ascii="Calibri" w:eastAsiaTheme="minorHAnsi" w:hAnsi="Calibri" w:cs="Calibri"/>
          <w:lang w:eastAsia="en-US"/>
        </w:rPr>
        <w:t>offer physical point</w:t>
      </w:r>
      <w:r>
        <w:rPr>
          <w:rFonts w:ascii="Calibri" w:hAnsi="Calibri" w:cs="Calibri"/>
        </w:rPr>
        <w:t>s</w:t>
      </w:r>
      <w:r w:rsidRPr="007577CD">
        <w:rPr>
          <w:rFonts w:ascii="Calibri" w:eastAsiaTheme="minorHAnsi" w:hAnsi="Calibri" w:cs="Calibri"/>
          <w:lang w:eastAsia="en-US"/>
        </w:rPr>
        <w:t xml:space="preserve"> of sale. </w:t>
      </w:r>
      <w:r w:rsidR="00CE1DF1">
        <w:rPr>
          <w:rFonts w:ascii="Calibri" w:hAnsi="Calibri" w:cs="Calibri"/>
        </w:rPr>
        <w:t>These firms can either partner or compete with Visa, using Visa’s proprietary network or developing their own processing platforms.</w:t>
      </w:r>
      <w:r w:rsidRPr="007577CD">
        <w:rPr>
          <w:rFonts w:ascii="Calibri" w:eastAsiaTheme="minorHAnsi" w:hAnsi="Calibri" w:cs="Calibri"/>
          <w:lang w:eastAsia="en-US"/>
        </w:rPr>
        <w:t xml:space="preserve"> </w:t>
      </w:r>
    </w:p>
    <w:p w14:paraId="4749DAEF" w14:textId="7760DA0A" w:rsidR="00CE1DF1" w:rsidRDefault="00CE1DF1" w:rsidP="00CE1DF1">
      <w:pPr>
        <w:jc w:val="both"/>
        <w:rPr>
          <w:rFonts w:ascii="Calibri" w:hAnsi="Calibri" w:cs="Calibri"/>
        </w:rPr>
      </w:pPr>
    </w:p>
    <w:p w14:paraId="71C732AC" w14:textId="472C2503" w:rsidR="00E441EB" w:rsidRPr="006E2C94" w:rsidRDefault="00CE1DF1" w:rsidP="006E2C94">
      <w:pPr>
        <w:jc w:val="both"/>
        <w:rPr>
          <w:rFonts w:ascii="Calibri" w:hAnsi="Calibri" w:cs="Calibri"/>
        </w:rPr>
      </w:pPr>
      <w:r>
        <w:rPr>
          <w:rFonts w:ascii="Calibri" w:hAnsi="Calibri" w:cs="Calibri"/>
        </w:rPr>
        <w:t xml:space="preserve">Growing </w:t>
      </w:r>
      <w:r w:rsidR="0076530E">
        <w:rPr>
          <w:rFonts w:ascii="Calibri" w:hAnsi="Calibri" w:cs="Calibri"/>
        </w:rPr>
        <w:t xml:space="preserve">(and leading) </w:t>
      </w:r>
      <w:r>
        <w:rPr>
          <w:rFonts w:ascii="Calibri" w:hAnsi="Calibri" w:cs="Calibri"/>
        </w:rPr>
        <w:t xml:space="preserve">economies </w:t>
      </w:r>
      <w:r w:rsidR="004649B7">
        <w:rPr>
          <w:rFonts w:ascii="Calibri" w:hAnsi="Calibri" w:cs="Calibri"/>
        </w:rPr>
        <w:t xml:space="preserve">might offer fertile land to explore for </w:t>
      </w:r>
      <w:r w:rsidR="0076530E">
        <w:rPr>
          <w:rFonts w:ascii="Calibri" w:hAnsi="Calibri" w:cs="Calibri"/>
        </w:rPr>
        <w:t xml:space="preserve">the </w:t>
      </w:r>
      <w:r w:rsidR="004649B7">
        <w:rPr>
          <w:rFonts w:ascii="Calibri" w:hAnsi="Calibri" w:cs="Calibri"/>
        </w:rPr>
        <w:t>credit services</w:t>
      </w:r>
      <w:r w:rsidR="0076530E">
        <w:rPr>
          <w:rFonts w:ascii="Calibri" w:hAnsi="Calibri" w:cs="Calibri"/>
        </w:rPr>
        <w:t xml:space="preserve"> industry,</w:t>
      </w:r>
      <w:r w:rsidR="004649B7">
        <w:rPr>
          <w:rFonts w:ascii="Calibri" w:hAnsi="Calibri" w:cs="Calibri"/>
        </w:rPr>
        <w:t xml:space="preserve"> but t</w:t>
      </w:r>
      <w:r w:rsidR="00AE061D">
        <w:rPr>
          <w:rFonts w:ascii="Calibri" w:hAnsi="Calibri" w:cs="Calibri"/>
        </w:rPr>
        <w:t xml:space="preserve">he big challenge is facing </w:t>
      </w:r>
      <w:r w:rsidR="0076530E">
        <w:rPr>
          <w:rFonts w:ascii="Calibri" w:hAnsi="Calibri" w:cs="Calibri"/>
        </w:rPr>
        <w:t xml:space="preserve">both </w:t>
      </w:r>
      <w:r w:rsidR="00AE061D">
        <w:rPr>
          <w:rFonts w:ascii="Calibri" w:hAnsi="Calibri" w:cs="Calibri"/>
        </w:rPr>
        <w:t xml:space="preserve">the </w:t>
      </w:r>
      <w:r w:rsidR="00DD7821">
        <w:rPr>
          <w:rFonts w:ascii="Calibri" w:hAnsi="Calibri" w:cs="Calibri"/>
        </w:rPr>
        <w:t>fierce</w:t>
      </w:r>
      <w:r w:rsidR="004649B7">
        <w:rPr>
          <w:rFonts w:ascii="Calibri" w:hAnsi="Calibri" w:cs="Calibri"/>
        </w:rPr>
        <w:t xml:space="preserve"> competition and </w:t>
      </w:r>
      <w:r w:rsidR="00AE061D">
        <w:rPr>
          <w:rFonts w:ascii="Calibri" w:hAnsi="Calibri" w:cs="Calibri"/>
        </w:rPr>
        <w:t xml:space="preserve">the </w:t>
      </w:r>
      <w:r w:rsidR="00DD7821">
        <w:rPr>
          <w:rFonts w:ascii="Calibri" w:hAnsi="Calibri" w:cs="Calibri"/>
        </w:rPr>
        <w:t>ostracism by local government</w:t>
      </w:r>
      <w:r w:rsidR="0076530E">
        <w:rPr>
          <w:rFonts w:ascii="Calibri" w:hAnsi="Calibri" w:cs="Calibri"/>
        </w:rPr>
        <w:t xml:space="preserve">s </w:t>
      </w:r>
      <w:r w:rsidR="00AE061D">
        <w:rPr>
          <w:rFonts w:ascii="Calibri" w:hAnsi="Calibri" w:cs="Calibri"/>
        </w:rPr>
        <w:t>measures.</w:t>
      </w:r>
      <w:r w:rsidR="00FE09DA">
        <w:rPr>
          <w:rFonts w:ascii="Calibri" w:hAnsi="Calibri" w:cs="Calibri"/>
        </w:rPr>
        <w:t xml:space="preserve"> For instance, i</w:t>
      </w:r>
      <w:r w:rsidR="00DD7821" w:rsidRPr="006E2C94">
        <w:rPr>
          <w:rFonts w:ascii="Calibri" w:hAnsi="Calibri" w:cs="Calibri"/>
        </w:rPr>
        <w:t xml:space="preserve">n </w:t>
      </w:r>
      <w:r w:rsidR="00DD7821" w:rsidRPr="006E2C94">
        <w:rPr>
          <w:rFonts w:ascii="Calibri" w:hAnsi="Calibri" w:cs="Calibri"/>
          <w:b/>
          <w:bCs/>
        </w:rPr>
        <w:t>China</w:t>
      </w:r>
      <w:r w:rsidR="00DD7821" w:rsidRPr="006E2C94">
        <w:rPr>
          <w:rFonts w:ascii="Calibri" w:hAnsi="Calibri" w:cs="Calibri"/>
        </w:rPr>
        <w:t xml:space="preserve"> </w:t>
      </w:r>
      <w:r w:rsidR="00AE061D" w:rsidRPr="006E2C94">
        <w:rPr>
          <w:rFonts w:ascii="Calibri" w:hAnsi="Calibri" w:cs="Calibri"/>
        </w:rPr>
        <w:t xml:space="preserve">government-backed </w:t>
      </w:r>
      <w:r w:rsidR="00DD7821" w:rsidRPr="006E2C94">
        <w:rPr>
          <w:rFonts w:ascii="Calibri" w:hAnsi="Calibri" w:cs="Calibri"/>
          <w:i/>
          <w:iCs/>
        </w:rPr>
        <w:t>UnionPay</w:t>
      </w:r>
      <w:r w:rsidR="00DD7821" w:rsidRPr="006E2C94">
        <w:rPr>
          <w:rFonts w:ascii="Calibri" w:hAnsi="Calibri" w:cs="Calibri"/>
        </w:rPr>
        <w:t xml:space="preserve"> </w:t>
      </w:r>
      <w:r w:rsidR="00711AC5">
        <w:rPr>
          <w:rFonts w:ascii="Calibri" w:hAnsi="Calibri" w:cs="Calibri"/>
        </w:rPr>
        <w:t>(</w:t>
      </w:r>
      <w:r w:rsidR="00DD7821" w:rsidRPr="006E2C94">
        <w:rPr>
          <w:rFonts w:ascii="Calibri" w:hAnsi="Calibri" w:cs="Calibri"/>
        </w:rPr>
        <w:t>is rapidly growing and aiming for international expansion</w:t>
      </w:r>
      <w:r w:rsidR="00AE061D" w:rsidRPr="006E2C94">
        <w:rPr>
          <w:rFonts w:ascii="Calibri" w:hAnsi="Calibri" w:cs="Calibri"/>
        </w:rPr>
        <w:t xml:space="preserve">, </w:t>
      </w:r>
      <w:r w:rsidR="00DD7821" w:rsidRPr="006E2C94">
        <w:rPr>
          <w:rFonts w:ascii="Calibri" w:hAnsi="Calibri" w:cs="Calibri"/>
        </w:rPr>
        <w:t xml:space="preserve">while </w:t>
      </w:r>
      <w:r w:rsidR="00AE061D" w:rsidRPr="006E2C94">
        <w:rPr>
          <w:rFonts w:ascii="Calibri" w:hAnsi="Calibri" w:cs="Calibri"/>
        </w:rPr>
        <w:t xml:space="preserve">APPs the likes of </w:t>
      </w:r>
      <w:r w:rsidR="00DD7821" w:rsidRPr="006E2C94">
        <w:rPr>
          <w:rFonts w:ascii="Calibri" w:hAnsi="Calibri" w:cs="Calibri"/>
          <w:i/>
          <w:iCs/>
        </w:rPr>
        <w:t>Alipay</w:t>
      </w:r>
      <w:r w:rsidR="00DD7821" w:rsidRPr="006E2C94">
        <w:rPr>
          <w:rFonts w:ascii="Calibri" w:hAnsi="Calibri" w:cs="Calibri"/>
        </w:rPr>
        <w:t xml:space="preserve"> and </w:t>
      </w:r>
      <w:r w:rsidR="00DD7821" w:rsidRPr="006E2C94">
        <w:rPr>
          <w:rFonts w:ascii="Calibri" w:hAnsi="Calibri" w:cs="Calibri"/>
          <w:i/>
          <w:iCs/>
        </w:rPr>
        <w:t>WeChat Pay</w:t>
      </w:r>
      <w:r w:rsidR="00DD7821" w:rsidRPr="006E2C94">
        <w:rPr>
          <w:rFonts w:ascii="Calibri" w:hAnsi="Calibri" w:cs="Calibri"/>
        </w:rPr>
        <w:t xml:space="preserve"> expanded into ecommerce and cross-border payments. In </w:t>
      </w:r>
      <w:r w:rsidR="00DD7821" w:rsidRPr="006E2C94">
        <w:rPr>
          <w:rFonts w:ascii="Calibri" w:hAnsi="Calibri" w:cs="Calibri"/>
          <w:b/>
          <w:bCs/>
        </w:rPr>
        <w:t>India</w:t>
      </w:r>
      <w:r w:rsidR="00DD7821" w:rsidRPr="006E2C94">
        <w:rPr>
          <w:rFonts w:ascii="Calibri" w:hAnsi="Calibri" w:cs="Calibri"/>
        </w:rPr>
        <w:t xml:space="preserve">, new </w:t>
      </w:r>
      <w:r w:rsidR="00AE061D" w:rsidRPr="006E2C94">
        <w:rPr>
          <w:rFonts w:ascii="Calibri" w:hAnsi="Calibri" w:cs="Calibri"/>
        </w:rPr>
        <w:t xml:space="preserve">nationalistic </w:t>
      </w:r>
      <w:r w:rsidR="00DD7821" w:rsidRPr="006E2C94">
        <w:rPr>
          <w:rFonts w:ascii="Calibri" w:hAnsi="Calibri" w:cs="Calibri"/>
        </w:rPr>
        <w:t>regulations</w:t>
      </w:r>
      <w:r w:rsidR="00AE061D" w:rsidRPr="006E2C94">
        <w:rPr>
          <w:rFonts w:ascii="Calibri" w:hAnsi="Calibri" w:cs="Calibri"/>
        </w:rPr>
        <w:t xml:space="preserve"> </w:t>
      </w:r>
      <w:r w:rsidR="001E44AD" w:rsidRPr="006E2C94">
        <w:rPr>
          <w:rFonts w:ascii="Calibri" w:hAnsi="Calibri" w:cs="Calibri"/>
        </w:rPr>
        <w:t xml:space="preserve">might impact the company ability </w:t>
      </w:r>
      <w:r w:rsidR="00AE061D" w:rsidRPr="006E2C94">
        <w:rPr>
          <w:rFonts w:ascii="Calibri" w:hAnsi="Calibri" w:cs="Calibri"/>
        </w:rPr>
        <w:t xml:space="preserve">to compete with domestic payment providers or to </w:t>
      </w:r>
      <w:r w:rsidR="001E44AD" w:rsidRPr="006E2C94">
        <w:rPr>
          <w:rFonts w:ascii="Calibri" w:hAnsi="Calibri" w:cs="Calibri"/>
        </w:rPr>
        <w:t>conduct business</w:t>
      </w:r>
      <w:r w:rsidR="00AE061D" w:rsidRPr="006E2C94">
        <w:rPr>
          <w:rFonts w:ascii="Calibri" w:hAnsi="Calibri" w:cs="Calibri"/>
        </w:rPr>
        <w:t xml:space="preserve"> altogether</w:t>
      </w:r>
      <w:r w:rsidR="001E44AD" w:rsidRPr="006E2C94">
        <w:rPr>
          <w:rFonts w:ascii="Calibri" w:hAnsi="Calibri" w:cs="Calibri"/>
        </w:rPr>
        <w:t>.</w:t>
      </w:r>
    </w:p>
    <w:p w14:paraId="5FFDFFB8" w14:textId="2E016923" w:rsidR="00EC6D0D" w:rsidRPr="00E441EB" w:rsidRDefault="0076530E" w:rsidP="00AE061D">
      <w:pPr>
        <w:pStyle w:val="ListParagraph"/>
        <w:numPr>
          <w:ilvl w:val="0"/>
          <w:numId w:val="3"/>
        </w:numPr>
        <w:jc w:val="both"/>
        <w:rPr>
          <w:i/>
          <w:iCs/>
        </w:rPr>
      </w:pPr>
      <w:r w:rsidRPr="00AE061D">
        <w:rPr>
          <w:rFonts w:ascii="Calibri" w:hAnsi="Calibri" w:cs="Calibri"/>
          <w:b/>
          <w:bCs/>
          <w:i/>
          <w:iCs/>
          <w:color w:val="000000" w:themeColor="text1"/>
        </w:rPr>
        <w:lastRenderedPageBreak/>
        <w:t xml:space="preserve">Revenue and Cost Drivers – Industry Trends </w:t>
      </w:r>
    </w:p>
    <w:p w14:paraId="072B2DBF" w14:textId="77777777" w:rsidR="00E441EB" w:rsidRPr="00AE061D" w:rsidRDefault="00E441EB" w:rsidP="00E441EB">
      <w:pPr>
        <w:pStyle w:val="ListParagraph"/>
        <w:jc w:val="both"/>
        <w:rPr>
          <w:i/>
          <w:iCs/>
        </w:rPr>
      </w:pPr>
    </w:p>
    <w:p w14:paraId="2D59FC4C" w14:textId="3EB30C51" w:rsidR="008C382C" w:rsidRDefault="008D2B78" w:rsidP="00FA483D">
      <w:pPr>
        <w:rPr>
          <w:rFonts w:ascii="Calibri" w:hAnsi="Calibri" w:cs="Calibri"/>
        </w:rPr>
      </w:pPr>
      <w:r w:rsidRPr="004F352F">
        <w:rPr>
          <w:rFonts w:ascii="Calibri" w:hAnsi="Calibri" w:cs="Calibri"/>
          <w:noProof/>
          <w:lang w:val="en-US" w:eastAsia="en-US"/>
        </w:rPr>
        <w:drawing>
          <wp:inline distT="0" distB="0" distL="0" distR="0" wp14:anchorId="2512F86C" wp14:editId="6D55280D">
            <wp:extent cx="5735320" cy="5289331"/>
            <wp:effectExtent l="25400" t="25400" r="3048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6D7C084" w14:textId="77777777" w:rsidR="00E441EB" w:rsidRDefault="00E441EB" w:rsidP="00C2049A">
      <w:pPr>
        <w:jc w:val="both"/>
        <w:rPr>
          <w:rFonts w:ascii="Calibri" w:hAnsi="Calibri" w:cs="Calibri"/>
        </w:rPr>
      </w:pPr>
    </w:p>
    <w:p w14:paraId="2A33CFCB" w14:textId="596521CF" w:rsidR="007A1391" w:rsidRPr="007A1391" w:rsidRDefault="00C2049A" w:rsidP="007A1391">
      <w:pPr>
        <w:jc w:val="both"/>
        <w:rPr>
          <w:rFonts w:ascii="Calibri" w:hAnsi="Calibri" w:cs="Calibri"/>
        </w:rPr>
      </w:pPr>
      <w:r w:rsidRPr="00FA483D">
        <w:rPr>
          <w:rFonts w:ascii="Calibri" w:hAnsi="Calibri" w:cs="Calibri"/>
        </w:rPr>
        <w:t>Revenue increased for Visa and its competitors primarily due to year</w:t>
      </w:r>
      <w:r w:rsidR="007A1391">
        <w:rPr>
          <w:rFonts w:ascii="Calibri" w:hAnsi="Calibri" w:cs="Calibri"/>
        </w:rPr>
        <w:t xml:space="preserve"> </w:t>
      </w:r>
      <w:r w:rsidRPr="00FA483D">
        <w:rPr>
          <w:rFonts w:ascii="Calibri" w:hAnsi="Calibri" w:cs="Calibri"/>
        </w:rPr>
        <w:t>over</w:t>
      </w:r>
      <w:r w:rsidRPr="00FA483D">
        <w:rPr>
          <w:rFonts w:ascii="Calibri" w:hAnsi="Calibri" w:cs="Calibri"/>
        </w:rPr>
        <w:softHyphen/>
        <w:t xml:space="preserve"> year growth in payments volume, processed </w:t>
      </w:r>
      <w:proofErr w:type="gramStart"/>
      <w:r w:rsidR="008A4E9D" w:rsidRPr="00FA483D">
        <w:rPr>
          <w:rFonts w:ascii="Calibri" w:hAnsi="Calibri" w:cs="Calibri"/>
        </w:rPr>
        <w:t>transactions</w:t>
      </w:r>
      <w:proofErr w:type="gramEnd"/>
      <w:r w:rsidR="008A4E9D" w:rsidRPr="00FA483D">
        <w:rPr>
          <w:rFonts w:ascii="Calibri" w:hAnsi="Calibri" w:cs="Calibri"/>
        </w:rPr>
        <w:t xml:space="preserve"> </w:t>
      </w:r>
      <w:r w:rsidRPr="00FA483D">
        <w:rPr>
          <w:rFonts w:ascii="Calibri" w:hAnsi="Calibri" w:cs="Calibri"/>
        </w:rPr>
        <w:t>and cross-border volume</w:t>
      </w:r>
      <w:r w:rsidR="008274F7" w:rsidRPr="00FA483D">
        <w:rPr>
          <w:rFonts w:ascii="Calibri" w:hAnsi="Calibri" w:cs="Calibri"/>
        </w:rPr>
        <w:t xml:space="preserve"> (despite revenue being negatively impacted by</w:t>
      </w:r>
      <w:r w:rsidRPr="00FA483D">
        <w:rPr>
          <w:rFonts w:ascii="Calibri" w:hAnsi="Calibri" w:cs="Calibri"/>
        </w:rPr>
        <w:t xml:space="preserve"> higher client incentives</w:t>
      </w:r>
      <w:r w:rsidR="008274F7" w:rsidRPr="00FA483D">
        <w:rPr>
          <w:rFonts w:ascii="Calibri" w:hAnsi="Calibri" w:cs="Calibri"/>
        </w:rPr>
        <w:t>).</w:t>
      </w:r>
      <w:r w:rsidR="008274F7">
        <w:rPr>
          <w:rFonts w:ascii="Calibri" w:hAnsi="Calibri" w:cs="Calibri"/>
        </w:rPr>
        <w:t xml:space="preserve"> The suspension of operations for US companies in Russia and the unfavourable change of </w:t>
      </w:r>
      <w:r w:rsidR="008A4E9D">
        <w:rPr>
          <w:rFonts w:ascii="Calibri" w:hAnsi="Calibri" w:cs="Calibri"/>
        </w:rPr>
        <w:t xml:space="preserve">the </w:t>
      </w:r>
      <w:r w:rsidR="008274F7">
        <w:rPr>
          <w:rFonts w:ascii="Calibri" w:hAnsi="Calibri" w:cs="Calibri"/>
        </w:rPr>
        <w:t xml:space="preserve">USD </w:t>
      </w:r>
      <w:r w:rsidR="008A4E9D">
        <w:rPr>
          <w:rFonts w:ascii="Calibri" w:hAnsi="Calibri" w:cs="Calibri"/>
        </w:rPr>
        <w:t xml:space="preserve">also had partial adverse effect on revenue, </w:t>
      </w:r>
      <w:r w:rsidR="006F3740">
        <w:rPr>
          <w:rFonts w:ascii="Calibri" w:hAnsi="Calibri" w:cs="Calibri"/>
        </w:rPr>
        <w:t xml:space="preserve">though it didn’t impact </w:t>
      </w:r>
      <w:r w:rsidR="008A4E9D">
        <w:rPr>
          <w:rFonts w:ascii="Calibri" w:hAnsi="Calibri" w:cs="Calibri"/>
        </w:rPr>
        <w:t>the</w:t>
      </w:r>
      <w:r w:rsidR="006F3740">
        <w:rPr>
          <w:rFonts w:ascii="Calibri" w:hAnsi="Calibri" w:cs="Calibri"/>
        </w:rPr>
        <w:t>ir</w:t>
      </w:r>
      <w:r w:rsidR="008A4E9D">
        <w:rPr>
          <w:rFonts w:ascii="Calibri" w:hAnsi="Calibri" w:cs="Calibri"/>
        </w:rPr>
        <w:t xml:space="preserve"> upward trajectory</w:t>
      </w:r>
      <w:r w:rsidR="007A1391" w:rsidRPr="007A1391">
        <w:rPr>
          <w:rFonts w:ascii="Calibri" w:hAnsi="Calibri" w:cs="Calibri"/>
        </w:rPr>
        <w:t xml:space="preserve">. </w:t>
      </w:r>
      <w:r w:rsidR="007A1391">
        <w:rPr>
          <w:rFonts w:ascii="Calibri" w:hAnsi="Calibri" w:cs="Calibri"/>
        </w:rPr>
        <w:t>Visa’s n</w:t>
      </w:r>
      <w:r w:rsidR="007A1391" w:rsidRPr="007A1391">
        <w:rPr>
          <w:rFonts w:ascii="Calibri" w:hAnsi="Calibri" w:cs="Calibri"/>
        </w:rPr>
        <w:t>ominal payments volume</w:t>
      </w:r>
      <w:r w:rsidR="007A1391">
        <w:rPr>
          <w:rFonts w:ascii="Calibri" w:hAnsi="Calibri" w:cs="Calibri"/>
        </w:rPr>
        <w:t xml:space="preserve"> in 2022</w:t>
      </w:r>
      <w:r w:rsidR="007A1391" w:rsidRPr="007A1391">
        <w:rPr>
          <w:rFonts w:ascii="Calibri" w:hAnsi="Calibri" w:cs="Calibri"/>
        </w:rPr>
        <w:t xml:space="preserve"> was $11.6 trillion, up 12% year over year. </w:t>
      </w:r>
    </w:p>
    <w:p w14:paraId="387C7B80" w14:textId="1A9AB95D" w:rsidR="008A4E9D" w:rsidRDefault="008A4E9D" w:rsidP="00C2049A">
      <w:pPr>
        <w:jc w:val="both"/>
        <w:rPr>
          <w:rFonts w:ascii="Calibri" w:hAnsi="Calibri" w:cs="Calibri"/>
        </w:rPr>
      </w:pPr>
    </w:p>
    <w:p w14:paraId="61ED279A" w14:textId="4FA1EA07" w:rsidR="004C6CA3" w:rsidRDefault="008A4E9D" w:rsidP="00C2049A">
      <w:pPr>
        <w:jc w:val="both"/>
        <w:rPr>
          <w:rFonts w:ascii="Calibri" w:hAnsi="Calibri" w:cs="Calibri"/>
        </w:rPr>
      </w:pPr>
      <w:r>
        <w:rPr>
          <w:rFonts w:ascii="Calibri" w:hAnsi="Calibri" w:cs="Calibri"/>
        </w:rPr>
        <w:t xml:space="preserve">Higher number of employees and compensation, marketing, general and administrative expenses (and, for some companies, also litigation provisions) grew across the </w:t>
      </w:r>
      <w:r w:rsidR="00311932">
        <w:rPr>
          <w:rFonts w:ascii="Calibri" w:hAnsi="Calibri" w:cs="Calibri"/>
        </w:rPr>
        <w:t xml:space="preserve">industry, especially for its leading companies. With the constantly evolving technology and cybersecurity risks many companies </w:t>
      </w:r>
      <w:r w:rsidR="004C6CA3">
        <w:rPr>
          <w:rFonts w:ascii="Calibri" w:hAnsi="Calibri" w:cs="Calibri"/>
        </w:rPr>
        <w:t xml:space="preserve">saw a sensible growth in the </w:t>
      </w:r>
      <w:r w:rsidR="00A01C26">
        <w:rPr>
          <w:rFonts w:ascii="Calibri" w:hAnsi="Calibri" w:cs="Calibri"/>
        </w:rPr>
        <w:t>cost</w:t>
      </w:r>
      <w:r w:rsidR="004C6CA3">
        <w:rPr>
          <w:rFonts w:ascii="Calibri" w:hAnsi="Calibri" w:cs="Calibri"/>
        </w:rPr>
        <w:t xml:space="preserve"> to </w:t>
      </w:r>
      <w:r w:rsidR="00311932">
        <w:rPr>
          <w:rFonts w:ascii="Calibri" w:hAnsi="Calibri" w:cs="Calibri"/>
        </w:rPr>
        <w:t xml:space="preserve">upgrade </w:t>
      </w:r>
      <w:r w:rsidR="004C6CA3">
        <w:rPr>
          <w:rFonts w:ascii="Calibri" w:hAnsi="Calibri" w:cs="Calibri"/>
        </w:rPr>
        <w:t xml:space="preserve">and </w:t>
      </w:r>
      <w:r w:rsidR="00311932">
        <w:rPr>
          <w:rFonts w:ascii="Calibri" w:hAnsi="Calibri" w:cs="Calibri"/>
        </w:rPr>
        <w:t xml:space="preserve">upkeep </w:t>
      </w:r>
      <w:r w:rsidR="004C6CA3">
        <w:rPr>
          <w:rFonts w:ascii="Calibri" w:hAnsi="Calibri" w:cs="Calibri"/>
        </w:rPr>
        <w:t>their network.</w:t>
      </w:r>
    </w:p>
    <w:p w14:paraId="119BE23E" w14:textId="77777777" w:rsidR="006E2C94" w:rsidRDefault="006E2C94" w:rsidP="00C2049A">
      <w:pPr>
        <w:jc w:val="both"/>
        <w:rPr>
          <w:rFonts w:ascii="Calibri" w:hAnsi="Calibri" w:cs="Calibri"/>
        </w:rPr>
      </w:pPr>
    </w:p>
    <w:p w14:paraId="726C8BF2" w14:textId="022E1C95" w:rsidR="00FA483D" w:rsidRDefault="00311932" w:rsidP="00C2049A">
      <w:pPr>
        <w:jc w:val="both"/>
        <w:rPr>
          <w:rFonts w:ascii="Calibri" w:hAnsi="Calibri" w:cs="Calibri"/>
        </w:rPr>
      </w:pPr>
      <w:r>
        <w:rPr>
          <w:rFonts w:ascii="Calibri" w:hAnsi="Calibri" w:cs="Calibri"/>
        </w:rPr>
        <w:t xml:space="preserve">However, </w:t>
      </w:r>
      <w:r w:rsidR="004C6CA3">
        <w:rPr>
          <w:rFonts w:ascii="Calibri" w:hAnsi="Calibri" w:cs="Calibri"/>
        </w:rPr>
        <w:t xml:space="preserve">cost increase might be </w:t>
      </w:r>
      <w:r>
        <w:rPr>
          <w:rFonts w:ascii="Calibri" w:hAnsi="Calibri" w:cs="Calibri"/>
        </w:rPr>
        <w:t>the reflection new of growth strategies being put in place</w:t>
      </w:r>
      <w:r w:rsidR="004C6CA3">
        <w:rPr>
          <w:rFonts w:ascii="Calibri" w:hAnsi="Calibri" w:cs="Calibri"/>
        </w:rPr>
        <w:t xml:space="preserve"> and this is certainly the case for Visa, currently aiming to attract new clients and businesses on their network and expand this alongside new services being provided.</w:t>
      </w:r>
    </w:p>
    <w:p w14:paraId="3E0B2D50" w14:textId="77777777" w:rsidR="00FA483D" w:rsidRPr="00FA483D" w:rsidRDefault="00FA483D" w:rsidP="00C2049A">
      <w:pPr>
        <w:jc w:val="both"/>
        <w:rPr>
          <w:rFonts w:ascii="Calibri" w:hAnsi="Calibri" w:cs="Calibri"/>
        </w:rPr>
      </w:pPr>
    </w:p>
    <w:p w14:paraId="4329665E" w14:textId="71B0FE5B" w:rsidR="00E441EB" w:rsidRDefault="00FA483D" w:rsidP="00C2049A">
      <w:pPr>
        <w:jc w:val="both"/>
        <w:rPr>
          <w:rFonts w:ascii="Calibri" w:hAnsi="Calibri" w:cs="Calibri"/>
        </w:rPr>
      </w:pPr>
      <w:r w:rsidRPr="00BE6811">
        <w:rPr>
          <w:rFonts w:ascii="Calibri" w:hAnsi="Calibri" w:cs="Calibri"/>
        </w:rPr>
        <w:t xml:space="preserve">Based on </w:t>
      </w:r>
      <w:r w:rsidRPr="00BE6811">
        <w:rPr>
          <w:rFonts w:ascii="Calibri" w:hAnsi="Calibri" w:cs="Calibri"/>
          <w:i/>
          <w:iCs/>
        </w:rPr>
        <w:t>payments volume</w:t>
      </w:r>
      <w:r w:rsidRPr="00BE6811">
        <w:rPr>
          <w:rFonts w:ascii="Calibri" w:hAnsi="Calibri" w:cs="Calibri"/>
        </w:rPr>
        <w:t xml:space="preserve"> and </w:t>
      </w:r>
      <w:r w:rsidRPr="00BE6811">
        <w:rPr>
          <w:rFonts w:ascii="Calibri" w:hAnsi="Calibri" w:cs="Calibri"/>
          <w:i/>
          <w:iCs/>
        </w:rPr>
        <w:t>number of transactions</w:t>
      </w:r>
      <w:r w:rsidRPr="00BE6811">
        <w:rPr>
          <w:rFonts w:ascii="Calibri" w:hAnsi="Calibri" w:cs="Calibri"/>
        </w:rPr>
        <w:t xml:space="preserve">, Visa is one of the world’s largest electronic payments </w:t>
      </w:r>
      <w:proofErr w:type="gramStart"/>
      <w:r w:rsidRPr="00BE6811">
        <w:rPr>
          <w:rFonts w:ascii="Calibri" w:hAnsi="Calibri" w:cs="Calibri"/>
        </w:rPr>
        <w:t>system</w:t>
      </w:r>
      <w:proofErr w:type="gramEnd"/>
      <w:r w:rsidRPr="00BE6811">
        <w:rPr>
          <w:rFonts w:ascii="Calibri" w:hAnsi="Calibri" w:cs="Calibri"/>
        </w:rPr>
        <w:t>.</w:t>
      </w:r>
    </w:p>
    <w:p w14:paraId="6B05D7B9" w14:textId="1E2B446C" w:rsidR="00E441EB" w:rsidRPr="00E441EB" w:rsidRDefault="00E441EB" w:rsidP="00E441EB">
      <w:pPr>
        <w:pStyle w:val="ListParagraph"/>
        <w:numPr>
          <w:ilvl w:val="0"/>
          <w:numId w:val="3"/>
        </w:numPr>
        <w:jc w:val="both"/>
        <w:rPr>
          <w:rFonts w:ascii="Calibri" w:hAnsi="Calibri" w:cs="Calibri"/>
          <w:b/>
          <w:bCs/>
          <w:i/>
          <w:iCs/>
        </w:rPr>
      </w:pPr>
      <w:r w:rsidRPr="004F352F">
        <w:rPr>
          <w:rFonts w:ascii="Calibri" w:hAnsi="Calibri" w:cs="Calibri"/>
          <w:noProof/>
          <w:lang w:val="en-US" w:eastAsia="en-US"/>
        </w:rPr>
        <w:lastRenderedPageBreak/>
        <w:drawing>
          <wp:anchor distT="0" distB="0" distL="114300" distR="114300" simplePos="0" relativeHeight="251658240" behindDoc="0" locked="0" layoutInCell="1" allowOverlap="1" wp14:anchorId="09316485" wp14:editId="56691A9D">
            <wp:simplePos x="0" y="0"/>
            <wp:positionH relativeFrom="column">
              <wp:posOffset>-21590</wp:posOffset>
            </wp:positionH>
            <wp:positionV relativeFrom="paragraph">
              <wp:posOffset>203835</wp:posOffset>
            </wp:positionV>
            <wp:extent cx="6053455" cy="8982710"/>
            <wp:effectExtent l="25400" t="0" r="17145" b="0"/>
            <wp:wrapTopAndBottom/>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004C6CA3" w:rsidRPr="004C6CA3">
        <w:rPr>
          <w:rFonts w:ascii="Calibri" w:hAnsi="Calibri" w:cs="Calibri"/>
          <w:b/>
          <w:bCs/>
          <w:i/>
          <w:iCs/>
        </w:rPr>
        <w:t>SWOT Grid</w:t>
      </w:r>
    </w:p>
    <w:p w14:paraId="648858A4" w14:textId="2A997C05" w:rsidR="004C6CA3" w:rsidRPr="004C6CA3" w:rsidRDefault="004C6CA3" w:rsidP="004C6CA3">
      <w:pPr>
        <w:pStyle w:val="ListParagraph"/>
        <w:numPr>
          <w:ilvl w:val="0"/>
          <w:numId w:val="3"/>
        </w:numPr>
        <w:rPr>
          <w:rFonts w:ascii="Calibri" w:hAnsi="Calibri" w:cs="Calibri"/>
          <w:b/>
          <w:bCs/>
          <w:i/>
          <w:iCs/>
        </w:rPr>
      </w:pPr>
      <w:r w:rsidRPr="004C6CA3">
        <w:rPr>
          <w:rFonts w:ascii="Calibri" w:hAnsi="Calibri" w:cs="Calibri"/>
          <w:b/>
          <w:bCs/>
          <w:i/>
          <w:iCs/>
        </w:rPr>
        <w:lastRenderedPageBreak/>
        <w:t>PESTEL Grid</w:t>
      </w:r>
    </w:p>
    <w:p w14:paraId="5D378549" w14:textId="77777777" w:rsidR="004C6CA3" w:rsidRDefault="004C6CA3">
      <w:pPr>
        <w:rPr>
          <w:rFonts w:ascii="Calibri" w:hAnsi="Calibri" w:cs="Calibri"/>
        </w:rPr>
      </w:pPr>
    </w:p>
    <w:p w14:paraId="1CD4F8BA" w14:textId="289A5E62" w:rsidR="00632444" w:rsidRDefault="00632444">
      <w:pPr>
        <w:rPr>
          <w:rFonts w:ascii="Calibri" w:hAnsi="Calibri" w:cs="Calibri"/>
        </w:rPr>
      </w:pPr>
      <w:r>
        <w:rPr>
          <w:rFonts w:ascii="Calibri" w:hAnsi="Calibri" w:cs="Calibri"/>
          <w:noProof/>
          <w:lang w:val="en-US" w:eastAsia="en-US"/>
        </w:rPr>
        <w:drawing>
          <wp:inline distT="0" distB="0" distL="0" distR="0" wp14:anchorId="5332FF66" wp14:editId="2ECF0FC3">
            <wp:extent cx="6079253" cy="5770880"/>
            <wp:effectExtent l="0" t="0" r="29845" b="76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6018E8C" w14:textId="77777777" w:rsidR="00572265" w:rsidRPr="006613A2" w:rsidRDefault="00572265">
      <w:pPr>
        <w:rPr>
          <w:rFonts w:ascii="Calibri" w:hAnsi="Calibri" w:cs="Calibri"/>
        </w:rPr>
      </w:pPr>
    </w:p>
    <w:p w14:paraId="7672AF2A" w14:textId="53374132" w:rsidR="002E79C5" w:rsidRPr="0031181F" w:rsidRDefault="0031181F" w:rsidP="0031181F">
      <w:pPr>
        <w:pStyle w:val="ListParagraph"/>
        <w:numPr>
          <w:ilvl w:val="0"/>
          <w:numId w:val="3"/>
        </w:numPr>
        <w:rPr>
          <w:rFonts w:ascii="Calibri" w:hAnsi="Calibri" w:cs="Calibri"/>
        </w:rPr>
      </w:pPr>
      <w:r w:rsidRPr="0031181F">
        <w:rPr>
          <w:rFonts w:ascii="Calibri" w:hAnsi="Calibri" w:cs="Calibri"/>
          <w:b/>
          <w:bCs/>
          <w:i/>
          <w:iCs/>
        </w:rPr>
        <w:t>A</w:t>
      </w:r>
      <w:r w:rsidR="0014052D">
        <w:rPr>
          <w:rFonts w:ascii="Calibri" w:hAnsi="Calibri" w:cs="Calibri"/>
          <w:b/>
          <w:bCs/>
          <w:i/>
          <w:iCs/>
        </w:rPr>
        <w:t>nalysis</w:t>
      </w:r>
      <w:r w:rsidR="00AD3557">
        <w:rPr>
          <w:rFonts w:ascii="Calibri" w:hAnsi="Calibri" w:cs="Calibri"/>
          <w:b/>
          <w:bCs/>
          <w:i/>
          <w:iCs/>
        </w:rPr>
        <w:t xml:space="preserve"> and Evaluation</w:t>
      </w:r>
    </w:p>
    <w:p w14:paraId="01EBE67C" w14:textId="77777777" w:rsidR="00572265" w:rsidRDefault="00572265" w:rsidP="00A42167">
      <w:pPr>
        <w:jc w:val="both"/>
        <w:rPr>
          <w:rFonts w:ascii="Calibri" w:hAnsi="Calibri" w:cs="Calibri"/>
        </w:rPr>
      </w:pPr>
    </w:p>
    <w:p w14:paraId="05DC3892" w14:textId="0A1ED106" w:rsidR="0014052D" w:rsidRPr="00965438" w:rsidRDefault="00FD05F0" w:rsidP="00A42167">
      <w:pPr>
        <w:jc w:val="both"/>
        <w:rPr>
          <w:rFonts w:ascii="Calibri" w:hAnsi="Calibri" w:cs="Calibri"/>
          <w:sz w:val="23"/>
          <w:szCs w:val="23"/>
        </w:rPr>
      </w:pPr>
      <w:r w:rsidRPr="00965438">
        <w:rPr>
          <w:rFonts w:ascii="Calibri" w:hAnsi="Calibri" w:cs="Calibri"/>
          <w:sz w:val="23"/>
          <w:szCs w:val="23"/>
        </w:rPr>
        <w:t xml:space="preserve">Credit Services companies find themselves in a highly competitive and ever-evolving </w:t>
      </w:r>
      <w:r w:rsidR="00A42167" w:rsidRPr="00965438">
        <w:rPr>
          <w:rFonts w:ascii="Calibri" w:hAnsi="Calibri" w:cs="Calibri"/>
          <w:sz w:val="23"/>
          <w:szCs w:val="23"/>
        </w:rPr>
        <w:t>environment</w:t>
      </w:r>
      <w:r w:rsidRPr="00965438">
        <w:rPr>
          <w:rFonts w:ascii="Calibri" w:hAnsi="Calibri" w:cs="Calibri"/>
          <w:sz w:val="23"/>
          <w:szCs w:val="23"/>
        </w:rPr>
        <w:t xml:space="preserve"> in which they constantly face new challenge</w:t>
      </w:r>
      <w:r w:rsidR="00040739" w:rsidRPr="00965438">
        <w:rPr>
          <w:rFonts w:ascii="Calibri" w:hAnsi="Calibri" w:cs="Calibri"/>
          <w:sz w:val="23"/>
          <w:szCs w:val="23"/>
        </w:rPr>
        <w:t>r</w:t>
      </w:r>
      <w:r w:rsidR="00572265" w:rsidRPr="00965438">
        <w:rPr>
          <w:rFonts w:ascii="Calibri" w:hAnsi="Calibri" w:cs="Calibri"/>
          <w:sz w:val="23"/>
          <w:szCs w:val="23"/>
        </w:rPr>
        <w:t>s</w:t>
      </w:r>
      <w:r w:rsidRPr="00965438">
        <w:rPr>
          <w:rFonts w:ascii="Calibri" w:hAnsi="Calibri" w:cs="Calibri"/>
          <w:sz w:val="23"/>
          <w:szCs w:val="23"/>
        </w:rPr>
        <w:t xml:space="preserve">, adapt to new technologies </w:t>
      </w:r>
      <w:r w:rsidR="00F45F62" w:rsidRPr="00965438">
        <w:rPr>
          <w:rFonts w:ascii="Calibri" w:hAnsi="Calibri" w:cs="Calibri"/>
          <w:sz w:val="23"/>
          <w:szCs w:val="23"/>
        </w:rPr>
        <w:t xml:space="preserve">and </w:t>
      </w:r>
      <w:r w:rsidR="00A42167" w:rsidRPr="00965438">
        <w:rPr>
          <w:rFonts w:ascii="Calibri" w:hAnsi="Calibri" w:cs="Calibri"/>
          <w:sz w:val="23"/>
          <w:szCs w:val="23"/>
        </w:rPr>
        <w:t>regulations,</w:t>
      </w:r>
      <w:r w:rsidR="00F45F62" w:rsidRPr="00965438">
        <w:rPr>
          <w:rFonts w:ascii="Calibri" w:hAnsi="Calibri" w:cs="Calibri"/>
          <w:sz w:val="23"/>
          <w:szCs w:val="23"/>
        </w:rPr>
        <w:t xml:space="preserve"> and </w:t>
      </w:r>
      <w:r w:rsidR="00A42167" w:rsidRPr="00965438">
        <w:rPr>
          <w:rFonts w:ascii="Calibri" w:hAnsi="Calibri" w:cs="Calibri"/>
          <w:sz w:val="23"/>
          <w:szCs w:val="23"/>
        </w:rPr>
        <w:t>fight to retain their clients’ business and trust.</w:t>
      </w:r>
    </w:p>
    <w:p w14:paraId="7A0BD3DA" w14:textId="77777777" w:rsidR="004565C9" w:rsidRPr="00965438" w:rsidRDefault="004565C9" w:rsidP="00A42167">
      <w:pPr>
        <w:jc w:val="both"/>
        <w:rPr>
          <w:rFonts w:ascii="Calibri" w:hAnsi="Calibri" w:cs="Calibri"/>
          <w:sz w:val="23"/>
          <w:szCs w:val="23"/>
        </w:rPr>
      </w:pPr>
    </w:p>
    <w:p w14:paraId="54AF427E" w14:textId="77777777" w:rsidR="004E0D19" w:rsidRPr="00965438" w:rsidRDefault="00D15F61" w:rsidP="004565C9">
      <w:pPr>
        <w:jc w:val="both"/>
        <w:rPr>
          <w:rFonts w:ascii="Calibri" w:hAnsi="Calibri" w:cs="Calibri"/>
          <w:sz w:val="23"/>
          <w:szCs w:val="23"/>
        </w:rPr>
      </w:pPr>
      <w:r w:rsidRPr="00965438">
        <w:rPr>
          <w:rFonts w:ascii="Calibri" w:hAnsi="Calibri" w:cs="Calibri"/>
          <w:sz w:val="23"/>
          <w:szCs w:val="23"/>
        </w:rPr>
        <w:t>Despite o</w:t>
      </w:r>
      <w:r w:rsidR="004E0D19" w:rsidRPr="00965438">
        <w:rPr>
          <w:rFonts w:ascii="Calibri" w:hAnsi="Calibri" w:cs="Calibri"/>
          <w:sz w:val="23"/>
          <w:szCs w:val="23"/>
        </w:rPr>
        <w:t>ffering a multitude of services, e</w:t>
      </w:r>
      <w:r w:rsidR="004565C9" w:rsidRPr="00965438">
        <w:rPr>
          <w:rFonts w:ascii="Calibri" w:hAnsi="Calibri" w:cs="Calibri"/>
          <w:sz w:val="23"/>
          <w:szCs w:val="23"/>
        </w:rPr>
        <w:t xml:space="preserve">ach </w:t>
      </w:r>
      <w:r w:rsidRPr="00965438">
        <w:rPr>
          <w:rFonts w:ascii="Calibri" w:hAnsi="Calibri" w:cs="Calibri"/>
          <w:sz w:val="23"/>
          <w:szCs w:val="23"/>
        </w:rPr>
        <w:t xml:space="preserve">company </w:t>
      </w:r>
      <w:r w:rsidR="004E0D19" w:rsidRPr="00965438">
        <w:rPr>
          <w:rFonts w:ascii="Calibri" w:hAnsi="Calibri" w:cs="Calibri"/>
          <w:sz w:val="23"/>
          <w:szCs w:val="23"/>
        </w:rPr>
        <w:t>focuses</w:t>
      </w:r>
      <w:r w:rsidRPr="00965438">
        <w:rPr>
          <w:rFonts w:ascii="Calibri" w:hAnsi="Calibri" w:cs="Calibri"/>
          <w:sz w:val="23"/>
          <w:szCs w:val="23"/>
        </w:rPr>
        <w:t xml:space="preserve"> on a more specialised </w:t>
      </w:r>
      <w:r w:rsidR="004E0D19" w:rsidRPr="00965438">
        <w:rPr>
          <w:rFonts w:ascii="Calibri" w:hAnsi="Calibri" w:cs="Calibri"/>
          <w:sz w:val="23"/>
          <w:szCs w:val="23"/>
        </w:rPr>
        <w:t>area</w:t>
      </w:r>
      <w:r w:rsidRPr="00965438">
        <w:rPr>
          <w:rFonts w:ascii="Calibri" w:hAnsi="Calibri" w:cs="Calibri"/>
          <w:sz w:val="23"/>
          <w:szCs w:val="23"/>
        </w:rPr>
        <w:t xml:space="preserve"> of the industry</w:t>
      </w:r>
      <w:r w:rsidR="00040739" w:rsidRPr="00965438">
        <w:rPr>
          <w:rFonts w:ascii="Calibri" w:hAnsi="Calibri" w:cs="Calibri"/>
          <w:sz w:val="23"/>
          <w:szCs w:val="23"/>
        </w:rPr>
        <w:t>; f</w:t>
      </w:r>
      <w:r w:rsidR="004565C9" w:rsidRPr="00965438">
        <w:rPr>
          <w:rFonts w:ascii="Calibri" w:hAnsi="Calibri" w:cs="Calibri"/>
          <w:sz w:val="23"/>
          <w:szCs w:val="23"/>
        </w:rPr>
        <w:t>or instance, while Visa and Mastercard compete in the broader payment technology, American Express focuses on the premium card segment</w:t>
      </w:r>
      <w:r w:rsidR="004E0D19" w:rsidRPr="00965438">
        <w:rPr>
          <w:rFonts w:ascii="Calibri" w:hAnsi="Calibri" w:cs="Calibri"/>
          <w:sz w:val="23"/>
          <w:szCs w:val="23"/>
        </w:rPr>
        <w:t xml:space="preserve">, </w:t>
      </w:r>
      <w:r w:rsidR="004565C9" w:rsidRPr="00965438">
        <w:rPr>
          <w:rFonts w:ascii="Calibri" w:hAnsi="Calibri" w:cs="Calibri"/>
          <w:sz w:val="23"/>
          <w:szCs w:val="23"/>
        </w:rPr>
        <w:t xml:space="preserve">and other companies like PayPal </w:t>
      </w:r>
      <w:r w:rsidR="004E0D19" w:rsidRPr="00965438">
        <w:rPr>
          <w:rFonts w:ascii="Calibri" w:hAnsi="Calibri" w:cs="Calibri"/>
          <w:sz w:val="23"/>
          <w:szCs w:val="23"/>
        </w:rPr>
        <w:t>provide</w:t>
      </w:r>
      <w:r w:rsidR="004565C9" w:rsidRPr="00965438">
        <w:rPr>
          <w:rFonts w:ascii="Calibri" w:hAnsi="Calibri" w:cs="Calibri"/>
          <w:sz w:val="23"/>
          <w:szCs w:val="23"/>
        </w:rPr>
        <w:t xml:space="preserve"> digital payment solutions.</w:t>
      </w:r>
    </w:p>
    <w:p w14:paraId="4EE6C9FC" w14:textId="77777777" w:rsidR="004E0D19" w:rsidRPr="00965438" w:rsidRDefault="004E0D19" w:rsidP="004565C9">
      <w:pPr>
        <w:jc w:val="both"/>
        <w:rPr>
          <w:rFonts w:ascii="Calibri" w:hAnsi="Calibri" w:cs="Calibri"/>
          <w:sz w:val="23"/>
          <w:szCs w:val="23"/>
        </w:rPr>
      </w:pPr>
    </w:p>
    <w:p w14:paraId="6FB0A9C3" w14:textId="7D1141A0" w:rsidR="008879AD" w:rsidRPr="00965438" w:rsidRDefault="004E0D19" w:rsidP="004565C9">
      <w:pPr>
        <w:jc w:val="both"/>
        <w:rPr>
          <w:rFonts w:ascii="Calibri" w:hAnsi="Calibri" w:cs="Calibri"/>
          <w:sz w:val="23"/>
          <w:szCs w:val="23"/>
        </w:rPr>
      </w:pPr>
      <w:r w:rsidRPr="00965438">
        <w:rPr>
          <w:rFonts w:ascii="Calibri" w:hAnsi="Calibri" w:cs="Calibri"/>
          <w:sz w:val="23"/>
          <w:szCs w:val="23"/>
        </w:rPr>
        <w:t xml:space="preserve">Each </w:t>
      </w:r>
      <w:r w:rsidR="00D15F61" w:rsidRPr="00965438">
        <w:rPr>
          <w:rFonts w:ascii="Calibri" w:hAnsi="Calibri" w:cs="Calibri"/>
          <w:sz w:val="23"/>
          <w:szCs w:val="23"/>
        </w:rPr>
        <w:t>company employs unique strategies</w:t>
      </w:r>
      <w:r w:rsidRPr="00965438">
        <w:rPr>
          <w:rFonts w:ascii="Calibri" w:hAnsi="Calibri" w:cs="Calibri"/>
          <w:sz w:val="23"/>
          <w:szCs w:val="23"/>
        </w:rPr>
        <w:t xml:space="preserve"> </w:t>
      </w:r>
      <w:r w:rsidR="00D15F61" w:rsidRPr="00965438">
        <w:rPr>
          <w:rFonts w:ascii="Calibri" w:hAnsi="Calibri" w:cs="Calibri"/>
          <w:sz w:val="23"/>
          <w:szCs w:val="23"/>
        </w:rPr>
        <w:t>to maintain and enhance its market position</w:t>
      </w:r>
      <w:r w:rsidRPr="00965438">
        <w:rPr>
          <w:rFonts w:ascii="Calibri" w:hAnsi="Calibri" w:cs="Calibri"/>
          <w:sz w:val="23"/>
          <w:szCs w:val="23"/>
        </w:rPr>
        <w:t xml:space="preserve">. </w:t>
      </w:r>
      <w:r w:rsidR="004565C9" w:rsidRPr="00965438">
        <w:rPr>
          <w:rFonts w:ascii="Calibri" w:hAnsi="Calibri" w:cs="Calibri"/>
          <w:sz w:val="23"/>
          <w:szCs w:val="23"/>
        </w:rPr>
        <w:t xml:space="preserve">Visa and its closest competitors are investing a lot of effort and resources to keep up with </w:t>
      </w:r>
      <w:r w:rsidR="00040739" w:rsidRPr="00965438">
        <w:rPr>
          <w:rFonts w:ascii="Calibri" w:hAnsi="Calibri" w:cs="Calibri"/>
          <w:sz w:val="23"/>
          <w:szCs w:val="23"/>
        </w:rPr>
        <w:t xml:space="preserve">the market </w:t>
      </w:r>
      <w:r w:rsidR="004565C9" w:rsidRPr="00965438">
        <w:rPr>
          <w:rFonts w:ascii="Calibri" w:hAnsi="Calibri" w:cs="Calibri"/>
          <w:sz w:val="23"/>
          <w:szCs w:val="23"/>
        </w:rPr>
        <w:t>variables so to retain the</w:t>
      </w:r>
      <w:r w:rsidRPr="00965438">
        <w:rPr>
          <w:rFonts w:ascii="Calibri" w:hAnsi="Calibri" w:cs="Calibri"/>
          <w:sz w:val="23"/>
          <w:szCs w:val="23"/>
        </w:rPr>
        <w:t>ir</w:t>
      </w:r>
      <w:r w:rsidR="004565C9" w:rsidRPr="00965438">
        <w:rPr>
          <w:rFonts w:ascii="Calibri" w:hAnsi="Calibri" w:cs="Calibri"/>
          <w:sz w:val="23"/>
          <w:szCs w:val="23"/>
        </w:rPr>
        <w:t xml:space="preserve"> crown of market leaders</w:t>
      </w:r>
      <w:r w:rsidRPr="00965438">
        <w:rPr>
          <w:rFonts w:ascii="Calibri" w:hAnsi="Calibri" w:cs="Calibri"/>
          <w:sz w:val="23"/>
          <w:szCs w:val="23"/>
        </w:rPr>
        <w:t>; m</w:t>
      </w:r>
      <w:r w:rsidR="004565C9" w:rsidRPr="00965438">
        <w:rPr>
          <w:rFonts w:ascii="Calibri" w:hAnsi="Calibri" w:cs="Calibri"/>
          <w:sz w:val="23"/>
          <w:szCs w:val="23"/>
        </w:rPr>
        <w:t>ost of their strateg</w:t>
      </w:r>
      <w:r w:rsidR="009E51F6" w:rsidRPr="00965438">
        <w:rPr>
          <w:rFonts w:ascii="Calibri" w:hAnsi="Calibri" w:cs="Calibri"/>
          <w:sz w:val="23"/>
          <w:szCs w:val="23"/>
        </w:rPr>
        <w:t>y</w:t>
      </w:r>
      <w:r w:rsidR="004565C9" w:rsidRPr="00965438">
        <w:rPr>
          <w:rFonts w:ascii="Calibri" w:hAnsi="Calibri" w:cs="Calibri"/>
          <w:sz w:val="23"/>
          <w:szCs w:val="23"/>
        </w:rPr>
        <w:t xml:space="preserve"> revolve</w:t>
      </w:r>
      <w:r w:rsidR="009E51F6" w:rsidRPr="00965438">
        <w:rPr>
          <w:rFonts w:ascii="Calibri" w:hAnsi="Calibri" w:cs="Calibri"/>
          <w:sz w:val="23"/>
          <w:szCs w:val="23"/>
        </w:rPr>
        <w:t>s</w:t>
      </w:r>
      <w:r w:rsidR="004565C9" w:rsidRPr="00965438">
        <w:rPr>
          <w:rFonts w:ascii="Calibri" w:hAnsi="Calibri" w:cs="Calibri"/>
          <w:sz w:val="23"/>
          <w:szCs w:val="23"/>
        </w:rPr>
        <w:t xml:space="preserve"> around extensions of the</w:t>
      </w:r>
      <w:r w:rsidR="00040739" w:rsidRPr="00965438">
        <w:rPr>
          <w:rFonts w:ascii="Calibri" w:hAnsi="Calibri" w:cs="Calibri"/>
          <w:sz w:val="23"/>
          <w:szCs w:val="23"/>
        </w:rPr>
        <w:t>ir</w:t>
      </w:r>
      <w:r w:rsidR="004565C9" w:rsidRPr="00965438">
        <w:rPr>
          <w:rFonts w:ascii="Calibri" w:hAnsi="Calibri" w:cs="Calibri"/>
          <w:sz w:val="23"/>
          <w:szCs w:val="23"/>
        </w:rPr>
        <w:t xml:space="preserve"> services, diversification of customers and geographies and expansion in new areas and technologies. </w:t>
      </w:r>
    </w:p>
    <w:p w14:paraId="29A41A07" w14:textId="63D6DBB5" w:rsidR="00E441EB" w:rsidRPr="00965438" w:rsidRDefault="00E441EB" w:rsidP="00E441EB">
      <w:pPr>
        <w:autoSpaceDE w:val="0"/>
        <w:autoSpaceDN w:val="0"/>
        <w:adjustRightInd w:val="0"/>
        <w:jc w:val="both"/>
        <w:rPr>
          <w:rFonts w:ascii="AppleSystemUIFont" w:eastAsiaTheme="minorHAnsi" w:hAnsi="AppleSystemUIFont" w:cs="AppleSystemUIFont"/>
          <w:sz w:val="23"/>
          <w:szCs w:val="23"/>
          <w:lang w:eastAsia="en-US"/>
        </w:rPr>
      </w:pPr>
      <w:r w:rsidRPr="00965438">
        <w:rPr>
          <w:rFonts w:ascii="AppleSystemUIFont" w:eastAsiaTheme="minorHAnsi" w:hAnsi="AppleSystemUIFont" w:cs="AppleSystemUIFont"/>
          <w:sz w:val="23"/>
          <w:szCs w:val="23"/>
          <w:lang w:eastAsia="en-US"/>
        </w:rPr>
        <w:lastRenderedPageBreak/>
        <w:t xml:space="preserve">In detail, </w:t>
      </w:r>
      <w:r w:rsidRPr="00965438">
        <w:rPr>
          <w:rFonts w:ascii="AppleSystemUIFont" w:eastAsiaTheme="minorHAnsi" w:hAnsi="AppleSystemUIFont" w:cs="AppleSystemUIFont"/>
          <w:b/>
          <w:bCs/>
          <w:sz w:val="23"/>
          <w:szCs w:val="23"/>
          <w:lang w:eastAsia="en-US"/>
        </w:rPr>
        <w:t>Visa</w:t>
      </w:r>
      <w:r w:rsidRPr="00965438">
        <w:rPr>
          <w:rFonts w:ascii="AppleSystemUIFont" w:eastAsiaTheme="minorHAnsi" w:hAnsi="AppleSystemUIFont" w:cs="AppleSystemUIFont"/>
          <w:sz w:val="23"/>
          <w:szCs w:val="23"/>
          <w:lang w:eastAsia="en-US"/>
        </w:rPr>
        <w:t xml:space="preserve"> strategy is to expand their core business consisting of </w:t>
      </w:r>
      <w:r w:rsidRPr="00965438">
        <w:rPr>
          <w:rFonts w:ascii="AppleSystemUIFont" w:eastAsiaTheme="minorHAnsi" w:hAnsi="AppleSystemUIFont" w:cs="AppleSystemUIFont"/>
          <w:i/>
          <w:iCs/>
          <w:sz w:val="23"/>
          <w:szCs w:val="23"/>
          <w:lang w:eastAsia="en-US"/>
        </w:rPr>
        <w:t>Core Products</w:t>
      </w:r>
      <w:r w:rsidRPr="00965438">
        <w:rPr>
          <w:rFonts w:ascii="AppleSystemUIFont" w:eastAsiaTheme="minorHAnsi" w:hAnsi="AppleSystemUIFont" w:cs="AppleSystemUIFont"/>
          <w:sz w:val="23"/>
          <w:szCs w:val="23"/>
          <w:lang w:eastAsia="en-US"/>
        </w:rPr>
        <w:t xml:space="preserve"> (cards), Tap to Pay </w:t>
      </w:r>
      <w:r w:rsidRPr="00965438">
        <w:rPr>
          <w:rFonts w:ascii="AppleSystemUIFont" w:eastAsiaTheme="minorHAnsi" w:hAnsi="AppleSystemUIFont" w:cs="AppleSystemUIFont"/>
          <w:i/>
          <w:iCs/>
          <w:sz w:val="23"/>
          <w:szCs w:val="23"/>
          <w:lang w:eastAsia="en-US"/>
        </w:rPr>
        <w:t>Technology</w:t>
      </w:r>
      <w:r w:rsidRPr="00965438">
        <w:rPr>
          <w:rFonts w:ascii="AppleSystemUIFont" w:eastAsiaTheme="minorHAnsi" w:hAnsi="AppleSystemUIFont" w:cs="AppleSystemUIFont"/>
          <w:sz w:val="23"/>
          <w:szCs w:val="23"/>
          <w:lang w:eastAsia="en-US"/>
        </w:rPr>
        <w:t xml:space="preserve">, </w:t>
      </w:r>
      <w:r w:rsidRPr="00965438">
        <w:rPr>
          <w:rFonts w:ascii="AppleSystemUIFont" w:eastAsiaTheme="minorHAnsi" w:hAnsi="AppleSystemUIFont" w:cs="AppleSystemUIFont"/>
          <w:i/>
          <w:iCs/>
          <w:sz w:val="23"/>
          <w:szCs w:val="23"/>
          <w:lang w:eastAsia="en-US"/>
        </w:rPr>
        <w:t>e-commerce</w:t>
      </w:r>
      <w:r w:rsidRPr="00965438">
        <w:rPr>
          <w:rFonts w:ascii="AppleSystemUIFont" w:eastAsiaTheme="minorHAnsi" w:hAnsi="AppleSystemUIFont" w:cs="AppleSystemUIFont"/>
          <w:sz w:val="23"/>
          <w:szCs w:val="23"/>
          <w:lang w:eastAsia="en-US"/>
        </w:rPr>
        <w:t xml:space="preserve"> (outpacing physical retail), </w:t>
      </w:r>
      <w:r w:rsidRPr="00965438">
        <w:rPr>
          <w:rFonts w:ascii="AppleSystemUIFont" w:eastAsiaTheme="minorHAnsi" w:hAnsi="AppleSystemUIFont" w:cs="AppleSystemUIFont"/>
          <w:i/>
          <w:iCs/>
          <w:sz w:val="23"/>
          <w:szCs w:val="23"/>
          <w:lang w:eastAsia="en-US"/>
        </w:rPr>
        <w:t>Access &amp; Acceptance</w:t>
      </w:r>
      <w:r w:rsidRPr="00965438">
        <w:rPr>
          <w:rFonts w:ascii="AppleSystemUIFont" w:eastAsiaTheme="minorHAnsi" w:hAnsi="AppleSystemUIFont" w:cs="AppleSystemUIFont"/>
          <w:sz w:val="23"/>
          <w:szCs w:val="23"/>
          <w:lang w:eastAsia="en-US"/>
        </w:rPr>
        <w:t xml:space="preserve"> (new markets), </w:t>
      </w:r>
      <w:r w:rsidRPr="00965438">
        <w:rPr>
          <w:rFonts w:ascii="AppleSystemUIFont" w:eastAsiaTheme="minorHAnsi" w:hAnsi="AppleSystemUIFont" w:cs="AppleSystemUIFont"/>
          <w:i/>
          <w:iCs/>
          <w:sz w:val="23"/>
          <w:szCs w:val="23"/>
          <w:lang w:eastAsia="en-US"/>
        </w:rPr>
        <w:t>Partnerships</w:t>
      </w:r>
      <w:r w:rsidRPr="00965438">
        <w:rPr>
          <w:rFonts w:ascii="AppleSystemUIFont" w:eastAsiaTheme="minorHAnsi" w:hAnsi="AppleSystemUIFont" w:cs="AppleSystemUIFont"/>
          <w:sz w:val="23"/>
          <w:szCs w:val="23"/>
          <w:lang w:eastAsia="en-US"/>
        </w:rPr>
        <w:t xml:space="preserve"> (through fintech development) and </w:t>
      </w:r>
      <w:r w:rsidRPr="00965438">
        <w:rPr>
          <w:rFonts w:ascii="AppleSystemUIFont" w:eastAsiaTheme="minorHAnsi" w:hAnsi="AppleSystemUIFont" w:cs="AppleSystemUIFont"/>
          <w:i/>
          <w:iCs/>
          <w:sz w:val="23"/>
          <w:szCs w:val="23"/>
          <w:lang w:eastAsia="en-US"/>
        </w:rPr>
        <w:t>Ventures</w:t>
      </w:r>
      <w:r w:rsidRPr="00965438">
        <w:rPr>
          <w:rFonts w:ascii="AppleSystemUIFont" w:eastAsiaTheme="minorHAnsi" w:hAnsi="AppleSystemUIFont" w:cs="AppleSystemUIFont"/>
          <w:sz w:val="23"/>
          <w:szCs w:val="23"/>
          <w:lang w:eastAsia="en-US"/>
        </w:rPr>
        <w:t xml:space="preserve"> (strategic investments to enrich broader payment systems). In 2019, Visa acquired </w:t>
      </w:r>
      <w:proofErr w:type="spellStart"/>
      <w:r w:rsidRPr="00965438">
        <w:rPr>
          <w:rFonts w:ascii="AppleSystemUIFont" w:eastAsiaTheme="minorHAnsi" w:hAnsi="AppleSystemUIFont" w:cs="AppleSystemUIFont"/>
          <w:sz w:val="23"/>
          <w:szCs w:val="23"/>
          <w:lang w:eastAsia="en-US"/>
        </w:rPr>
        <w:t>EarthPort</w:t>
      </w:r>
      <w:proofErr w:type="spellEnd"/>
      <w:r w:rsidRPr="00965438">
        <w:rPr>
          <w:rFonts w:ascii="AppleSystemUIFont" w:eastAsiaTheme="minorHAnsi" w:hAnsi="AppleSystemUIFont" w:cs="AppleSystemUIFont"/>
          <w:sz w:val="23"/>
          <w:szCs w:val="23"/>
          <w:lang w:eastAsia="en-US"/>
        </w:rPr>
        <w:t xml:space="preserve"> extending its reach 99% percent of the world’s banked population in the top 50 countries and other 33. Furthermore, Visa </w:t>
      </w:r>
      <w:r w:rsidRPr="00965438">
        <w:rPr>
          <w:rFonts w:ascii="AppleSystemUIFont" w:eastAsiaTheme="minorHAnsi" w:hAnsi="AppleSystemUIFont" w:cs="AppleSystemUIFont"/>
          <w:i/>
          <w:iCs/>
          <w:sz w:val="23"/>
          <w:szCs w:val="23"/>
          <w:lang w:eastAsia="en-US"/>
        </w:rPr>
        <w:t>Value Added Services</w:t>
      </w:r>
      <w:r w:rsidRPr="00965438">
        <w:rPr>
          <w:rFonts w:ascii="AppleSystemUIFont" w:eastAsiaTheme="minorHAnsi" w:hAnsi="AppleSystemUIFont" w:cs="AppleSystemUIFont"/>
          <w:sz w:val="23"/>
          <w:szCs w:val="23"/>
          <w:lang w:eastAsia="en-US"/>
        </w:rPr>
        <w:t xml:space="preserve"> represent </w:t>
      </w:r>
      <w:r w:rsidRPr="00965438">
        <w:rPr>
          <w:rFonts w:ascii="AppleSystemUIFont" w:eastAsiaTheme="minorHAnsi" w:hAnsi="AppleSystemUIFont" w:cs="AppleSystemUIFont"/>
          <w:sz w:val="23"/>
          <w:szCs w:val="23"/>
          <w:lang w:eastAsia="en-US"/>
        </w:rPr>
        <w:t>a</w:t>
      </w:r>
      <w:r w:rsidRPr="00965438">
        <w:rPr>
          <w:rFonts w:ascii="AppleSystemUIFont" w:eastAsiaTheme="minorHAnsi" w:hAnsi="AppleSystemUIFont" w:cs="AppleSystemUIFont"/>
          <w:sz w:val="23"/>
          <w:szCs w:val="23"/>
          <w:lang w:eastAsia="en-US"/>
        </w:rPr>
        <w:t xml:space="preserve"> valuable growth opportunity. AI-powered security services prevented financial institution to be defrauded for $25 billion. Additionally, Visa also provides tokenization services, allows users for much lower fees, proved data analytics, </w:t>
      </w:r>
      <w:proofErr w:type="gramStart"/>
      <w:r w:rsidRPr="00965438">
        <w:rPr>
          <w:rFonts w:ascii="AppleSystemUIFont" w:eastAsiaTheme="minorHAnsi" w:hAnsi="AppleSystemUIFont" w:cs="AppleSystemUIFont"/>
          <w:sz w:val="23"/>
          <w:szCs w:val="23"/>
          <w:lang w:eastAsia="en-US"/>
        </w:rPr>
        <w:t>settlement</w:t>
      </w:r>
      <w:proofErr w:type="gramEnd"/>
      <w:r w:rsidRPr="00965438">
        <w:rPr>
          <w:rFonts w:ascii="AppleSystemUIFont" w:eastAsiaTheme="minorHAnsi" w:hAnsi="AppleSystemUIFont" w:cs="AppleSystemUIFont"/>
          <w:sz w:val="23"/>
          <w:szCs w:val="23"/>
          <w:lang w:eastAsia="en-US"/>
        </w:rPr>
        <w:t xml:space="preserve"> and many other services.</w:t>
      </w:r>
    </w:p>
    <w:p w14:paraId="17874641" w14:textId="77777777" w:rsidR="00E441EB" w:rsidRPr="00965438" w:rsidRDefault="00E441EB" w:rsidP="00E441EB">
      <w:pPr>
        <w:autoSpaceDE w:val="0"/>
        <w:autoSpaceDN w:val="0"/>
        <w:adjustRightInd w:val="0"/>
        <w:jc w:val="both"/>
        <w:rPr>
          <w:rFonts w:ascii="AppleSystemUIFont" w:eastAsiaTheme="minorHAnsi" w:hAnsi="AppleSystemUIFont" w:cs="AppleSystemUIFont"/>
          <w:sz w:val="23"/>
          <w:szCs w:val="23"/>
          <w:lang w:eastAsia="en-US"/>
        </w:rPr>
      </w:pPr>
    </w:p>
    <w:p w14:paraId="3B9ED892" w14:textId="77777777" w:rsidR="00E441EB" w:rsidRPr="00965438" w:rsidRDefault="00E441EB" w:rsidP="00E441EB">
      <w:pPr>
        <w:autoSpaceDE w:val="0"/>
        <w:autoSpaceDN w:val="0"/>
        <w:adjustRightInd w:val="0"/>
        <w:jc w:val="both"/>
        <w:rPr>
          <w:rFonts w:ascii="AppleSystemUIFont" w:eastAsiaTheme="minorHAnsi" w:hAnsi="AppleSystemUIFont" w:cs="AppleSystemUIFont"/>
          <w:sz w:val="23"/>
          <w:szCs w:val="23"/>
          <w:lang w:eastAsia="en-US"/>
        </w:rPr>
      </w:pPr>
      <w:r w:rsidRPr="00965438">
        <w:rPr>
          <w:rFonts w:ascii="AppleSystemUIFont" w:eastAsiaTheme="minorHAnsi" w:hAnsi="AppleSystemUIFont" w:cs="AppleSystemUIFont"/>
          <w:sz w:val="23"/>
          <w:szCs w:val="23"/>
          <w:lang w:eastAsia="en-US"/>
        </w:rPr>
        <w:t xml:space="preserve">For comparison, </w:t>
      </w:r>
      <w:r w:rsidRPr="00965438">
        <w:rPr>
          <w:rFonts w:ascii="AppleSystemUIFont" w:eastAsiaTheme="minorHAnsi" w:hAnsi="AppleSystemUIFont" w:cs="AppleSystemUIFont"/>
          <w:b/>
          <w:bCs/>
          <w:sz w:val="23"/>
          <w:szCs w:val="23"/>
          <w:lang w:eastAsia="en-US"/>
        </w:rPr>
        <w:t xml:space="preserve">Mastercard </w:t>
      </w:r>
      <w:r w:rsidRPr="00965438">
        <w:rPr>
          <w:rFonts w:ascii="AppleSystemUIFont" w:eastAsiaTheme="minorHAnsi" w:hAnsi="AppleSystemUIFont" w:cs="AppleSystemUIFont"/>
          <w:sz w:val="23"/>
          <w:szCs w:val="23"/>
          <w:lang w:eastAsia="en-US"/>
        </w:rPr>
        <w:t xml:space="preserve">strategy revolves around perfecting their technologies (mainly through various acquisitions) as both consumers and businesses require enhanced payment options. Focus is given to technology and B2B markets, estimated around $25 trillion a year in the US. </w:t>
      </w:r>
    </w:p>
    <w:p w14:paraId="2C7D2E1B" w14:textId="77777777" w:rsidR="008879AD" w:rsidRPr="00965438" w:rsidRDefault="008879AD" w:rsidP="004565C9">
      <w:pPr>
        <w:jc w:val="both"/>
        <w:rPr>
          <w:rFonts w:ascii="Calibri" w:hAnsi="Calibri" w:cs="Calibri"/>
          <w:sz w:val="23"/>
          <w:szCs w:val="23"/>
        </w:rPr>
      </w:pPr>
    </w:p>
    <w:p w14:paraId="0D073E77" w14:textId="61203AD0" w:rsidR="004565C9" w:rsidRPr="00965438" w:rsidRDefault="004565C9" w:rsidP="004565C9">
      <w:pPr>
        <w:jc w:val="both"/>
        <w:rPr>
          <w:rFonts w:ascii="Calibri" w:hAnsi="Calibri" w:cs="Calibri"/>
          <w:sz w:val="23"/>
          <w:szCs w:val="23"/>
        </w:rPr>
      </w:pPr>
      <w:r w:rsidRPr="00965438">
        <w:rPr>
          <w:rFonts w:ascii="Calibri" w:hAnsi="Calibri" w:cs="Calibri"/>
          <w:sz w:val="23"/>
          <w:szCs w:val="23"/>
        </w:rPr>
        <w:t>Given the recent growth in revenue</w:t>
      </w:r>
      <w:r w:rsidR="004E0D19" w:rsidRPr="00965438">
        <w:rPr>
          <w:rFonts w:ascii="Calibri" w:hAnsi="Calibri" w:cs="Calibri"/>
          <w:sz w:val="23"/>
          <w:szCs w:val="23"/>
        </w:rPr>
        <w:t xml:space="preserve"> and, most importantly, in profit,</w:t>
      </w:r>
      <w:r w:rsidRPr="00965438">
        <w:rPr>
          <w:rFonts w:ascii="Calibri" w:hAnsi="Calibri" w:cs="Calibri"/>
          <w:sz w:val="23"/>
          <w:szCs w:val="23"/>
        </w:rPr>
        <w:t xml:space="preserve"> these </w:t>
      </w:r>
      <w:r w:rsidR="009E51F6" w:rsidRPr="00965438">
        <w:rPr>
          <w:rFonts w:ascii="Calibri" w:hAnsi="Calibri" w:cs="Calibri"/>
          <w:sz w:val="23"/>
          <w:szCs w:val="23"/>
        </w:rPr>
        <w:t>approaches</w:t>
      </w:r>
      <w:r w:rsidRPr="00965438">
        <w:rPr>
          <w:rFonts w:ascii="Calibri" w:hAnsi="Calibri" w:cs="Calibri"/>
          <w:sz w:val="23"/>
          <w:szCs w:val="23"/>
        </w:rPr>
        <w:t xml:space="preserve"> seem to have worked</w:t>
      </w:r>
      <w:r w:rsidR="000668FA" w:rsidRPr="00965438">
        <w:rPr>
          <w:rFonts w:ascii="Calibri" w:hAnsi="Calibri" w:cs="Calibri"/>
          <w:sz w:val="23"/>
          <w:szCs w:val="23"/>
        </w:rPr>
        <w:t>,</w:t>
      </w:r>
      <w:r w:rsidRPr="00965438">
        <w:rPr>
          <w:rFonts w:ascii="Calibri" w:hAnsi="Calibri" w:cs="Calibri"/>
          <w:sz w:val="23"/>
          <w:szCs w:val="23"/>
        </w:rPr>
        <w:t xml:space="preserve"> but many aspects </w:t>
      </w:r>
      <w:r w:rsidR="004E0D19" w:rsidRPr="00965438">
        <w:rPr>
          <w:rFonts w:ascii="Calibri" w:hAnsi="Calibri" w:cs="Calibri"/>
          <w:sz w:val="23"/>
          <w:szCs w:val="23"/>
        </w:rPr>
        <w:t>still need to</w:t>
      </w:r>
      <w:r w:rsidRPr="00965438">
        <w:rPr>
          <w:rFonts w:ascii="Calibri" w:hAnsi="Calibri" w:cs="Calibri"/>
          <w:sz w:val="23"/>
          <w:szCs w:val="23"/>
        </w:rPr>
        <w:t xml:space="preserve"> be analysed</w:t>
      </w:r>
      <w:r w:rsidR="009E51F6" w:rsidRPr="00965438">
        <w:rPr>
          <w:rFonts w:ascii="Calibri" w:hAnsi="Calibri" w:cs="Calibri"/>
          <w:sz w:val="23"/>
          <w:szCs w:val="23"/>
        </w:rPr>
        <w:t xml:space="preserve"> to evaluate if the rise in income is likely to continue for years to come</w:t>
      </w:r>
      <w:r w:rsidRPr="00965438">
        <w:rPr>
          <w:rFonts w:ascii="Calibri" w:hAnsi="Calibri" w:cs="Calibri"/>
          <w:sz w:val="23"/>
          <w:szCs w:val="23"/>
        </w:rPr>
        <w:t>.</w:t>
      </w:r>
    </w:p>
    <w:p w14:paraId="3D980AAD" w14:textId="0CDE6EE9" w:rsidR="006155F4" w:rsidRPr="00965438" w:rsidRDefault="006155F4" w:rsidP="00A42167">
      <w:pPr>
        <w:jc w:val="both"/>
        <w:rPr>
          <w:rFonts w:ascii="Calibri" w:hAnsi="Calibri" w:cs="Calibri"/>
          <w:sz w:val="23"/>
          <w:szCs w:val="23"/>
        </w:rPr>
      </w:pPr>
    </w:p>
    <w:p w14:paraId="039F2B54" w14:textId="1DA4E1DF" w:rsidR="00C74C4F" w:rsidRPr="00965438" w:rsidRDefault="006155F4" w:rsidP="00474E46">
      <w:pPr>
        <w:jc w:val="both"/>
        <w:rPr>
          <w:rFonts w:ascii="Calibri" w:hAnsi="Calibri" w:cs="Calibri"/>
          <w:sz w:val="23"/>
          <w:szCs w:val="23"/>
        </w:rPr>
      </w:pPr>
      <w:r w:rsidRPr="00965438">
        <w:rPr>
          <w:rFonts w:ascii="Calibri" w:hAnsi="Calibri" w:cs="Calibri"/>
          <w:sz w:val="23"/>
          <w:szCs w:val="23"/>
        </w:rPr>
        <w:t xml:space="preserve">A big portion of </w:t>
      </w:r>
      <w:r w:rsidR="009E51F6" w:rsidRPr="00965438">
        <w:rPr>
          <w:rFonts w:ascii="Calibri" w:hAnsi="Calibri" w:cs="Calibri"/>
          <w:sz w:val="23"/>
          <w:szCs w:val="23"/>
        </w:rPr>
        <w:t xml:space="preserve">credit services </w:t>
      </w:r>
      <w:r w:rsidRPr="00965438">
        <w:rPr>
          <w:rFonts w:ascii="Calibri" w:hAnsi="Calibri" w:cs="Calibri"/>
          <w:sz w:val="23"/>
          <w:szCs w:val="23"/>
        </w:rPr>
        <w:t>income still derives from Western markets</w:t>
      </w:r>
      <w:r w:rsidR="004E0D19" w:rsidRPr="00965438">
        <w:rPr>
          <w:rFonts w:ascii="Calibri" w:hAnsi="Calibri" w:cs="Calibri"/>
          <w:sz w:val="23"/>
          <w:szCs w:val="23"/>
        </w:rPr>
        <w:t>,</w:t>
      </w:r>
      <w:r w:rsidR="00040739" w:rsidRPr="00965438">
        <w:rPr>
          <w:rFonts w:ascii="Calibri" w:hAnsi="Calibri" w:cs="Calibri"/>
          <w:sz w:val="23"/>
          <w:szCs w:val="23"/>
        </w:rPr>
        <w:t xml:space="preserve"> while </w:t>
      </w:r>
      <w:r w:rsidR="00997C29" w:rsidRPr="00965438">
        <w:rPr>
          <w:rFonts w:ascii="Calibri" w:hAnsi="Calibri" w:cs="Calibri"/>
          <w:sz w:val="23"/>
          <w:szCs w:val="23"/>
        </w:rPr>
        <w:t xml:space="preserve">some </w:t>
      </w:r>
      <w:r w:rsidR="00040739" w:rsidRPr="00965438">
        <w:rPr>
          <w:rFonts w:ascii="Calibri" w:hAnsi="Calibri" w:cs="Calibri"/>
          <w:sz w:val="23"/>
          <w:szCs w:val="23"/>
        </w:rPr>
        <w:t>leading emerging economies</w:t>
      </w:r>
      <w:r w:rsidR="00997C29" w:rsidRPr="00965438">
        <w:rPr>
          <w:rFonts w:ascii="Calibri" w:hAnsi="Calibri" w:cs="Calibri"/>
          <w:sz w:val="23"/>
          <w:szCs w:val="23"/>
        </w:rPr>
        <w:t xml:space="preserve"> </w:t>
      </w:r>
      <w:r w:rsidR="009E51F6" w:rsidRPr="00965438">
        <w:rPr>
          <w:rFonts w:ascii="Calibri" w:hAnsi="Calibri" w:cs="Calibri"/>
          <w:sz w:val="23"/>
          <w:szCs w:val="23"/>
        </w:rPr>
        <w:t>yet</w:t>
      </w:r>
      <w:r w:rsidR="00997C29" w:rsidRPr="00965438">
        <w:rPr>
          <w:rFonts w:ascii="Calibri" w:hAnsi="Calibri" w:cs="Calibri"/>
          <w:sz w:val="23"/>
          <w:szCs w:val="23"/>
        </w:rPr>
        <w:t xml:space="preserve"> </w:t>
      </w:r>
      <w:r w:rsidR="009E51F6" w:rsidRPr="00965438">
        <w:rPr>
          <w:rFonts w:ascii="Calibri" w:hAnsi="Calibri" w:cs="Calibri"/>
          <w:sz w:val="23"/>
          <w:szCs w:val="23"/>
        </w:rPr>
        <w:t>need</w:t>
      </w:r>
      <w:r w:rsidR="00997C29" w:rsidRPr="00965438">
        <w:rPr>
          <w:rFonts w:ascii="Calibri" w:hAnsi="Calibri" w:cs="Calibri"/>
          <w:sz w:val="23"/>
          <w:szCs w:val="23"/>
        </w:rPr>
        <w:t xml:space="preserve"> to be </w:t>
      </w:r>
      <w:r w:rsidR="004E0D19" w:rsidRPr="00965438">
        <w:rPr>
          <w:rFonts w:ascii="Calibri" w:hAnsi="Calibri" w:cs="Calibri"/>
          <w:sz w:val="23"/>
          <w:szCs w:val="23"/>
        </w:rPr>
        <w:t xml:space="preserve">properly </w:t>
      </w:r>
      <w:r w:rsidR="00997C29" w:rsidRPr="00965438">
        <w:rPr>
          <w:rFonts w:ascii="Calibri" w:hAnsi="Calibri" w:cs="Calibri"/>
          <w:sz w:val="23"/>
          <w:szCs w:val="23"/>
        </w:rPr>
        <w:t xml:space="preserve">explored. </w:t>
      </w:r>
      <w:r w:rsidR="004E0D19" w:rsidRPr="00965438">
        <w:rPr>
          <w:rFonts w:ascii="Calibri" w:hAnsi="Calibri" w:cs="Calibri"/>
          <w:sz w:val="23"/>
          <w:szCs w:val="23"/>
        </w:rPr>
        <w:t>T</w:t>
      </w:r>
      <w:r w:rsidR="00997C29" w:rsidRPr="00965438">
        <w:rPr>
          <w:rFonts w:ascii="Calibri" w:hAnsi="Calibri" w:cs="Calibri"/>
          <w:sz w:val="23"/>
          <w:szCs w:val="23"/>
        </w:rPr>
        <w:t xml:space="preserve">he political </w:t>
      </w:r>
      <w:r w:rsidR="0092647E" w:rsidRPr="00965438">
        <w:rPr>
          <w:rFonts w:ascii="Calibri" w:hAnsi="Calibri" w:cs="Calibri"/>
          <w:sz w:val="23"/>
          <w:szCs w:val="23"/>
        </w:rPr>
        <w:t xml:space="preserve">aspects </w:t>
      </w:r>
      <w:r w:rsidR="00997C29" w:rsidRPr="00965438">
        <w:rPr>
          <w:rFonts w:ascii="Calibri" w:hAnsi="Calibri" w:cs="Calibri"/>
          <w:sz w:val="23"/>
          <w:szCs w:val="23"/>
        </w:rPr>
        <w:t>mentioned earlier</w:t>
      </w:r>
      <w:r w:rsidR="004E0D19" w:rsidRPr="00965438">
        <w:rPr>
          <w:rFonts w:ascii="Calibri" w:hAnsi="Calibri" w:cs="Calibri"/>
          <w:sz w:val="23"/>
          <w:szCs w:val="23"/>
        </w:rPr>
        <w:t xml:space="preserve"> are one of the </w:t>
      </w:r>
      <w:r w:rsidR="0092647E" w:rsidRPr="00965438">
        <w:rPr>
          <w:rFonts w:ascii="Calibri" w:hAnsi="Calibri" w:cs="Calibri"/>
          <w:sz w:val="23"/>
          <w:szCs w:val="23"/>
        </w:rPr>
        <w:t>causes</w:t>
      </w:r>
      <w:r w:rsidR="004E0D19" w:rsidRPr="00965438">
        <w:rPr>
          <w:rFonts w:ascii="Calibri" w:hAnsi="Calibri" w:cs="Calibri"/>
          <w:sz w:val="23"/>
          <w:szCs w:val="23"/>
        </w:rPr>
        <w:t>, but not the only one</w:t>
      </w:r>
      <w:r w:rsidR="00997C29" w:rsidRPr="00965438">
        <w:rPr>
          <w:rFonts w:ascii="Calibri" w:hAnsi="Calibri" w:cs="Calibri"/>
          <w:sz w:val="23"/>
          <w:szCs w:val="23"/>
        </w:rPr>
        <w:t>.</w:t>
      </w:r>
    </w:p>
    <w:p w14:paraId="1DE8CDE4" w14:textId="1BC26C53" w:rsidR="00C74C4F" w:rsidRPr="00965438" w:rsidRDefault="00997C29" w:rsidP="00474E46">
      <w:pPr>
        <w:jc w:val="both"/>
        <w:rPr>
          <w:rFonts w:ascii="Calibri" w:hAnsi="Calibri" w:cs="Calibri"/>
          <w:sz w:val="23"/>
          <w:szCs w:val="23"/>
        </w:rPr>
      </w:pPr>
      <w:r w:rsidRPr="00965438">
        <w:rPr>
          <w:rFonts w:ascii="Calibri" w:hAnsi="Calibri" w:cs="Calibri"/>
          <w:sz w:val="23"/>
          <w:szCs w:val="23"/>
        </w:rPr>
        <w:t xml:space="preserve">Consumer trust is crucial </w:t>
      </w:r>
      <w:r w:rsidR="004E0D19" w:rsidRPr="00965438">
        <w:rPr>
          <w:rFonts w:ascii="Calibri" w:hAnsi="Calibri" w:cs="Calibri"/>
          <w:sz w:val="23"/>
          <w:szCs w:val="23"/>
        </w:rPr>
        <w:t>in both</w:t>
      </w:r>
      <w:r w:rsidRPr="00965438">
        <w:rPr>
          <w:rFonts w:ascii="Calibri" w:hAnsi="Calibri" w:cs="Calibri"/>
          <w:sz w:val="23"/>
          <w:szCs w:val="23"/>
        </w:rPr>
        <w:t xml:space="preserve"> adoption and </w:t>
      </w:r>
      <w:r w:rsidR="004E0D19" w:rsidRPr="00965438">
        <w:rPr>
          <w:rFonts w:ascii="Calibri" w:hAnsi="Calibri" w:cs="Calibri"/>
          <w:sz w:val="23"/>
          <w:szCs w:val="23"/>
        </w:rPr>
        <w:t xml:space="preserve">continuous </w:t>
      </w:r>
      <w:r w:rsidRPr="00965438">
        <w:rPr>
          <w:rFonts w:ascii="Calibri" w:hAnsi="Calibri" w:cs="Calibri"/>
          <w:sz w:val="23"/>
          <w:szCs w:val="23"/>
        </w:rPr>
        <w:t xml:space="preserve">usage of digital payment </w:t>
      </w:r>
      <w:proofErr w:type="gramStart"/>
      <w:r w:rsidRPr="00965438">
        <w:rPr>
          <w:rFonts w:ascii="Calibri" w:hAnsi="Calibri" w:cs="Calibri"/>
          <w:sz w:val="23"/>
          <w:szCs w:val="23"/>
        </w:rPr>
        <w:t>methods</w:t>
      </w:r>
      <w:proofErr w:type="gramEnd"/>
      <w:r w:rsidRPr="00965438">
        <w:rPr>
          <w:rFonts w:ascii="Calibri" w:hAnsi="Calibri" w:cs="Calibri"/>
          <w:sz w:val="23"/>
          <w:szCs w:val="23"/>
        </w:rPr>
        <w:t xml:space="preserve"> and it relies on </w:t>
      </w:r>
      <w:r w:rsidR="00474E46" w:rsidRPr="00965438">
        <w:rPr>
          <w:rFonts w:ascii="Calibri" w:hAnsi="Calibri" w:cs="Calibri"/>
          <w:sz w:val="23"/>
          <w:szCs w:val="23"/>
        </w:rPr>
        <w:t xml:space="preserve">security measures, data protection, brand reputation, consumer education, </w:t>
      </w:r>
      <w:r w:rsidR="004E0D19" w:rsidRPr="00965438">
        <w:rPr>
          <w:rFonts w:ascii="Calibri" w:hAnsi="Calibri" w:cs="Calibri"/>
          <w:sz w:val="23"/>
          <w:szCs w:val="23"/>
        </w:rPr>
        <w:t>and</w:t>
      </w:r>
      <w:r w:rsidR="00474E46" w:rsidRPr="00965438">
        <w:rPr>
          <w:rFonts w:ascii="Calibri" w:hAnsi="Calibri" w:cs="Calibri"/>
          <w:sz w:val="23"/>
          <w:szCs w:val="23"/>
        </w:rPr>
        <w:t xml:space="preserve"> collaboration with financial institutions.</w:t>
      </w:r>
    </w:p>
    <w:p w14:paraId="78ECA628" w14:textId="7C659110" w:rsidR="00C74C4F" w:rsidRPr="00965438" w:rsidRDefault="00474E46" w:rsidP="00474E46">
      <w:pPr>
        <w:jc w:val="both"/>
        <w:rPr>
          <w:rFonts w:ascii="Calibri" w:hAnsi="Calibri" w:cs="Calibri"/>
          <w:sz w:val="23"/>
          <w:szCs w:val="23"/>
        </w:rPr>
      </w:pPr>
      <w:r w:rsidRPr="00965438">
        <w:rPr>
          <w:rFonts w:ascii="Calibri" w:hAnsi="Calibri" w:cs="Calibri"/>
          <w:sz w:val="23"/>
          <w:szCs w:val="23"/>
        </w:rPr>
        <w:t xml:space="preserve">On the other hand, there’s </w:t>
      </w:r>
      <w:r w:rsidR="004E0D19" w:rsidRPr="00965438">
        <w:rPr>
          <w:rFonts w:ascii="Calibri" w:hAnsi="Calibri" w:cs="Calibri"/>
          <w:sz w:val="23"/>
          <w:szCs w:val="23"/>
        </w:rPr>
        <w:t xml:space="preserve">still </w:t>
      </w:r>
      <w:r w:rsidRPr="00965438">
        <w:rPr>
          <w:rFonts w:ascii="Calibri" w:hAnsi="Calibri" w:cs="Calibri"/>
          <w:sz w:val="23"/>
          <w:szCs w:val="23"/>
        </w:rPr>
        <w:t xml:space="preserve">a lack of trust in digital payments and more reliance on cash in emerging markets that can </w:t>
      </w:r>
      <w:r w:rsidR="004E0D19" w:rsidRPr="00965438">
        <w:rPr>
          <w:rFonts w:ascii="Calibri" w:hAnsi="Calibri" w:cs="Calibri"/>
          <w:sz w:val="23"/>
          <w:szCs w:val="23"/>
        </w:rPr>
        <w:t xml:space="preserve">mainly </w:t>
      </w:r>
      <w:r w:rsidRPr="00965438">
        <w:rPr>
          <w:rFonts w:ascii="Calibri" w:hAnsi="Calibri" w:cs="Calibri"/>
          <w:sz w:val="23"/>
          <w:szCs w:val="23"/>
        </w:rPr>
        <w:t>be attributed to limited financial infrastructure, low digital literacy, security concerns, cultural factors and</w:t>
      </w:r>
      <w:r w:rsidR="00C74C4F" w:rsidRPr="00965438">
        <w:rPr>
          <w:rFonts w:ascii="Calibri" w:hAnsi="Calibri" w:cs="Calibri"/>
          <w:sz w:val="23"/>
          <w:szCs w:val="23"/>
        </w:rPr>
        <w:t>/or</w:t>
      </w:r>
      <w:r w:rsidRPr="00965438">
        <w:rPr>
          <w:rFonts w:ascii="Calibri" w:hAnsi="Calibri" w:cs="Calibri"/>
          <w:sz w:val="23"/>
          <w:szCs w:val="23"/>
        </w:rPr>
        <w:t xml:space="preserve"> lack of access to financial services.</w:t>
      </w:r>
    </w:p>
    <w:p w14:paraId="7E874136" w14:textId="1B9F36F3" w:rsidR="00474E46" w:rsidRPr="00965438" w:rsidRDefault="00474E46" w:rsidP="00474E46">
      <w:pPr>
        <w:jc w:val="both"/>
        <w:rPr>
          <w:rFonts w:ascii="Calibri" w:hAnsi="Calibri" w:cs="Calibri"/>
          <w:sz w:val="23"/>
          <w:szCs w:val="23"/>
        </w:rPr>
      </w:pPr>
      <w:r w:rsidRPr="00965438">
        <w:rPr>
          <w:rFonts w:ascii="Calibri" w:hAnsi="Calibri" w:cs="Calibri"/>
          <w:sz w:val="23"/>
          <w:szCs w:val="23"/>
        </w:rPr>
        <w:t xml:space="preserve">The big challenge for Visa and its peers is to retain their stronghold of Western income continually addressing and prioritizing security factors to foster trust and maintain </w:t>
      </w:r>
      <w:r w:rsidR="00C74C4F" w:rsidRPr="00965438">
        <w:rPr>
          <w:rFonts w:ascii="Calibri" w:hAnsi="Calibri" w:cs="Calibri"/>
          <w:sz w:val="23"/>
          <w:szCs w:val="23"/>
        </w:rPr>
        <w:t>their</w:t>
      </w:r>
      <w:r w:rsidRPr="00965438">
        <w:rPr>
          <w:rFonts w:ascii="Calibri" w:hAnsi="Calibri" w:cs="Calibri"/>
          <w:sz w:val="23"/>
          <w:szCs w:val="23"/>
        </w:rPr>
        <w:t xml:space="preserve"> competitive</w:t>
      </w:r>
      <w:r w:rsidR="004E0D19" w:rsidRPr="00965438">
        <w:rPr>
          <w:rFonts w:ascii="Calibri" w:hAnsi="Calibri" w:cs="Calibri"/>
          <w:sz w:val="23"/>
          <w:szCs w:val="23"/>
        </w:rPr>
        <w:t>ness</w:t>
      </w:r>
      <w:r w:rsidRPr="00965438">
        <w:rPr>
          <w:rFonts w:ascii="Calibri" w:hAnsi="Calibri" w:cs="Calibri"/>
          <w:sz w:val="23"/>
          <w:szCs w:val="23"/>
        </w:rPr>
        <w:t xml:space="preserve"> in the market, while overcoming the </w:t>
      </w:r>
      <w:proofErr w:type="gramStart"/>
      <w:r w:rsidRPr="00965438">
        <w:rPr>
          <w:rFonts w:ascii="Calibri" w:hAnsi="Calibri" w:cs="Calibri"/>
          <w:sz w:val="23"/>
          <w:szCs w:val="23"/>
        </w:rPr>
        <w:t>aforementioned challenges</w:t>
      </w:r>
      <w:proofErr w:type="gramEnd"/>
      <w:r w:rsidRPr="00965438">
        <w:rPr>
          <w:rFonts w:ascii="Calibri" w:hAnsi="Calibri" w:cs="Calibri"/>
          <w:sz w:val="23"/>
          <w:szCs w:val="23"/>
        </w:rPr>
        <w:t xml:space="preserve"> in emerging markets to unlock their growth potential and drive the transition from cash to digital payments.</w:t>
      </w:r>
    </w:p>
    <w:p w14:paraId="11D73634" w14:textId="25DDBBDD" w:rsidR="00474E46" w:rsidRPr="00965438" w:rsidRDefault="00474E46" w:rsidP="00474E46">
      <w:pPr>
        <w:jc w:val="both"/>
        <w:rPr>
          <w:rFonts w:ascii="Calibri" w:hAnsi="Calibri" w:cs="Calibri"/>
          <w:sz w:val="23"/>
          <w:szCs w:val="23"/>
        </w:rPr>
      </w:pPr>
    </w:p>
    <w:p w14:paraId="581DC6DB" w14:textId="44B7891E" w:rsidR="0024379B" w:rsidRPr="00965438" w:rsidRDefault="000668FA" w:rsidP="0091396F">
      <w:pPr>
        <w:jc w:val="both"/>
        <w:rPr>
          <w:rFonts w:ascii="Calibri" w:hAnsi="Calibri" w:cs="Calibri"/>
          <w:sz w:val="23"/>
          <w:szCs w:val="23"/>
        </w:rPr>
      </w:pPr>
      <w:r w:rsidRPr="00965438">
        <w:rPr>
          <w:rFonts w:ascii="Calibri" w:hAnsi="Calibri" w:cs="Calibri"/>
          <w:sz w:val="23"/>
          <w:szCs w:val="23"/>
        </w:rPr>
        <w:t>Brand awareness is</w:t>
      </w:r>
      <w:r w:rsidR="0091396F" w:rsidRPr="00965438">
        <w:rPr>
          <w:rFonts w:ascii="Calibri" w:hAnsi="Calibri" w:cs="Calibri"/>
          <w:sz w:val="23"/>
          <w:szCs w:val="23"/>
        </w:rPr>
        <w:t xml:space="preserve"> </w:t>
      </w:r>
      <w:r w:rsidR="00BD6244" w:rsidRPr="00965438">
        <w:rPr>
          <w:rFonts w:ascii="Calibri" w:hAnsi="Calibri" w:cs="Calibri"/>
          <w:sz w:val="23"/>
          <w:szCs w:val="23"/>
        </w:rPr>
        <w:t xml:space="preserve">also </w:t>
      </w:r>
      <w:r w:rsidRPr="00965438">
        <w:rPr>
          <w:rFonts w:ascii="Calibri" w:hAnsi="Calibri" w:cs="Calibri"/>
          <w:sz w:val="23"/>
          <w:szCs w:val="23"/>
        </w:rPr>
        <w:t>paramount for credit services</w:t>
      </w:r>
      <w:r w:rsidR="00D15F61" w:rsidRPr="00965438">
        <w:rPr>
          <w:rFonts w:ascii="Calibri" w:hAnsi="Calibri" w:cs="Calibri"/>
          <w:sz w:val="23"/>
          <w:szCs w:val="23"/>
        </w:rPr>
        <w:t xml:space="preserve"> for building trust, differentiating companies from its competitors, offering a competitive advantage and aid in customers acquisition and retention. </w:t>
      </w:r>
      <w:r w:rsidR="0091396F" w:rsidRPr="00965438">
        <w:rPr>
          <w:rFonts w:ascii="Calibri" w:hAnsi="Calibri" w:cs="Calibri"/>
          <w:sz w:val="23"/>
          <w:szCs w:val="23"/>
        </w:rPr>
        <w:t>Visa and the other big players have a great advantage on emerging competitors; concerns about fraud, cybersecurity vulnerabilities and lack of regulations can lead to mistrust towards new payment companies. Boasting decades of continuous operation, in addition to several measures to protect customers that faced losses or have been defrauded</w:t>
      </w:r>
      <w:r w:rsidR="0024379B" w:rsidRPr="00965438">
        <w:rPr>
          <w:rFonts w:ascii="Calibri" w:hAnsi="Calibri" w:cs="Calibri"/>
          <w:sz w:val="23"/>
          <w:szCs w:val="23"/>
        </w:rPr>
        <w:t>, these more institutional firms still hold a competitive advantage on emerging platform, despite centralization of transactions might not look attractive to some consumers.</w:t>
      </w:r>
    </w:p>
    <w:p w14:paraId="50141FFC" w14:textId="77777777" w:rsidR="00E441EB" w:rsidRPr="00965438" w:rsidRDefault="00E441EB" w:rsidP="0091396F">
      <w:pPr>
        <w:jc w:val="both"/>
        <w:rPr>
          <w:rFonts w:ascii="Calibri" w:hAnsi="Calibri" w:cs="Calibri"/>
          <w:sz w:val="23"/>
          <w:szCs w:val="23"/>
        </w:rPr>
      </w:pPr>
    </w:p>
    <w:p w14:paraId="5B058949" w14:textId="352E34D3" w:rsidR="0092647E" w:rsidRPr="00965438" w:rsidRDefault="0092647E" w:rsidP="0091396F">
      <w:pPr>
        <w:jc w:val="both"/>
        <w:rPr>
          <w:rFonts w:ascii="Calibri" w:hAnsi="Calibri" w:cs="Calibri"/>
          <w:sz w:val="23"/>
          <w:szCs w:val="23"/>
        </w:rPr>
      </w:pPr>
      <w:r w:rsidRPr="00965438">
        <w:rPr>
          <w:rFonts w:ascii="Calibri" w:hAnsi="Calibri" w:cs="Calibri"/>
          <w:sz w:val="23"/>
          <w:szCs w:val="23"/>
        </w:rPr>
        <w:t xml:space="preserve">It’s also worth mentioning how Visa, Mastercard and American Express significantly improved their revenue in the most recent fiscal year, despite global fears of recession which normally </w:t>
      </w:r>
      <w:proofErr w:type="gramStart"/>
      <w:r w:rsidRPr="00965438">
        <w:rPr>
          <w:rFonts w:ascii="Calibri" w:hAnsi="Calibri" w:cs="Calibri"/>
          <w:sz w:val="23"/>
          <w:szCs w:val="23"/>
        </w:rPr>
        <w:t>lead</w:t>
      </w:r>
      <w:proofErr w:type="gramEnd"/>
      <w:r w:rsidRPr="00965438">
        <w:rPr>
          <w:rFonts w:ascii="Calibri" w:hAnsi="Calibri" w:cs="Calibri"/>
          <w:sz w:val="23"/>
          <w:szCs w:val="23"/>
        </w:rPr>
        <w:t xml:space="preserve"> reduced streams of income for financial services.</w:t>
      </w:r>
    </w:p>
    <w:p w14:paraId="69E980B2" w14:textId="77777777" w:rsidR="00AD3557" w:rsidRPr="00965438" w:rsidRDefault="00AD3557" w:rsidP="0091396F">
      <w:pPr>
        <w:jc w:val="both"/>
        <w:rPr>
          <w:rFonts w:ascii="Calibri" w:hAnsi="Calibri" w:cs="Calibri"/>
          <w:sz w:val="23"/>
          <w:szCs w:val="23"/>
        </w:rPr>
      </w:pPr>
    </w:p>
    <w:p w14:paraId="56DE80E6" w14:textId="57E73247" w:rsidR="002E79C5" w:rsidRPr="00965438" w:rsidRDefault="0024379B" w:rsidP="00E441EB">
      <w:pPr>
        <w:jc w:val="both"/>
        <w:rPr>
          <w:rFonts w:ascii="Calibri" w:hAnsi="Calibri" w:cs="Calibri"/>
          <w:sz w:val="23"/>
          <w:szCs w:val="23"/>
        </w:rPr>
      </w:pPr>
      <w:r w:rsidRPr="00965438">
        <w:rPr>
          <w:rFonts w:ascii="Calibri" w:hAnsi="Calibri" w:cs="Calibri"/>
          <w:sz w:val="23"/>
          <w:szCs w:val="23"/>
        </w:rPr>
        <w:t>In conclusion,</w:t>
      </w:r>
      <w:r w:rsidR="00B30B0E" w:rsidRPr="00965438">
        <w:rPr>
          <w:rFonts w:ascii="Calibri" w:hAnsi="Calibri" w:cs="Calibri"/>
          <w:sz w:val="23"/>
          <w:szCs w:val="23"/>
        </w:rPr>
        <w:t xml:space="preserve"> it’s likely for</w:t>
      </w:r>
      <w:r w:rsidR="0092647E" w:rsidRPr="00965438">
        <w:rPr>
          <w:rFonts w:ascii="Calibri" w:hAnsi="Calibri" w:cs="Calibri"/>
          <w:sz w:val="23"/>
          <w:szCs w:val="23"/>
        </w:rPr>
        <w:t xml:space="preserve"> Visa and its closest competitors </w:t>
      </w:r>
      <w:r w:rsidR="00B30B0E" w:rsidRPr="00965438">
        <w:rPr>
          <w:rFonts w:ascii="Calibri" w:hAnsi="Calibri" w:cs="Calibri"/>
          <w:sz w:val="23"/>
          <w:szCs w:val="23"/>
        </w:rPr>
        <w:t>to</w:t>
      </w:r>
      <w:r w:rsidR="0092647E" w:rsidRPr="00965438">
        <w:rPr>
          <w:rFonts w:ascii="Calibri" w:hAnsi="Calibri" w:cs="Calibri"/>
          <w:sz w:val="23"/>
          <w:szCs w:val="23"/>
        </w:rPr>
        <w:t xml:space="preserve"> retain their position as market leaders for years to come</w:t>
      </w:r>
      <w:r w:rsidR="00AD3557" w:rsidRPr="00965438">
        <w:rPr>
          <w:rFonts w:ascii="Calibri" w:hAnsi="Calibri" w:cs="Calibri"/>
          <w:sz w:val="23"/>
          <w:szCs w:val="23"/>
        </w:rPr>
        <w:t xml:space="preserve">. </w:t>
      </w:r>
      <w:r w:rsidR="00B30B0E" w:rsidRPr="00965438">
        <w:rPr>
          <w:rFonts w:ascii="Calibri" w:hAnsi="Calibri" w:cs="Calibri"/>
          <w:sz w:val="23"/>
          <w:szCs w:val="23"/>
        </w:rPr>
        <w:t>The growth in revenue, unmatched by the growth in operating expenses and supplemented by a seemingly more positive feeling toward global markets should lead these company to sensibly improve their earnings</w:t>
      </w:r>
      <w:r w:rsidR="00AD3557" w:rsidRPr="00965438">
        <w:rPr>
          <w:rFonts w:ascii="Calibri" w:hAnsi="Calibri" w:cs="Calibri"/>
          <w:sz w:val="23"/>
          <w:szCs w:val="23"/>
        </w:rPr>
        <w:t xml:space="preserve"> while reaching </w:t>
      </w:r>
      <w:r w:rsidR="00B30B0E" w:rsidRPr="00965438">
        <w:rPr>
          <w:rFonts w:ascii="Calibri" w:hAnsi="Calibri" w:cs="Calibri"/>
          <w:sz w:val="23"/>
          <w:szCs w:val="23"/>
        </w:rPr>
        <w:t>new horizon</w:t>
      </w:r>
      <w:r w:rsidR="00AD3557" w:rsidRPr="00965438">
        <w:rPr>
          <w:rFonts w:ascii="Calibri" w:hAnsi="Calibri" w:cs="Calibri"/>
          <w:sz w:val="23"/>
          <w:szCs w:val="23"/>
        </w:rPr>
        <w:t xml:space="preserve">s </w:t>
      </w:r>
      <w:r w:rsidR="00B30B0E" w:rsidRPr="00965438">
        <w:rPr>
          <w:rFonts w:ascii="Calibri" w:hAnsi="Calibri" w:cs="Calibri"/>
          <w:sz w:val="23"/>
          <w:szCs w:val="23"/>
        </w:rPr>
        <w:t>transition</w:t>
      </w:r>
      <w:r w:rsidR="00AD3557" w:rsidRPr="00965438">
        <w:rPr>
          <w:rFonts w:ascii="Calibri" w:hAnsi="Calibri" w:cs="Calibri"/>
          <w:sz w:val="23"/>
          <w:szCs w:val="23"/>
        </w:rPr>
        <w:t>ing</w:t>
      </w:r>
      <w:r w:rsidR="00B30B0E" w:rsidRPr="00965438">
        <w:rPr>
          <w:rFonts w:ascii="Calibri" w:hAnsi="Calibri" w:cs="Calibri"/>
          <w:sz w:val="23"/>
          <w:szCs w:val="23"/>
        </w:rPr>
        <w:t xml:space="preserve"> to new technologies</w:t>
      </w:r>
      <w:r w:rsidR="00AD3557" w:rsidRPr="00965438">
        <w:rPr>
          <w:rFonts w:ascii="Calibri" w:hAnsi="Calibri" w:cs="Calibri"/>
          <w:sz w:val="23"/>
          <w:szCs w:val="23"/>
        </w:rPr>
        <w:t>. It’s possible these company will face challenges should major changes to the current economic and geopolitical landscape arise, but until then these names represent more of a safe bet.</w:t>
      </w:r>
    </w:p>
    <w:p w14:paraId="0B3CFC56" w14:textId="77777777" w:rsidR="008B1528" w:rsidRPr="006613A2" w:rsidRDefault="008B1528">
      <w:pPr>
        <w:rPr>
          <w:rFonts w:ascii="Calibri" w:hAnsi="Calibri" w:cs="Calibri"/>
        </w:rPr>
      </w:pPr>
    </w:p>
    <w:p w14:paraId="2F0B7B0F" w14:textId="4F56CB2F" w:rsidR="008879AD" w:rsidRPr="00AD3557" w:rsidRDefault="006613A2">
      <w:pPr>
        <w:rPr>
          <w:rFonts w:ascii="Calibri" w:hAnsi="Calibri" w:cs="Calibri"/>
          <w:i/>
          <w:iCs/>
          <w:sz w:val="18"/>
          <w:szCs w:val="18"/>
        </w:rPr>
      </w:pPr>
      <w:r w:rsidRPr="00AD3557">
        <w:rPr>
          <w:rFonts w:ascii="Calibri" w:hAnsi="Calibri" w:cs="Calibri"/>
          <w:i/>
          <w:iCs/>
          <w:sz w:val="18"/>
          <w:szCs w:val="18"/>
        </w:rPr>
        <w:t xml:space="preserve">All </w:t>
      </w:r>
      <w:r w:rsidR="00965438">
        <w:rPr>
          <w:rFonts w:ascii="Calibri" w:hAnsi="Calibri" w:cs="Calibri"/>
          <w:i/>
          <w:iCs/>
          <w:sz w:val="18"/>
          <w:szCs w:val="18"/>
        </w:rPr>
        <w:t xml:space="preserve">unquoted </w:t>
      </w:r>
      <w:r w:rsidRPr="00AD3557">
        <w:rPr>
          <w:rFonts w:ascii="Calibri" w:hAnsi="Calibri" w:cs="Calibri"/>
          <w:i/>
          <w:iCs/>
          <w:sz w:val="18"/>
          <w:szCs w:val="18"/>
        </w:rPr>
        <w:t xml:space="preserve">data in this </w:t>
      </w:r>
      <w:r w:rsidR="00AD3557" w:rsidRPr="00AD3557">
        <w:rPr>
          <w:rFonts w:ascii="Calibri" w:hAnsi="Calibri" w:cs="Calibri"/>
          <w:i/>
          <w:iCs/>
          <w:sz w:val="18"/>
          <w:szCs w:val="18"/>
        </w:rPr>
        <w:t>report</w:t>
      </w:r>
      <w:r w:rsidRPr="00AD3557">
        <w:rPr>
          <w:rFonts w:ascii="Calibri" w:hAnsi="Calibri" w:cs="Calibri"/>
          <w:i/>
          <w:iCs/>
          <w:sz w:val="18"/>
          <w:szCs w:val="18"/>
        </w:rPr>
        <w:t xml:space="preserve"> has been gathered by Visa, Mastercard and American Express most recent annual reports.</w:t>
      </w:r>
    </w:p>
    <w:sectPr w:rsidR="008879AD" w:rsidRPr="00AD3557" w:rsidSect="00E441EB">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F97"/>
    <w:multiLevelType w:val="multilevel"/>
    <w:tmpl w:val="CD6E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824B6"/>
    <w:multiLevelType w:val="multilevel"/>
    <w:tmpl w:val="4648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56E9F"/>
    <w:multiLevelType w:val="hybridMultilevel"/>
    <w:tmpl w:val="FC2CA8EA"/>
    <w:lvl w:ilvl="0" w:tplc="C740647C">
      <w:start w:val="1"/>
      <w:numFmt w:val="bullet"/>
      <w:lvlText w:val="•"/>
      <w:lvlJc w:val="left"/>
      <w:pPr>
        <w:tabs>
          <w:tab w:val="num" w:pos="720"/>
        </w:tabs>
        <w:ind w:left="720" w:hanging="360"/>
      </w:pPr>
      <w:rPr>
        <w:rFonts w:ascii="Times New Roman" w:hAnsi="Times New Roman" w:hint="default"/>
      </w:rPr>
    </w:lvl>
    <w:lvl w:ilvl="1" w:tplc="6F40759E">
      <w:numFmt w:val="none"/>
      <w:lvlText w:val=""/>
      <w:lvlJc w:val="left"/>
      <w:pPr>
        <w:tabs>
          <w:tab w:val="num" w:pos="360"/>
        </w:tabs>
      </w:pPr>
    </w:lvl>
    <w:lvl w:ilvl="2" w:tplc="C95A3AB0" w:tentative="1">
      <w:start w:val="1"/>
      <w:numFmt w:val="bullet"/>
      <w:lvlText w:val="•"/>
      <w:lvlJc w:val="left"/>
      <w:pPr>
        <w:tabs>
          <w:tab w:val="num" w:pos="2160"/>
        </w:tabs>
        <w:ind w:left="2160" w:hanging="360"/>
      </w:pPr>
      <w:rPr>
        <w:rFonts w:ascii="Times New Roman" w:hAnsi="Times New Roman" w:hint="default"/>
      </w:rPr>
    </w:lvl>
    <w:lvl w:ilvl="3" w:tplc="E5022A06" w:tentative="1">
      <w:start w:val="1"/>
      <w:numFmt w:val="bullet"/>
      <w:lvlText w:val="•"/>
      <w:lvlJc w:val="left"/>
      <w:pPr>
        <w:tabs>
          <w:tab w:val="num" w:pos="2880"/>
        </w:tabs>
        <w:ind w:left="2880" w:hanging="360"/>
      </w:pPr>
      <w:rPr>
        <w:rFonts w:ascii="Times New Roman" w:hAnsi="Times New Roman" w:hint="default"/>
      </w:rPr>
    </w:lvl>
    <w:lvl w:ilvl="4" w:tplc="ADCAD076" w:tentative="1">
      <w:start w:val="1"/>
      <w:numFmt w:val="bullet"/>
      <w:lvlText w:val="•"/>
      <w:lvlJc w:val="left"/>
      <w:pPr>
        <w:tabs>
          <w:tab w:val="num" w:pos="3600"/>
        </w:tabs>
        <w:ind w:left="3600" w:hanging="360"/>
      </w:pPr>
      <w:rPr>
        <w:rFonts w:ascii="Times New Roman" w:hAnsi="Times New Roman" w:hint="default"/>
      </w:rPr>
    </w:lvl>
    <w:lvl w:ilvl="5" w:tplc="B7ACE454" w:tentative="1">
      <w:start w:val="1"/>
      <w:numFmt w:val="bullet"/>
      <w:lvlText w:val="•"/>
      <w:lvlJc w:val="left"/>
      <w:pPr>
        <w:tabs>
          <w:tab w:val="num" w:pos="4320"/>
        </w:tabs>
        <w:ind w:left="4320" w:hanging="360"/>
      </w:pPr>
      <w:rPr>
        <w:rFonts w:ascii="Times New Roman" w:hAnsi="Times New Roman" w:hint="default"/>
      </w:rPr>
    </w:lvl>
    <w:lvl w:ilvl="6" w:tplc="2FF67D7E" w:tentative="1">
      <w:start w:val="1"/>
      <w:numFmt w:val="bullet"/>
      <w:lvlText w:val="•"/>
      <w:lvlJc w:val="left"/>
      <w:pPr>
        <w:tabs>
          <w:tab w:val="num" w:pos="5040"/>
        </w:tabs>
        <w:ind w:left="5040" w:hanging="360"/>
      </w:pPr>
      <w:rPr>
        <w:rFonts w:ascii="Times New Roman" w:hAnsi="Times New Roman" w:hint="default"/>
      </w:rPr>
    </w:lvl>
    <w:lvl w:ilvl="7" w:tplc="D4C06880" w:tentative="1">
      <w:start w:val="1"/>
      <w:numFmt w:val="bullet"/>
      <w:lvlText w:val="•"/>
      <w:lvlJc w:val="left"/>
      <w:pPr>
        <w:tabs>
          <w:tab w:val="num" w:pos="5760"/>
        </w:tabs>
        <w:ind w:left="5760" w:hanging="360"/>
      </w:pPr>
      <w:rPr>
        <w:rFonts w:ascii="Times New Roman" w:hAnsi="Times New Roman" w:hint="default"/>
      </w:rPr>
    </w:lvl>
    <w:lvl w:ilvl="8" w:tplc="80D4DBD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973AC4"/>
    <w:multiLevelType w:val="multilevel"/>
    <w:tmpl w:val="644298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52987"/>
    <w:multiLevelType w:val="multilevel"/>
    <w:tmpl w:val="95C058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EC0FBE"/>
    <w:multiLevelType w:val="hybridMultilevel"/>
    <w:tmpl w:val="A240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220645"/>
    <w:multiLevelType w:val="multilevel"/>
    <w:tmpl w:val="75441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87100E"/>
    <w:multiLevelType w:val="multilevel"/>
    <w:tmpl w:val="4F3C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9B270F"/>
    <w:multiLevelType w:val="hybridMultilevel"/>
    <w:tmpl w:val="6E9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C42A7"/>
    <w:multiLevelType w:val="multilevel"/>
    <w:tmpl w:val="7FC06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7F3F3F"/>
    <w:multiLevelType w:val="multilevel"/>
    <w:tmpl w:val="10EA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277E5B"/>
    <w:multiLevelType w:val="multilevel"/>
    <w:tmpl w:val="954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316648"/>
    <w:multiLevelType w:val="multilevel"/>
    <w:tmpl w:val="286E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F27F67"/>
    <w:multiLevelType w:val="multilevel"/>
    <w:tmpl w:val="EE3E64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9A15FE"/>
    <w:multiLevelType w:val="multilevel"/>
    <w:tmpl w:val="B774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8"/>
  </w:num>
  <w:num w:numId="4">
    <w:abstractNumId w:val="5"/>
  </w:num>
  <w:num w:numId="5">
    <w:abstractNumId w:val="14"/>
  </w:num>
  <w:num w:numId="6">
    <w:abstractNumId w:val="7"/>
  </w:num>
  <w:num w:numId="7">
    <w:abstractNumId w:val="10"/>
  </w:num>
  <w:num w:numId="8">
    <w:abstractNumId w:val="6"/>
  </w:num>
  <w:num w:numId="9">
    <w:abstractNumId w:val="3"/>
  </w:num>
  <w:num w:numId="10">
    <w:abstractNumId w:val="12"/>
  </w:num>
  <w:num w:numId="11">
    <w:abstractNumId w:val="13"/>
  </w:num>
  <w:num w:numId="12">
    <w:abstractNumId w:val="9"/>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EB"/>
    <w:rsid w:val="00023D1C"/>
    <w:rsid w:val="00024E7F"/>
    <w:rsid w:val="00031A1F"/>
    <w:rsid w:val="00040739"/>
    <w:rsid w:val="000668FA"/>
    <w:rsid w:val="000C746A"/>
    <w:rsid w:val="000D55D5"/>
    <w:rsid w:val="000D6272"/>
    <w:rsid w:val="00127BEE"/>
    <w:rsid w:val="0014052D"/>
    <w:rsid w:val="001535FE"/>
    <w:rsid w:val="001807D5"/>
    <w:rsid w:val="00192441"/>
    <w:rsid w:val="001A1BE4"/>
    <w:rsid w:val="001A54D1"/>
    <w:rsid w:val="001B6DE6"/>
    <w:rsid w:val="001E44AD"/>
    <w:rsid w:val="0024379B"/>
    <w:rsid w:val="002C68AD"/>
    <w:rsid w:val="002D6A0E"/>
    <w:rsid w:val="002E6E42"/>
    <w:rsid w:val="002E79C5"/>
    <w:rsid w:val="003001B8"/>
    <w:rsid w:val="00306F04"/>
    <w:rsid w:val="0031181F"/>
    <w:rsid w:val="00311932"/>
    <w:rsid w:val="00340376"/>
    <w:rsid w:val="00344203"/>
    <w:rsid w:val="0034619E"/>
    <w:rsid w:val="003566B7"/>
    <w:rsid w:val="00361486"/>
    <w:rsid w:val="00384EEB"/>
    <w:rsid w:val="00386B6E"/>
    <w:rsid w:val="003B041B"/>
    <w:rsid w:val="003D03BE"/>
    <w:rsid w:val="003D3AA0"/>
    <w:rsid w:val="003E480E"/>
    <w:rsid w:val="003E7B4E"/>
    <w:rsid w:val="00411F72"/>
    <w:rsid w:val="00415B47"/>
    <w:rsid w:val="004565C9"/>
    <w:rsid w:val="00462F36"/>
    <w:rsid w:val="004649B7"/>
    <w:rsid w:val="00474E46"/>
    <w:rsid w:val="004C6CA3"/>
    <w:rsid w:val="004E0D19"/>
    <w:rsid w:val="004E585E"/>
    <w:rsid w:val="004F352F"/>
    <w:rsid w:val="004F699E"/>
    <w:rsid w:val="0050653E"/>
    <w:rsid w:val="00572265"/>
    <w:rsid w:val="006155F4"/>
    <w:rsid w:val="006302FF"/>
    <w:rsid w:val="00632444"/>
    <w:rsid w:val="006575BE"/>
    <w:rsid w:val="006613A2"/>
    <w:rsid w:val="0069074A"/>
    <w:rsid w:val="006E2C94"/>
    <w:rsid w:val="006F3740"/>
    <w:rsid w:val="00711AC5"/>
    <w:rsid w:val="00724921"/>
    <w:rsid w:val="00755FCF"/>
    <w:rsid w:val="007577CD"/>
    <w:rsid w:val="0076530E"/>
    <w:rsid w:val="007679EB"/>
    <w:rsid w:val="00772C99"/>
    <w:rsid w:val="00780EAE"/>
    <w:rsid w:val="007A1391"/>
    <w:rsid w:val="007D6D41"/>
    <w:rsid w:val="007F3FB9"/>
    <w:rsid w:val="008274F7"/>
    <w:rsid w:val="008312A7"/>
    <w:rsid w:val="00843585"/>
    <w:rsid w:val="008454D1"/>
    <w:rsid w:val="00852DB0"/>
    <w:rsid w:val="008879AD"/>
    <w:rsid w:val="008A4E9D"/>
    <w:rsid w:val="008B1528"/>
    <w:rsid w:val="008C382C"/>
    <w:rsid w:val="008D2B78"/>
    <w:rsid w:val="008F2B10"/>
    <w:rsid w:val="008F59C6"/>
    <w:rsid w:val="0091396F"/>
    <w:rsid w:val="0092647E"/>
    <w:rsid w:val="00931C90"/>
    <w:rsid w:val="009373DC"/>
    <w:rsid w:val="00955D2C"/>
    <w:rsid w:val="0096276F"/>
    <w:rsid w:val="00965438"/>
    <w:rsid w:val="00981342"/>
    <w:rsid w:val="00985C38"/>
    <w:rsid w:val="00997C29"/>
    <w:rsid w:val="009B49DD"/>
    <w:rsid w:val="009E51F6"/>
    <w:rsid w:val="00A01C26"/>
    <w:rsid w:val="00A05AF3"/>
    <w:rsid w:val="00A42167"/>
    <w:rsid w:val="00A73364"/>
    <w:rsid w:val="00A77829"/>
    <w:rsid w:val="00AA1B5E"/>
    <w:rsid w:val="00AD1348"/>
    <w:rsid w:val="00AD3557"/>
    <w:rsid w:val="00AE061D"/>
    <w:rsid w:val="00AE0CA2"/>
    <w:rsid w:val="00AE3B16"/>
    <w:rsid w:val="00AE3FCD"/>
    <w:rsid w:val="00B219BD"/>
    <w:rsid w:val="00B24961"/>
    <w:rsid w:val="00B30B0E"/>
    <w:rsid w:val="00B557D4"/>
    <w:rsid w:val="00B60521"/>
    <w:rsid w:val="00B60913"/>
    <w:rsid w:val="00B657E4"/>
    <w:rsid w:val="00B75A47"/>
    <w:rsid w:val="00BD29D3"/>
    <w:rsid w:val="00BD6244"/>
    <w:rsid w:val="00BE6811"/>
    <w:rsid w:val="00C2049A"/>
    <w:rsid w:val="00C269D3"/>
    <w:rsid w:val="00C32495"/>
    <w:rsid w:val="00C35F4C"/>
    <w:rsid w:val="00C74C4F"/>
    <w:rsid w:val="00C867D8"/>
    <w:rsid w:val="00CD59E5"/>
    <w:rsid w:val="00CE1DF1"/>
    <w:rsid w:val="00D15F61"/>
    <w:rsid w:val="00D42F3D"/>
    <w:rsid w:val="00D732D3"/>
    <w:rsid w:val="00D778BB"/>
    <w:rsid w:val="00D81D6B"/>
    <w:rsid w:val="00DA7B8C"/>
    <w:rsid w:val="00DB29AD"/>
    <w:rsid w:val="00DD7821"/>
    <w:rsid w:val="00E342D2"/>
    <w:rsid w:val="00E441EB"/>
    <w:rsid w:val="00E600F0"/>
    <w:rsid w:val="00E60C16"/>
    <w:rsid w:val="00E642B6"/>
    <w:rsid w:val="00EB078B"/>
    <w:rsid w:val="00EC6D0D"/>
    <w:rsid w:val="00F45F62"/>
    <w:rsid w:val="00F66114"/>
    <w:rsid w:val="00F80227"/>
    <w:rsid w:val="00F8462E"/>
    <w:rsid w:val="00F86F88"/>
    <w:rsid w:val="00F94AE7"/>
    <w:rsid w:val="00F965CF"/>
    <w:rsid w:val="00FA2E8D"/>
    <w:rsid w:val="00FA483D"/>
    <w:rsid w:val="00FD05F0"/>
    <w:rsid w:val="00FE0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0AA4"/>
  <w15:chartTrackingRefBased/>
  <w15:docId w15:val="{ECDF535A-172B-3C43-8540-5413131A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AD"/>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78B"/>
    <w:pPr>
      <w:spacing w:before="100" w:beforeAutospacing="1" w:after="100" w:afterAutospacing="1"/>
    </w:pPr>
  </w:style>
  <w:style w:type="table" w:styleId="TableGrid">
    <w:name w:val="Table Grid"/>
    <w:basedOn w:val="TableNormal"/>
    <w:uiPriority w:val="39"/>
    <w:rsid w:val="004F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F699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35F4C"/>
    <w:pPr>
      <w:ind w:left="720"/>
      <w:contextualSpacing/>
    </w:pPr>
  </w:style>
  <w:style w:type="character" w:styleId="CommentReference">
    <w:name w:val="annotation reference"/>
    <w:basedOn w:val="DefaultParagraphFont"/>
    <w:uiPriority w:val="99"/>
    <w:semiHidden/>
    <w:unhideWhenUsed/>
    <w:rsid w:val="008C382C"/>
    <w:rPr>
      <w:sz w:val="16"/>
      <w:szCs w:val="16"/>
    </w:rPr>
  </w:style>
  <w:style w:type="paragraph" w:styleId="CommentText">
    <w:name w:val="annotation text"/>
    <w:basedOn w:val="Normal"/>
    <w:link w:val="CommentTextChar"/>
    <w:uiPriority w:val="99"/>
    <w:semiHidden/>
    <w:unhideWhenUsed/>
    <w:rsid w:val="008C382C"/>
    <w:rPr>
      <w:sz w:val="20"/>
      <w:szCs w:val="20"/>
    </w:rPr>
  </w:style>
  <w:style w:type="character" w:customStyle="1" w:styleId="CommentTextChar">
    <w:name w:val="Comment Text Char"/>
    <w:basedOn w:val="DefaultParagraphFont"/>
    <w:link w:val="CommentText"/>
    <w:uiPriority w:val="99"/>
    <w:semiHidden/>
    <w:rsid w:val="008C38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C382C"/>
    <w:rPr>
      <w:b/>
      <w:bCs/>
    </w:rPr>
  </w:style>
  <w:style w:type="character" w:customStyle="1" w:styleId="CommentSubjectChar">
    <w:name w:val="Comment Subject Char"/>
    <w:basedOn w:val="CommentTextChar"/>
    <w:link w:val="CommentSubject"/>
    <w:uiPriority w:val="99"/>
    <w:semiHidden/>
    <w:rsid w:val="008C382C"/>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C3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82C"/>
    <w:rPr>
      <w:rFonts w:ascii="Segoe UI" w:eastAsia="Times New Roman" w:hAnsi="Segoe UI" w:cs="Segoe UI"/>
      <w:sz w:val="18"/>
      <w:szCs w:val="18"/>
      <w:lang w:eastAsia="en-GB"/>
    </w:rPr>
  </w:style>
  <w:style w:type="paragraph" w:customStyle="1" w:styleId="fis-body-1">
    <w:name w:val="fis-body-1"/>
    <w:basedOn w:val="Normal"/>
    <w:rsid w:val="00344203"/>
    <w:pPr>
      <w:spacing w:before="100" w:beforeAutospacing="1" w:after="100" w:afterAutospacing="1"/>
    </w:pPr>
  </w:style>
  <w:style w:type="character" w:styleId="Strong">
    <w:name w:val="Strong"/>
    <w:basedOn w:val="DefaultParagraphFont"/>
    <w:uiPriority w:val="22"/>
    <w:qFormat/>
    <w:rsid w:val="00344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8700">
      <w:bodyDiv w:val="1"/>
      <w:marLeft w:val="0"/>
      <w:marRight w:val="0"/>
      <w:marTop w:val="0"/>
      <w:marBottom w:val="0"/>
      <w:divBdr>
        <w:top w:val="none" w:sz="0" w:space="0" w:color="auto"/>
        <w:left w:val="none" w:sz="0" w:space="0" w:color="auto"/>
        <w:bottom w:val="none" w:sz="0" w:space="0" w:color="auto"/>
        <w:right w:val="none" w:sz="0" w:space="0" w:color="auto"/>
      </w:divBdr>
      <w:divsChild>
        <w:div w:id="1844276679">
          <w:marLeft w:val="0"/>
          <w:marRight w:val="0"/>
          <w:marTop w:val="0"/>
          <w:marBottom w:val="0"/>
          <w:divBdr>
            <w:top w:val="none" w:sz="0" w:space="0" w:color="auto"/>
            <w:left w:val="none" w:sz="0" w:space="0" w:color="auto"/>
            <w:bottom w:val="none" w:sz="0" w:space="0" w:color="auto"/>
            <w:right w:val="none" w:sz="0" w:space="0" w:color="auto"/>
          </w:divBdr>
          <w:divsChild>
            <w:div w:id="410002304">
              <w:marLeft w:val="0"/>
              <w:marRight w:val="0"/>
              <w:marTop w:val="0"/>
              <w:marBottom w:val="0"/>
              <w:divBdr>
                <w:top w:val="none" w:sz="0" w:space="0" w:color="auto"/>
                <w:left w:val="none" w:sz="0" w:space="0" w:color="auto"/>
                <w:bottom w:val="none" w:sz="0" w:space="0" w:color="auto"/>
                <w:right w:val="none" w:sz="0" w:space="0" w:color="auto"/>
              </w:divBdr>
              <w:divsChild>
                <w:div w:id="11509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7915">
      <w:bodyDiv w:val="1"/>
      <w:marLeft w:val="0"/>
      <w:marRight w:val="0"/>
      <w:marTop w:val="0"/>
      <w:marBottom w:val="0"/>
      <w:divBdr>
        <w:top w:val="none" w:sz="0" w:space="0" w:color="auto"/>
        <w:left w:val="none" w:sz="0" w:space="0" w:color="auto"/>
        <w:bottom w:val="none" w:sz="0" w:space="0" w:color="auto"/>
        <w:right w:val="none" w:sz="0" w:space="0" w:color="auto"/>
      </w:divBdr>
      <w:divsChild>
        <w:div w:id="1925410687">
          <w:marLeft w:val="0"/>
          <w:marRight w:val="0"/>
          <w:marTop w:val="0"/>
          <w:marBottom w:val="0"/>
          <w:divBdr>
            <w:top w:val="none" w:sz="0" w:space="0" w:color="auto"/>
            <w:left w:val="none" w:sz="0" w:space="0" w:color="auto"/>
            <w:bottom w:val="none" w:sz="0" w:space="0" w:color="auto"/>
            <w:right w:val="none" w:sz="0" w:space="0" w:color="auto"/>
          </w:divBdr>
          <w:divsChild>
            <w:div w:id="1900627832">
              <w:marLeft w:val="0"/>
              <w:marRight w:val="0"/>
              <w:marTop w:val="0"/>
              <w:marBottom w:val="0"/>
              <w:divBdr>
                <w:top w:val="none" w:sz="0" w:space="0" w:color="auto"/>
                <w:left w:val="none" w:sz="0" w:space="0" w:color="auto"/>
                <w:bottom w:val="none" w:sz="0" w:space="0" w:color="auto"/>
                <w:right w:val="none" w:sz="0" w:space="0" w:color="auto"/>
              </w:divBdr>
              <w:divsChild>
                <w:div w:id="1071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5685">
      <w:bodyDiv w:val="1"/>
      <w:marLeft w:val="0"/>
      <w:marRight w:val="0"/>
      <w:marTop w:val="0"/>
      <w:marBottom w:val="0"/>
      <w:divBdr>
        <w:top w:val="none" w:sz="0" w:space="0" w:color="auto"/>
        <w:left w:val="none" w:sz="0" w:space="0" w:color="auto"/>
        <w:bottom w:val="none" w:sz="0" w:space="0" w:color="auto"/>
        <w:right w:val="none" w:sz="0" w:space="0" w:color="auto"/>
      </w:divBdr>
    </w:div>
    <w:div w:id="107359870">
      <w:bodyDiv w:val="1"/>
      <w:marLeft w:val="0"/>
      <w:marRight w:val="0"/>
      <w:marTop w:val="0"/>
      <w:marBottom w:val="0"/>
      <w:divBdr>
        <w:top w:val="none" w:sz="0" w:space="0" w:color="auto"/>
        <w:left w:val="none" w:sz="0" w:space="0" w:color="auto"/>
        <w:bottom w:val="none" w:sz="0" w:space="0" w:color="auto"/>
        <w:right w:val="none" w:sz="0" w:space="0" w:color="auto"/>
      </w:divBdr>
    </w:div>
    <w:div w:id="124088477">
      <w:bodyDiv w:val="1"/>
      <w:marLeft w:val="0"/>
      <w:marRight w:val="0"/>
      <w:marTop w:val="0"/>
      <w:marBottom w:val="0"/>
      <w:divBdr>
        <w:top w:val="none" w:sz="0" w:space="0" w:color="auto"/>
        <w:left w:val="none" w:sz="0" w:space="0" w:color="auto"/>
        <w:bottom w:val="none" w:sz="0" w:space="0" w:color="auto"/>
        <w:right w:val="none" w:sz="0" w:space="0" w:color="auto"/>
      </w:divBdr>
      <w:divsChild>
        <w:div w:id="11539301">
          <w:marLeft w:val="0"/>
          <w:marRight w:val="0"/>
          <w:marTop w:val="0"/>
          <w:marBottom w:val="0"/>
          <w:divBdr>
            <w:top w:val="none" w:sz="0" w:space="0" w:color="auto"/>
            <w:left w:val="none" w:sz="0" w:space="0" w:color="auto"/>
            <w:bottom w:val="none" w:sz="0" w:space="0" w:color="auto"/>
            <w:right w:val="none" w:sz="0" w:space="0" w:color="auto"/>
          </w:divBdr>
          <w:divsChild>
            <w:div w:id="790587543">
              <w:marLeft w:val="0"/>
              <w:marRight w:val="0"/>
              <w:marTop w:val="0"/>
              <w:marBottom w:val="0"/>
              <w:divBdr>
                <w:top w:val="none" w:sz="0" w:space="0" w:color="auto"/>
                <w:left w:val="none" w:sz="0" w:space="0" w:color="auto"/>
                <w:bottom w:val="none" w:sz="0" w:space="0" w:color="auto"/>
                <w:right w:val="none" w:sz="0" w:space="0" w:color="auto"/>
              </w:divBdr>
              <w:divsChild>
                <w:div w:id="5234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315">
      <w:bodyDiv w:val="1"/>
      <w:marLeft w:val="0"/>
      <w:marRight w:val="0"/>
      <w:marTop w:val="0"/>
      <w:marBottom w:val="0"/>
      <w:divBdr>
        <w:top w:val="none" w:sz="0" w:space="0" w:color="auto"/>
        <w:left w:val="none" w:sz="0" w:space="0" w:color="auto"/>
        <w:bottom w:val="none" w:sz="0" w:space="0" w:color="auto"/>
        <w:right w:val="none" w:sz="0" w:space="0" w:color="auto"/>
      </w:divBdr>
      <w:divsChild>
        <w:div w:id="830176725">
          <w:marLeft w:val="547"/>
          <w:marRight w:val="0"/>
          <w:marTop w:val="0"/>
          <w:marBottom w:val="0"/>
          <w:divBdr>
            <w:top w:val="none" w:sz="0" w:space="0" w:color="auto"/>
            <w:left w:val="none" w:sz="0" w:space="0" w:color="auto"/>
            <w:bottom w:val="none" w:sz="0" w:space="0" w:color="auto"/>
            <w:right w:val="none" w:sz="0" w:space="0" w:color="auto"/>
          </w:divBdr>
        </w:div>
        <w:div w:id="1013411254">
          <w:marLeft w:val="1166"/>
          <w:marRight w:val="0"/>
          <w:marTop w:val="0"/>
          <w:marBottom w:val="0"/>
          <w:divBdr>
            <w:top w:val="none" w:sz="0" w:space="0" w:color="auto"/>
            <w:left w:val="none" w:sz="0" w:space="0" w:color="auto"/>
            <w:bottom w:val="none" w:sz="0" w:space="0" w:color="auto"/>
            <w:right w:val="none" w:sz="0" w:space="0" w:color="auto"/>
          </w:divBdr>
        </w:div>
      </w:divsChild>
    </w:div>
    <w:div w:id="140582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0329">
          <w:marLeft w:val="0"/>
          <w:marRight w:val="0"/>
          <w:marTop w:val="0"/>
          <w:marBottom w:val="0"/>
          <w:divBdr>
            <w:top w:val="none" w:sz="0" w:space="0" w:color="auto"/>
            <w:left w:val="none" w:sz="0" w:space="0" w:color="auto"/>
            <w:bottom w:val="none" w:sz="0" w:space="0" w:color="auto"/>
            <w:right w:val="none" w:sz="0" w:space="0" w:color="auto"/>
          </w:divBdr>
          <w:divsChild>
            <w:div w:id="1569223971">
              <w:marLeft w:val="0"/>
              <w:marRight w:val="0"/>
              <w:marTop w:val="0"/>
              <w:marBottom w:val="0"/>
              <w:divBdr>
                <w:top w:val="none" w:sz="0" w:space="0" w:color="auto"/>
                <w:left w:val="none" w:sz="0" w:space="0" w:color="auto"/>
                <w:bottom w:val="none" w:sz="0" w:space="0" w:color="auto"/>
                <w:right w:val="none" w:sz="0" w:space="0" w:color="auto"/>
              </w:divBdr>
              <w:divsChild>
                <w:div w:id="20055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426">
      <w:bodyDiv w:val="1"/>
      <w:marLeft w:val="0"/>
      <w:marRight w:val="0"/>
      <w:marTop w:val="0"/>
      <w:marBottom w:val="0"/>
      <w:divBdr>
        <w:top w:val="none" w:sz="0" w:space="0" w:color="auto"/>
        <w:left w:val="none" w:sz="0" w:space="0" w:color="auto"/>
        <w:bottom w:val="none" w:sz="0" w:space="0" w:color="auto"/>
        <w:right w:val="none" w:sz="0" w:space="0" w:color="auto"/>
      </w:divBdr>
    </w:div>
    <w:div w:id="237056499">
      <w:bodyDiv w:val="1"/>
      <w:marLeft w:val="0"/>
      <w:marRight w:val="0"/>
      <w:marTop w:val="0"/>
      <w:marBottom w:val="0"/>
      <w:divBdr>
        <w:top w:val="none" w:sz="0" w:space="0" w:color="auto"/>
        <w:left w:val="none" w:sz="0" w:space="0" w:color="auto"/>
        <w:bottom w:val="none" w:sz="0" w:space="0" w:color="auto"/>
        <w:right w:val="none" w:sz="0" w:space="0" w:color="auto"/>
      </w:divBdr>
    </w:div>
    <w:div w:id="500002216">
      <w:bodyDiv w:val="1"/>
      <w:marLeft w:val="0"/>
      <w:marRight w:val="0"/>
      <w:marTop w:val="0"/>
      <w:marBottom w:val="0"/>
      <w:divBdr>
        <w:top w:val="none" w:sz="0" w:space="0" w:color="auto"/>
        <w:left w:val="none" w:sz="0" w:space="0" w:color="auto"/>
        <w:bottom w:val="none" w:sz="0" w:space="0" w:color="auto"/>
        <w:right w:val="none" w:sz="0" w:space="0" w:color="auto"/>
      </w:divBdr>
    </w:div>
    <w:div w:id="504131806">
      <w:bodyDiv w:val="1"/>
      <w:marLeft w:val="0"/>
      <w:marRight w:val="0"/>
      <w:marTop w:val="0"/>
      <w:marBottom w:val="0"/>
      <w:divBdr>
        <w:top w:val="none" w:sz="0" w:space="0" w:color="auto"/>
        <w:left w:val="none" w:sz="0" w:space="0" w:color="auto"/>
        <w:bottom w:val="none" w:sz="0" w:space="0" w:color="auto"/>
        <w:right w:val="none" w:sz="0" w:space="0" w:color="auto"/>
      </w:divBdr>
      <w:divsChild>
        <w:div w:id="1290748123">
          <w:marLeft w:val="0"/>
          <w:marRight w:val="0"/>
          <w:marTop w:val="0"/>
          <w:marBottom w:val="0"/>
          <w:divBdr>
            <w:top w:val="none" w:sz="0" w:space="0" w:color="auto"/>
            <w:left w:val="none" w:sz="0" w:space="0" w:color="auto"/>
            <w:bottom w:val="none" w:sz="0" w:space="0" w:color="auto"/>
            <w:right w:val="none" w:sz="0" w:space="0" w:color="auto"/>
          </w:divBdr>
          <w:divsChild>
            <w:div w:id="796728390">
              <w:marLeft w:val="0"/>
              <w:marRight w:val="0"/>
              <w:marTop w:val="0"/>
              <w:marBottom w:val="0"/>
              <w:divBdr>
                <w:top w:val="none" w:sz="0" w:space="0" w:color="auto"/>
                <w:left w:val="none" w:sz="0" w:space="0" w:color="auto"/>
                <w:bottom w:val="none" w:sz="0" w:space="0" w:color="auto"/>
                <w:right w:val="none" w:sz="0" w:space="0" w:color="auto"/>
              </w:divBdr>
              <w:divsChild>
                <w:div w:id="10999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1772">
      <w:bodyDiv w:val="1"/>
      <w:marLeft w:val="0"/>
      <w:marRight w:val="0"/>
      <w:marTop w:val="0"/>
      <w:marBottom w:val="0"/>
      <w:divBdr>
        <w:top w:val="none" w:sz="0" w:space="0" w:color="auto"/>
        <w:left w:val="none" w:sz="0" w:space="0" w:color="auto"/>
        <w:bottom w:val="none" w:sz="0" w:space="0" w:color="auto"/>
        <w:right w:val="none" w:sz="0" w:space="0" w:color="auto"/>
      </w:divBdr>
    </w:div>
    <w:div w:id="567573735">
      <w:bodyDiv w:val="1"/>
      <w:marLeft w:val="0"/>
      <w:marRight w:val="0"/>
      <w:marTop w:val="0"/>
      <w:marBottom w:val="0"/>
      <w:divBdr>
        <w:top w:val="none" w:sz="0" w:space="0" w:color="auto"/>
        <w:left w:val="none" w:sz="0" w:space="0" w:color="auto"/>
        <w:bottom w:val="none" w:sz="0" w:space="0" w:color="auto"/>
        <w:right w:val="none" w:sz="0" w:space="0" w:color="auto"/>
      </w:divBdr>
    </w:div>
    <w:div w:id="574825826">
      <w:bodyDiv w:val="1"/>
      <w:marLeft w:val="0"/>
      <w:marRight w:val="0"/>
      <w:marTop w:val="0"/>
      <w:marBottom w:val="0"/>
      <w:divBdr>
        <w:top w:val="none" w:sz="0" w:space="0" w:color="auto"/>
        <w:left w:val="none" w:sz="0" w:space="0" w:color="auto"/>
        <w:bottom w:val="none" w:sz="0" w:space="0" w:color="auto"/>
        <w:right w:val="none" w:sz="0" w:space="0" w:color="auto"/>
      </w:divBdr>
    </w:div>
    <w:div w:id="582107139">
      <w:bodyDiv w:val="1"/>
      <w:marLeft w:val="0"/>
      <w:marRight w:val="0"/>
      <w:marTop w:val="0"/>
      <w:marBottom w:val="0"/>
      <w:divBdr>
        <w:top w:val="none" w:sz="0" w:space="0" w:color="auto"/>
        <w:left w:val="none" w:sz="0" w:space="0" w:color="auto"/>
        <w:bottom w:val="none" w:sz="0" w:space="0" w:color="auto"/>
        <w:right w:val="none" w:sz="0" w:space="0" w:color="auto"/>
      </w:divBdr>
    </w:div>
    <w:div w:id="747921026">
      <w:bodyDiv w:val="1"/>
      <w:marLeft w:val="0"/>
      <w:marRight w:val="0"/>
      <w:marTop w:val="0"/>
      <w:marBottom w:val="0"/>
      <w:divBdr>
        <w:top w:val="none" w:sz="0" w:space="0" w:color="auto"/>
        <w:left w:val="none" w:sz="0" w:space="0" w:color="auto"/>
        <w:bottom w:val="none" w:sz="0" w:space="0" w:color="auto"/>
        <w:right w:val="none" w:sz="0" w:space="0" w:color="auto"/>
      </w:divBdr>
      <w:divsChild>
        <w:div w:id="782923262">
          <w:marLeft w:val="0"/>
          <w:marRight w:val="0"/>
          <w:marTop w:val="0"/>
          <w:marBottom w:val="0"/>
          <w:divBdr>
            <w:top w:val="none" w:sz="0" w:space="0" w:color="auto"/>
            <w:left w:val="none" w:sz="0" w:space="0" w:color="auto"/>
            <w:bottom w:val="none" w:sz="0" w:space="0" w:color="auto"/>
            <w:right w:val="none" w:sz="0" w:space="0" w:color="auto"/>
          </w:divBdr>
          <w:divsChild>
            <w:div w:id="574895142">
              <w:marLeft w:val="0"/>
              <w:marRight w:val="0"/>
              <w:marTop w:val="0"/>
              <w:marBottom w:val="0"/>
              <w:divBdr>
                <w:top w:val="none" w:sz="0" w:space="0" w:color="auto"/>
                <w:left w:val="none" w:sz="0" w:space="0" w:color="auto"/>
                <w:bottom w:val="none" w:sz="0" w:space="0" w:color="auto"/>
                <w:right w:val="none" w:sz="0" w:space="0" w:color="auto"/>
              </w:divBdr>
              <w:divsChild>
                <w:div w:id="1404453767">
                  <w:marLeft w:val="0"/>
                  <w:marRight w:val="0"/>
                  <w:marTop w:val="0"/>
                  <w:marBottom w:val="0"/>
                  <w:divBdr>
                    <w:top w:val="none" w:sz="0" w:space="0" w:color="auto"/>
                    <w:left w:val="none" w:sz="0" w:space="0" w:color="auto"/>
                    <w:bottom w:val="none" w:sz="0" w:space="0" w:color="auto"/>
                    <w:right w:val="none" w:sz="0" w:space="0" w:color="auto"/>
                  </w:divBdr>
                </w:div>
              </w:divsChild>
            </w:div>
            <w:div w:id="1198271966">
              <w:marLeft w:val="0"/>
              <w:marRight w:val="0"/>
              <w:marTop w:val="0"/>
              <w:marBottom w:val="0"/>
              <w:divBdr>
                <w:top w:val="none" w:sz="0" w:space="0" w:color="auto"/>
                <w:left w:val="none" w:sz="0" w:space="0" w:color="auto"/>
                <w:bottom w:val="none" w:sz="0" w:space="0" w:color="auto"/>
                <w:right w:val="none" w:sz="0" w:space="0" w:color="auto"/>
              </w:divBdr>
              <w:divsChild>
                <w:div w:id="5296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1234">
          <w:marLeft w:val="0"/>
          <w:marRight w:val="0"/>
          <w:marTop w:val="0"/>
          <w:marBottom w:val="0"/>
          <w:divBdr>
            <w:top w:val="none" w:sz="0" w:space="0" w:color="auto"/>
            <w:left w:val="none" w:sz="0" w:space="0" w:color="auto"/>
            <w:bottom w:val="none" w:sz="0" w:space="0" w:color="auto"/>
            <w:right w:val="none" w:sz="0" w:space="0" w:color="auto"/>
          </w:divBdr>
          <w:divsChild>
            <w:div w:id="1030490495">
              <w:marLeft w:val="0"/>
              <w:marRight w:val="0"/>
              <w:marTop w:val="0"/>
              <w:marBottom w:val="0"/>
              <w:divBdr>
                <w:top w:val="none" w:sz="0" w:space="0" w:color="auto"/>
                <w:left w:val="none" w:sz="0" w:space="0" w:color="auto"/>
                <w:bottom w:val="none" w:sz="0" w:space="0" w:color="auto"/>
                <w:right w:val="none" w:sz="0" w:space="0" w:color="auto"/>
              </w:divBdr>
              <w:divsChild>
                <w:div w:id="8253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51976">
      <w:bodyDiv w:val="1"/>
      <w:marLeft w:val="0"/>
      <w:marRight w:val="0"/>
      <w:marTop w:val="0"/>
      <w:marBottom w:val="0"/>
      <w:divBdr>
        <w:top w:val="none" w:sz="0" w:space="0" w:color="auto"/>
        <w:left w:val="none" w:sz="0" w:space="0" w:color="auto"/>
        <w:bottom w:val="none" w:sz="0" w:space="0" w:color="auto"/>
        <w:right w:val="none" w:sz="0" w:space="0" w:color="auto"/>
      </w:divBdr>
      <w:divsChild>
        <w:div w:id="935753317">
          <w:marLeft w:val="0"/>
          <w:marRight w:val="0"/>
          <w:marTop w:val="0"/>
          <w:marBottom w:val="0"/>
          <w:divBdr>
            <w:top w:val="none" w:sz="0" w:space="0" w:color="auto"/>
            <w:left w:val="none" w:sz="0" w:space="0" w:color="auto"/>
            <w:bottom w:val="none" w:sz="0" w:space="0" w:color="auto"/>
            <w:right w:val="none" w:sz="0" w:space="0" w:color="auto"/>
          </w:divBdr>
          <w:divsChild>
            <w:div w:id="2118788680">
              <w:marLeft w:val="0"/>
              <w:marRight w:val="0"/>
              <w:marTop w:val="0"/>
              <w:marBottom w:val="0"/>
              <w:divBdr>
                <w:top w:val="none" w:sz="0" w:space="0" w:color="auto"/>
                <w:left w:val="none" w:sz="0" w:space="0" w:color="auto"/>
                <w:bottom w:val="none" w:sz="0" w:space="0" w:color="auto"/>
                <w:right w:val="none" w:sz="0" w:space="0" w:color="auto"/>
              </w:divBdr>
              <w:divsChild>
                <w:div w:id="1402942444">
                  <w:marLeft w:val="0"/>
                  <w:marRight w:val="0"/>
                  <w:marTop w:val="0"/>
                  <w:marBottom w:val="0"/>
                  <w:divBdr>
                    <w:top w:val="none" w:sz="0" w:space="0" w:color="auto"/>
                    <w:left w:val="none" w:sz="0" w:space="0" w:color="auto"/>
                    <w:bottom w:val="none" w:sz="0" w:space="0" w:color="auto"/>
                    <w:right w:val="none" w:sz="0" w:space="0" w:color="auto"/>
                  </w:divBdr>
                </w:div>
              </w:divsChild>
            </w:div>
            <w:div w:id="904949375">
              <w:marLeft w:val="0"/>
              <w:marRight w:val="0"/>
              <w:marTop w:val="0"/>
              <w:marBottom w:val="0"/>
              <w:divBdr>
                <w:top w:val="none" w:sz="0" w:space="0" w:color="auto"/>
                <w:left w:val="none" w:sz="0" w:space="0" w:color="auto"/>
                <w:bottom w:val="none" w:sz="0" w:space="0" w:color="auto"/>
                <w:right w:val="none" w:sz="0" w:space="0" w:color="auto"/>
              </w:divBdr>
              <w:divsChild>
                <w:div w:id="6717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042">
          <w:marLeft w:val="0"/>
          <w:marRight w:val="0"/>
          <w:marTop w:val="0"/>
          <w:marBottom w:val="0"/>
          <w:divBdr>
            <w:top w:val="none" w:sz="0" w:space="0" w:color="auto"/>
            <w:left w:val="none" w:sz="0" w:space="0" w:color="auto"/>
            <w:bottom w:val="none" w:sz="0" w:space="0" w:color="auto"/>
            <w:right w:val="none" w:sz="0" w:space="0" w:color="auto"/>
          </w:divBdr>
          <w:divsChild>
            <w:div w:id="968172601">
              <w:marLeft w:val="0"/>
              <w:marRight w:val="0"/>
              <w:marTop w:val="0"/>
              <w:marBottom w:val="0"/>
              <w:divBdr>
                <w:top w:val="none" w:sz="0" w:space="0" w:color="auto"/>
                <w:left w:val="none" w:sz="0" w:space="0" w:color="auto"/>
                <w:bottom w:val="none" w:sz="0" w:space="0" w:color="auto"/>
                <w:right w:val="none" w:sz="0" w:space="0" w:color="auto"/>
              </w:divBdr>
              <w:divsChild>
                <w:div w:id="4407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5851">
      <w:bodyDiv w:val="1"/>
      <w:marLeft w:val="0"/>
      <w:marRight w:val="0"/>
      <w:marTop w:val="0"/>
      <w:marBottom w:val="0"/>
      <w:divBdr>
        <w:top w:val="none" w:sz="0" w:space="0" w:color="auto"/>
        <w:left w:val="none" w:sz="0" w:space="0" w:color="auto"/>
        <w:bottom w:val="none" w:sz="0" w:space="0" w:color="auto"/>
        <w:right w:val="none" w:sz="0" w:space="0" w:color="auto"/>
      </w:divBdr>
      <w:divsChild>
        <w:div w:id="1201750599">
          <w:marLeft w:val="0"/>
          <w:marRight w:val="0"/>
          <w:marTop w:val="0"/>
          <w:marBottom w:val="0"/>
          <w:divBdr>
            <w:top w:val="none" w:sz="0" w:space="0" w:color="auto"/>
            <w:left w:val="none" w:sz="0" w:space="0" w:color="auto"/>
            <w:bottom w:val="none" w:sz="0" w:space="0" w:color="auto"/>
            <w:right w:val="none" w:sz="0" w:space="0" w:color="auto"/>
          </w:divBdr>
          <w:divsChild>
            <w:div w:id="1504592459">
              <w:marLeft w:val="0"/>
              <w:marRight w:val="0"/>
              <w:marTop w:val="0"/>
              <w:marBottom w:val="0"/>
              <w:divBdr>
                <w:top w:val="none" w:sz="0" w:space="0" w:color="auto"/>
                <w:left w:val="none" w:sz="0" w:space="0" w:color="auto"/>
                <w:bottom w:val="none" w:sz="0" w:space="0" w:color="auto"/>
                <w:right w:val="none" w:sz="0" w:space="0" w:color="auto"/>
              </w:divBdr>
              <w:divsChild>
                <w:div w:id="3593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70975">
      <w:bodyDiv w:val="1"/>
      <w:marLeft w:val="0"/>
      <w:marRight w:val="0"/>
      <w:marTop w:val="0"/>
      <w:marBottom w:val="0"/>
      <w:divBdr>
        <w:top w:val="none" w:sz="0" w:space="0" w:color="auto"/>
        <w:left w:val="none" w:sz="0" w:space="0" w:color="auto"/>
        <w:bottom w:val="none" w:sz="0" w:space="0" w:color="auto"/>
        <w:right w:val="none" w:sz="0" w:space="0" w:color="auto"/>
      </w:divBdr>
    </w:div>
    <w:div w:id="992178354">
      <w:bodyDiv w:val="1"/>
      <w:marLeft w:val="0"/>
      <w:marRight w:val="0"/>
      <w:marTop w:val="0"/>
      <w:marBottom w:val="0"/>
      <w:divBdr>
        <w:top w:val="none" w:sz="0" w:space="0" w:color="auto"/>
        <w:left w:val="none" w:sz="0" w:space="0" w:color="auto"/>
        <w:bottom w:val="none" w:sz="0" w:space="0" w:color="auto"/>
        <w:right w:val="none" w:sz="0" w:space="0" w:color="auto"/>
      </w:divBdr>
      <w:divsChild>
        <w:div w:id="931473866">
          <w:marLeft w:val="0"/>
          <w:marRight w:val="0"/>
          <w:marTop w:val="0"/>
          <w:marBottom w:val="0"/>
          <w:divBdr>
            <w:top w:val="none" w:sz="0" w:space="0" w:color="auto"/>
            <w:left w:val="none" w:sz="0" w:space="0" w:color="auto"/>
            <w:bottom w:val="none" w:sz="0" w:space="0" w:color="auto"/>
            <w:right w:val="none" w:sz="0" w:space="0" w:color="auto"/>
          </w:divBdr>
          <w:divsChild>
            <w:div w:id="810446123">
              <w:marLeft w:val="0"/>
              <w:marRight w:val="0"/>
              <w:marTop w:val="0"/>
              <w:marBottom w:val="0"/>
              <w:divBdr>
                <w:top w:val="none" w:sz="0" w:space="0" w:color="auto"/>
                <w:left w:val="none" w:sz="0" w:space="0" w:color="auto"/>
                <w:bottom w:val="none" w:sz="0" w:space="0" w:color="auto"/>
                <w:right w:val="none" w:sz="0" w:space="0" w:color="auto"/>
              </w:divBdr>
              <w:divsChild>
                <w:div w:id="361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2792">
      <w:bodyDiv w:val="1"/>
      <w:marLeft w:val="0"/>
      <w:marRight w:val="0"/>
      <w:marTop w:val="0"/>
      <w:marBottom w:val="0"/>
      <w:divBdr>
        <w:top w:val="none" w:sz="0" w:space="0" w:color="auto"/>
        <w:left w:val="none" w:sz="0" w:space="0" w:color="auto"/>
        <w:bottom w:val="none" w:sz="0" w:space="0" w:color="auto"/>
        <w:right w:val="none" w:sz="0" w:space="0" w:color="auto"/>
      </w:divBdr>
    </w:div>
    <w:div w:id="1044410004">
      <w:bodyDiv w:val="1"/>
      <w:marLeft w:val="0"/>
      <w:marRight w:val="0"/>
      <w:marTop w:val="0"/>
      <w:marBottom w:val="0"/>
      <w:divBdr>
        <w:top w:val="none" w:sz="0" w:space="0" w:color="auto"/>
        <w:left w:val="none" w:sz="0" w:space="0" w:color="auto"/>
        <w:bottom w:val="none" w:sz="0" w:space="0" w:color="auto"/>
        <w:right w:val="none" w:sz="0" w:space="0" w:color="auto"/>
      </w:divBdr>
      <w:divsChild>
        <w:div w:id="1246300332">
          <w:marLeft w:val="0"/>
          <w:marRight w:val="0"/>
          <w:marTop w:val="0"/>
          <w:marBottom w:val="0"/>
          <w:divBdr>
            <w:top w:val="none" w:sz="0" w:space="0" w:color="auto"/>
            <w:left w:val="none" w:sz="0" w:space="0" w:color="auto"/>
            <w:bottom w:val="none" w:sz="0" w:space="0" w:color="auto"/>
            <w:right w:val="none" w:sz="0" w:space="0" w:color="auto"/>
          </w:divBdr>
          <w:divsChild>
            <w:div w:id="913591667">
              <w:marLeft w:val="0"/>
              <w:marRight w:val="0"/>
              <w:marTop w:val="0"/>
              <w:marBottom w:val="0"/>
              <w:divBdr>
                <w:top w:val="none" w:sz="0" w:space="0" w:color="auto"/>
                <w:left w:val="none" w:sz="0" w:space="0" w:color="auto"/>
                <w:bottom w:val="none" w:sz="0" w:space="0" w:color="auto"/>
                <w:right w:val="none" w:sz="0" w:space="0" w:color="auto"/>
              </w:divBdr>
              <w:divsChild>
                <w:div w:id="423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28837">
      <w:bodyDiv w:val="1"/>
      <w:marLeft w:val="0"/>
      <w:marRight w:val="0"/>
      <w:marTop w:val="0"/>
      <w:marBottom w:val="0"/>
      <w:divBdr>
        <w:top w:val="none" w:sz="0" w:space="0" w:color="auto"/>
        <w:left w:val="none" w:sz="0" w:space="0" w:color="auto"/>
        <w:bottom w:val="none" w:sz="0" w:space="0" w:color="auto"/>
        <w:right w:val="none" w:sz="0" w:space="0" w:color="auto"/>
      </w:divBdr>
    </w:div>
    <w:div w:id="1220635048">
      <w:bodyDiv w:val="1"/>
      <w:marLeft w:val="0"/>
      <w:marRight w:val="0"/>
      <w:marTop w:val="0"/>
      <w:marBottom w:val="0"/>
      <w:divBdr>
        <w:top w:val="none" w:sz="0" w:space="0" w:color="auto"/>
        <w:left w:val="none" w:sz="0" w:space="0" w:color="auto"/>
        <w:bottom w:val="none" w:sz="0" w:space="0" w:color="auto"/>
        <w:right w:val="none" w:sz="0" w:space="0" w:color="auto"/>
      </w:divBdr>
    </w:div>
    <w:div w:id="1257399208">
      <w:bodyDiv w:val="1"/>
      <w:marLeft w:val="0"/>
      <w:marRight w:val="0"/>
      <w:marTop w:val="0"/>
      <w:marBottom w:val="0"/>
      <w:divBdr>
        <w:top w:val="none" w:sz="0" w:space="0" w:color="auto"/>
        <w:left w:val="none" w:sz="0" w:space="0" w:color="auto"/>
        <w:bottom w:val="none" w:sz="0" w:space="0" w:color="auto"/>
        <w:right w:val="none" w:sz="0" w:space="0" w:color="auto"/>
      </w:divBdr>
    </w:div>
    <w:div w:id="1262645746">
      <w:bodyDiv w:val="1"/>
      <w:marLeft w:val="0"/>
      <w:marRight w:val="0"/>
      <w:marTop w:val="0"/>
      <w:marBottom w:val="0"/>
      <w:divBdr>
        <w:top w:val="none" w:sz="0" w:space="0" w:color="auto"/>
        <w:left w:val="none" w:sz="0" w:space="0" w:color="auto"/>
        <w:bottom w:val="none" w:sz="0" w:space="0" w:color="auto"/>
        <w:right w:val="none" w:sz="0" w:space="0" w:color="auto"/>
      </w:divBdr>
    </w:div>
    <w:div w:id="1365447319">
      <w:bodyDiv w:val="1"/>
      <w:marLeft w:val="0"/>
      <w:marRight w:val="0"/>
      <w:marTop w:val="0"/>
      <w:marBottom w:val="0"/>
      <w:divBdr>
        <w:top w:val="none" w:sz="0" w:space="0" w:color="auto"/>
        <w:left w:val="none" w:sz="0" w:space="0" w:color="auto"/>
        <w:bottom w:val="none" w:sz="0" w:space="0" w:color="auto"/>
        <w:right w:val="none" w:sz="0" w:space="0" w:color="auto"/>
      </w:divBdr>
    </w:div>
    <w:div w:id="1402287411">
      <w:bodyDiv w:val="1"/>
      <w:marLeft w:val="0"/>
      <w:marRight w:val="0"/>
      <w:marTop w:val="0"/>
      <w:marBottom w:val="0"/>
      <w:divBdr>
        <w:top w:val="none" w:sz="0" w:space="0" w:color="auto"/>
        <w:left w:val="none" w:sz="0" w:space="0" w:color="auto"/>
        <w:bottom w:val="none" w:sz="0" w:space="0" w:color="auto"/>
        <w:right w:val="none" w:sz="0" w:space="0" w:color="auto"/>
      </w:divBdr>
      <w:divsChild>
        <w:div w:id="1193616212">
          <w:marLeft w:val="0"/>
          <w:marRight w:val="0"/>
          <w:marTop w:val="0"/>
          <w:marBottom w:val="0"/>
          <w:divBdr>
            <w:top w:val="none" w:sz="0" w:space="0" w:color="auto"/>
            <w:left w:val="none" w:sz="0" w:space="0" w:color="auto"/>
            <w:bottom w:val="none" w:sz="0" w:space="0" w:color="auto"/>
            <w:right w:val="none" w:sz="0" w:space="0" w:color="auto"/>
          </w:divBdr>
          <w:divsChild>
            <w:div w:id="221327495">
              <w:marLeft w:val="0"/>
              <w:marRight w:val="0"/>
              <w:marTop w:val="0"/>
              <w:marBottom w:val="0"/>
              <w:divBdr>
                <w:top w:val="none" w:sz="0" w:space="0" w:color="auto"/>
                <w:left w:val="none" w:sz="0" w:space="0" w:color="auto"/>
                <w:bottom w:val="none" w:sz="0" w:space="0" w:color="auto"/>
                <w:right w:val="none" w:sz="0" w:space="0" w:color="auto"/>
              </w:divBdr>
              <w:divsChild>
                <w:div w:id="10905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0604">
      <w:bodyDiv w:val="1"/>
      <w:marLeft w:val="0"/>
      <w:marRight w:val="0"/>
      <w:marTop w:val="0"/>
      <w:marBottom w:val="0"/>
      <w:divBdr>
        <w:top w:val="none" w:sz="0" w:space="0" w:color="auto"/>
        <w:left w:val="none" w:sz="0" w:space="0" w:color="auto"/>
        <w:bottom w:val="none" w:sz="0" w:space="0" w:color="auto"/>
        <w:right w:val="none" w:sz="0" w:space="0" w:color="auto"/>
      </w:divBdr>
    </w:div>
    <w:div w:id="1556309506">
      <w:bodyDiv w:val="1"/>
      <w:marLeft w:val="0"/>
      <w:marRight w:val="0"/>
      <w:marTop w:val="0"/>
      <w:marBottom w:val="0"/>
      <w:divBdr>
        <w:top w:val="none" w:sz="0" w:space="0" w:color="auto"/>
        <w:left w:val="none" w:sz="0" w:space="0" w:color="auto"/>
        <w:bottom w:val="none" w:sz="0" w:space="0" w:color="auto"/>
        <w:right w:val="none" w:sz="0" w:space="0" w:color="auto"/>
      </w:divBdr>
    </w:div>
    <w:div w:id="1570769275">
      <w:bodyDiv w:val="1"/>
      <w:marLeft w:val="0"/>
      <w:marRight w:val="0"/>
      <w:marTop w:val="0"/>
      <w:marBottom w:val="0"/>
      <w:divBdr>
        <w:top w:val="none" w:sz="0" w:space="0" w:color="auto"/>
        <w:left w:val="none" w:sz="0" w:space="0" w:color="auto"/>
        <w:bottom w:val="none" w:sz="0" w:space="0" w:color="auto"/>
        <w:right w:val="none" w:sz="0" w:space="0" w:color="auto"/>
      </w:divBdr>
      <w:divsChild>
        <w:div w:id="401220621">
          <w:marLeft w:val="0"/>
          <w:marRight w:val="0"/>
          <w:marTop w:val="0"/>
          <w:marBottom w:val="0"/>
          <w:divBdr>
            <w:top w:val="none" w:sz="0" w:space="0" w:color="auto"/>
            <w:left w:val="none" w:sz="0" w:space="0" w:color="auto"/>
            <w:bottom w:val="none" w:sz="0" w:space="0" w:color="auto"/>
            <w:right w:val="none" w:sz="0" w:space="0" w:color="auto"/>
          </w:divBdr>
          <w:divsChild>
            <w:div w:id="1972245709">
              <w:marLeft w:val="0"/>
              <w:marRight w:val="0"/>
              <w:marTop w:val="0"/>
              <w:marBottom w:val="0"/>
              <w:divBdr>
                <w:top w:val="none" w:sz="0" w:space="0" w:color="auto"/>
                <w:left w:val="none" w:sz="0" w:space="0" w:color="auto"/>
                <w:bottom w:val="none" w:sz="0" w:space="0" w:color="auto"/>
                <w:right w:val="none" w:sz="0" w:space="0" w:color="auto"/>
              </w:divBdr>
              <w:divsChild>
                <w:div w:id="494881887">
                  <w:marLeft w:val="0"/>
                  <w:marRight w:val="0"/>
                  <w:marTop w:val="0"/>
                  <w:marBottom w:val="0"/>
                  <w:divBdr>
                    <w:top w:val="none" w:sz="0" w:space="0" w:color="auto"/>
                    <w:left w:val="none" w:sz="0" w:space="0" w:color="auto"/>
                    <w:bottom w:val="none" w:sz="0" w:space="0" w:color="auto"/>
                    <w:right w:val="none" w:sz="0" w:space="0" w:color="auto"/>
                  </w:divBdr>
                </w:div>
              </w:divsChild>
            </w:div>
            <w:div w:id="844201957">
              <w:marLeft w:val="0"/>
              <w:marRight w:val="0"/>
              <w:marTop w:val="0"/>
              <w:marBottom w:val="0"/>
              <w:divBdr>
                <w:top w:val="none" w:sz="0" w:space="0" w:color="auto"/>
                <w:left w:val="none" w:sz="0" w:space="0" w:color="auto"/>
                <w:bottom w:val="none" w:sz="0" w:space="0" w:color="auto"/>
                <w:right w:val="none" w:sz="0" w:space="0" w:color="auto"/>
              </w:divBdr>
              <w:divsChild>
                <w:div w:id="3259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7291">
          <w:marLeft w:val="0"/>
          <w:marRight w:val="0"/>
          <w:marTop w:val="0"/>
          <w:marBottom w:val="0"/>
          <w:divBdr>
            <w:top w:val="none" w:sz="0" w:space="0" w:color="auto"/>
            <w:left w:val="none" w:sz="0" w:space="0" w:color="auto"/>
            <w:bottom w:val="none" w:sz="0" w:space="0" w:color="auto"/>
            <w:right w:val="none" w:sz="0" w:space="0" w:color="auto"/>
          </w:divBdr>
          <w:divsChild>
            <w:div w:id="1596747625">
              <w:marLeft w:val="0"/>
              <w:marRight w:val="0"/>
              <w:marTop w:val="0"/>
              <w:marBottom w:val="0"/>
              <w:divBdr>
                <w:top w:val="none" w:sz="0" w:space="0" w:color="auto"/>
                <w:left w:val="none" w:sz="0" w:space="0" w:color="auto"/>
                <w:bottom w:val="none" w:sz="0" w:space="0" w:color="auto"/>
                <w:right w:val="none" w:sz="0" w:space="0" w:color="auto"/>
              </w:divBdr>
              <w:divsChild>
                <w:div w:id="3086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1416">
      <w:bodyDiv w:val="1"/>
      <w:marLeft w:val="0"/>
      <w:marRight w:val="0"/>
      <w:marTop w:val="0"/>
      <w:marBottom w:val="0"/>
      <w:divBdr>
        <w:top w:val="none" w:sz="0" w:space="0" w:color="auto"/>
        <w:left w:val="none" w:sz="0" w:space="0" w:color="auto"/>
        <w:bottom w:val="none" w:sz="0" w:space="0" w:color="auto"/>
        <w:right w:val="none" w:sz="0" w:space="0" w:color="auto"/>
      </w:divBdr>
    </w:div>
    <w:div w:id="1808354048">
      <w:bodyDiv w:val="1"/>
      <w:marLeft w:val="0"/>
      <w:marRight w:val="0"/>
      <w:marTop w:val="0"/>
      <w:marBottom w:val="0"/>
      <w:divBdr>
        <w:top w:val="none" w:sz="0" w:space="0" w:color="auto"/>
        <w:left w:val="none" w:sz="0" w:space="0" w:color="auto"/>
        <w:bottom w:val="none" w:sz="0" w:space="0" w:color="auto"/>
        <w:right w:val="none" w:sz="0" w:space="0" w:color="auto"/>
      </w:divBdr>
    </w:div>
    <w:div w:id="1811168838">
      <w:bodyDiv w:val="1"/>
      <w:marLeft w:val="0"/>
      <w:marRight w:val="0"/>
      <w:marTop w:val="0"/>
      <w:marBottom w:val="0"/>
      <w:divBdr>
        <w:top w:val="none" w:sz="0" w:space="0" w:color="auto"/>
        <w:left w:val="none" w:sz="0" w:space="0" w:color="auto"/>
        <w:bottom w:val="none" w:sz="0" w:space="0" w:color="auto"/>
        <w:right w:val="none" w:sz="0" w:space="0" w:color="auto"/>
      </w:divBdr>
    </w:div>
    <w:div w:id="1834301241">
      <w:bodyDiv w:val="1"/>
      <w:marLeft w:val="0"/>
      <w:marRight w:val="0"/>
      <w:marTop w:val="0"/>
      <w:marBottom w:val="0"/>
      <w:divBdr>
        <w:top w:val="none" w:sz="0" w:space="0" w:color="auto"/>
        <w:left w:val="none" w:sz="0" w:space="0" w:color="auto"/>
        <w:bottom w:val="none" w:sz="0" w:space="0" w:color="auto"/>
        <w:right w:val="none" w:sz="0" w:space="0" w:color="auto"/>
      </w:divBdr>
      <w:divsChild>
        <w:div w:id="271939198">
          <w:marLeft w:val="0"/>
          <w:marRight w:val="0"/>
          <w:marTop w:val="0"/>
          <w:marBottom w:val="0"/>
          <w:divBdr>
            <w:top w:val="none" w:sz="0" w:space="0" w:color="auto"/>
            <w:left w:val="none" w:sz="0" w:space="0" w:color="auto"/>
            <w:bottom w:val="none" w:sz="0" w:space="0" w:color="auto"/>
            <w:right w:val="none" w:sz="0" w:space="0" w:color="auto"/>
          </w:divBdr>
          <w:divsChild>
            <w:div w:id="2105951337">
              <w:marLeft w:val="0"/>
              <w:marRight w:val="0"/>
              <w:marTop w:val="0"/>
              <w:marBottom w:val="0"/>
              <w:divBdr>
                <w:top w:val="none" w:sz="0" w:space="0" w:color="auto"/>
                <w:left w:val="none" w:sz="0" w:space="0" w:color="auto"/>
                <w:bottom w:val="none" w:sz="0" w:space="0" w:color="auto"/>
                <w:right w:val="none" w:sz="0" w:space="0" w:color="auto"/>
              </w:divBdr>
              <w:divsChild>
                <w:div w:id="20176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148882">
      <w:bodyDiv w:val="1"/>
      <w:marLeft w:val="0"/>
      <w:marRight w:val="0"/>
      <w:marTop w:val="0"/>
      <w:marBottom w:val="0"/>
      <w:divBdr>
        <w:top w:val="none" w:sz="0" w:space="0" w:color="auto"/>
        <w:left w:val="none" w:sz="0" w:space="0" w:color="auto"/>
        <w:bottom w:val="none" w:sz="0" w:space="0" w:color="auto"/>
        <w:right w:val="none" w:sz="0" w:space="0" w:color="auto"/>
      </w:divBdr>
      <w:divsChild>
        <w:div w:id="175733545">
          <w:marLeft w:val="0"/>
          <w:marRight w:val="0"/>
          <w:marTop w:val="0"/>
          <w:marBottom w:val="0"/>
          <w:divBdr>
            <w:top w:val="none" w:sz="0" w:space="0" w:color="auto"/>
            <w:left w:val="none" w:sz="0" w:space="0" w:color="auto"/>
            <w:bottom w:val="none" w:sz="0" w:space="0" w:color="auto"/>
            <w:right w:val="none" w:sz="0" w:space="0" w:color="auto"/>
          </w:divBdr>
          <w:divsChild>
            <w:div w:id="1790779745">
              <w:marLeft w:val="0"/>
              <w:marRight w:val="0"/>
              <w:marTop w:val="0"/>
              <w:marBottom w:val="0"/>
              <w:divBdr>
                <w:top w:val="none" w:sz="0" w:space="0" w:color="auto"/>
                <w:left w:val="none" w:sz="0" w:space="0" w:color="auto"/>
                <w:bottom w:val="none" w:sz="0" w:space="0" w:color="auto"/>
                <w:right w:val="none" w:sz="0" w:space="0" w:color="auto"/>
              </w:divBdr>
              <w:divsChild>
                <w:div w:id="4887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91832">
      <w:bodyDiv w:val="1"/>
      <w:marLeft w:val="0"/>
      <w:marRight w:val="0"/>
      <w:marTop w:val="0"/>
      <w:marBottom w:val="0"/>
      <w:divBdr>
        <w:top w:val="none" w:sz="0" w:space="0" w:color="auto"/>
        <w:left w:val="none" w:sz="0" w:space="0" w:color="auto"/>
        <w:bottom w:val="none" w:sz="0" w:space="0" w:color="auto"/>
        <w:right w:val="none" w:sz="0" w:space="0" w:color="auto"/>
      </w:divBdr>
    </w:div>
    <w:div w:id="213131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image" Target="media/image2.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0BB760-B506-334B-A1E6-37F09BE89182}" type="doc">
      <dgm:prSet loTypeId="urn:microsoft.com/office/officeart/2005/8/layout/vList2" loCatId="" qsTypeId="urn:microsoft.com/office/officeart/2005/8/quickstyle/simple3" qsCatId="simple" csTypeId="urn:microsoft.com/office/officeart/2005/8/colors/colorful4" csCatId="colorful" phldr="1"/>
      <dgm:spPr/>
      <dgm:t>
        <a:bodyPr/>
        <a:lstStyle/>
        <a:p>
          <a:endParaRPr lang="en-GB"/>
        </a:p>
      </dgm:t>
    </dgm:pt>
    <dgm:pt modelId="{859470B2-886A-0748-9A83-59BDB6F3D2FF}">
      <dgm:prSet phldrT="[Text]" custT="1"/>
      <dgm:spPr/>
      <dgm:t>
        <a:bodyPr/>
        <a:lstStyle/>
        <a:p>
          <a:r>
            <a:rPr lang="en-GB" sz="2000" b="1"/>
            <a:t>Revenue Drivers</a:t>
          </a:r>
        </a:p>
      </dgm:t>
    </dgm:pt>
    <dgm:pt modelId="{678F5C4A-38CF-E047-B14F-711C8134AB42}" type="parTrans" cxnId="{1FD9AFB4-AED7-604A-8740-F928C816B1B8}">
      <dgm:prSet/>
      <dgm:spPr/>
      <dgm:t>
        <a:bodyPr/>
        <a:lstStyle/>
        <a:p>
          <a:endParaRPr lang="en-GB"/>
        </a:p>
      </dgm:t>
    </dgm:pt>
    <dgm:pt modelId="{52C78678-7777-4F4C-AE4E-035286CCCDF5}" type="sibTrans" cxnId="{1FD9AFB4-AED7-604A-8740-F928C816B1B8}">
      <dgm:prSet/>
      <dgm:spPr/>
      <dgm:t>
        <a:bodyPr/>
        <a:lstStyle/>
        <a:p>
          <a:endParaRPr lang="en-GB"/>
        </a:p>
      </dgm:t>
    </dgm:pt>
    <dgm:pt modelId="{B37D11AE-A8A9-E046-83DD-ADB66FBAD8DB}">
      <dgm:prSet phldrT="[Text]" custT="1"/>
      <dgm:spPr/>
      <dgm:t>
        <a:bodyPr/>
        <a:lstStyle/>
        <a:p>
          <a:pPr algn="just"/>
          <a:r>
            <a:rPr lang="en-GB" sz="1050" b="1" i="0">
              <a:latin typeface="Calibri" panose="020F0502020204030204" pitchFamily="34" charset="0"/>
              <a:cs typeface="Calibri" panose="020F0502020204030204" pitchFamily="34" charset="0"/>
            </a:rPr>
            <a:t>Payments Volume</a:t>
          </a:r>
        </a:p>
      </dgm:t>
    </dgm:pt>
    <dgm:pt modelId="{BC300A63-BB6A-B54C-B192-BF5E82113722}" type="parTrans" cxnId="{15D5234E-FEBA-1C46-9DC3-FE5EFA080B23}">
      <dgm:prSet/>
      <dgm:spPr/>
      <dgm:t>
        <a:bodyPr/>
        <a:lstStyle/>
        <a:p>
          <a:endParaRPr lang="en-GB"/>
        </a:p>
      </dgm:t>
    </dgm:pt>
    <dgm:pt modelId="{AD412D26-CE82-944D-8E17-5AC036E7B01F}" type="sibTrans" cxnId="{15D5234E-FEBA-1C46-9DC3-FE5EFA080B23}">
      <dgm:prSet/>
      <dgm:spPr/>
      <dgm:t>
        <a:bodyPr/>
        <a:lstStyle/>
        <a:p>
          <a:endParaRPr lang="en-GB"/>
        </a:p>
      </dgm:t>
    </dgm:pt>
    <dgm:pt modelId="{E880727F-0D72-7145-A29C-5A079A14AEC4}">
      <dgm:prSet phldrT="[Text]" custT="1"/>
      <dgm:spPr/>
      <dgm:t>
        <a:bodyPr/>
        <a:lstStyle/>
        <a:p>
          <a:pPr algn="just"/>
          <a:r>
            <a:rPr lang="en-GB" sz="1050" b="1"/>
            <a:t>Personnel</a:t>
          </a:r>
        </a:p>
      </dgm:t>
    </dgm:pt>
    <dgm:pt modelId="{9EA4AD86-5ADA-1C42-BB73-804AC7F2E59B}" type="parTrans" cxnId="{CCEF4138-9688-C245-86D4-33DC566585A1}">
      <dgm:prSet/>
      <dgm:spPr/>
      <dgm:t>
        <a:bodyPr/>
        <a:lstStyle/>
        <a:p>
          <a:endParaRPr lang="en-GB"/>
        </a:p>
      </dgm:t>
    </dgm:pt>
    <dgm:pt modelId="{4D8330A0-2697-414D-9387-752F64CCCBD7}" type="sibTrans" cxnId="{CCEF4138-9688-C245-86D4-33DC566585A1}">
      <dgm:prSet/>
      <dgm:spPr/>
      <dgm:t>
        <a:bodyPr/>
        <a:lstStyle/>
        <a:p>
          <a:endParaRPr lang="en-GB"/>
        </a:p>
      </dgm:t>
    </dgm:pt>
    <dgm:pt modelId="{12DB8D4B-885D-9544-ADAF-09E464126820}">
      <dgm:prSet custT="1"/>
      <dgm:spPr/>
      <dgm:t>
        <a:bodyPr/>
        <a:lstStyle/>
        <a:p>
          <a:pPr algn="just"/>
          <a:r>
            <a:rPr lang="en-GB" sz="1050" b="1">
              <a:latin typeface="Calibri" panose="020F0502020204030204" pitchFamily="34" charset="0"/>
              <a:cs typeface="Calibri" panose="020F0502020204030204" pitchFamily="34" charset="0"/>
            </a:rPr>
            <a:t>Processed Transactions</a:t>
          </a:r>
        </a:p>
      </dgm:t>
    </dgm:pt>
    <dgm:pt modelId="{752E13D4-6AFF-A74C-82A2-C29ED983353B}" type="parTrans" cxnId="{C794C48E-E956-1D4E-B0DE-8349A4CD69EC}">
      <dgm:prSet/>
      <dgm:spPr/>
      <dgm:t>
        <a:bodyPr/>
        <a:lstStyle/>
        <a:p>
          <a:endParaRPr lang="en-GB"/>
        </a:p>
      </dgm:t>
    </dgm:pt>
    <dgm:pt modelId="{451ABD9E-ED14-774A-9332-7B8BFD83582E}" type="sibTrans" cxnId="{C794C48E-E956-1D4E-B0DE-8349A4CD69EC}">
      <dgm:prSet/>
      <dgm:spPr/>
      <dgm:t>
        <a:bodyPr/>
        <a:lstStyle/>
        <a:p>
          <a:endParaRPr lang="en-GB"/>
        </a:p>
      </dgm:t>
    </dgm:pt>
    <dgm:pt modelId="{A363A3FE-92E4-FB4F-BBEB-B6F726CD00EC}">
      <dgm:prSet custT="1"/>
      <dgm:spPr/>
      <dgm:t>
        <a:bodyPr/>
        <a:lstStyle/>
        <a:p>
          <a:pPr algn="just"/>
          <a:r>
            <a:rPr lang="en-GB" sz="1050" b="1">
              <a:latin typeface="Calibri" panose="020F0502020204030204" pitchFamily="34" charset="0"/>
              <a:cs typeface="Calibri" panose="020F0502020204030204" pitchFamily="34" charset="0"/>
            </a:rPr>
            <a:t>Cross-Border Volume</a:t>
          </a:r>
        </a:p>
      </dgm:t>
    </dgm:pt>
    <dgm:pt modelId="{846CF34C-52B8-0A48-B45E-20A36881A06F}" type="parTrans" cxnId="{4EBB57FD-60D8-AD48-B435-574111464F31}">
      <dgm:prSet/>
      <dgm:spPr/>
      <dgm:t>
        <a:bodyPr/>
        <a:lstStyle/>
        <a:p>
          <a:endParaRPr lang="en-GB"/>
        </a:p>
      </dgm:t>
    </dgm:pt>
    <dgm:pt modelId="{E77A204B-278C-6945-95FD-3F1D1931D7C4}" type="sibTrans" cxnId="{4EBB57FD-60D8-AD48-B435-574111464F31}">
      <dgm:prSet/>
      <dgm:spPr/>
      <dgm:t>
        <a:bodyPr/>
        <a:lstStyle/>
        <a:p>
          <a:endParaRPr lang="en-GB"/>
        </a:p>
      </dgm:t>
    </dgm:pt>
    <dgm:pt modelId="{33E3FF7F-21CC-844B-9022-52F7BAD79CC8}">
      <dgm:prSet custT="1"/>
      <dgm:spPr/>
      <dgm:t>
        <a:bodyPr/>
        <a:lstStyle/>
        <a:p>
          <a:pPr algn="just"/>
          <a:r>
            <a:rPr lang="en-GB" sz="1050" b="1">
              <a:latin typeface="Calibri" panose="020F0502020204030204" pitchFamily="34" charset="0"/>
              <a:cs typeface="Calibri" panose="020F0502020204030204" pitchFamily="34" charset="0"/>
            </a:rPr>
            <a:t>Other</a:t>
          </a:r>
        </a:p>
      </dgm:t>
    </dgm:pt>
    <dgm:pt modelId="{5DCB87D3-E5F1-364E-AF26-267B45137469}" type="parTrans" cxnId="{CE6B7ADE-73EC-7B45-9676-DFEDFE16C2AA}">
      <dgm:prSet/>
      <dgm:spPr/>
      <dgm:t>
        <a:bodyPr/>
        <a:lstStyle/>
        <a:p>
          <a:endParaRPr lang="en-GB"/>
        </a:p>
      </dgm:t>
    </dgm:pt>
    <dgm:pt modelId="{E48924DB-0566-0B4E-84F5-B045591F447E}" type="sibTrans" cxnId="{CE6B7ADE-73EC-7B45-9676-DFEDFE16C2AA}">
      <dgm:prSet/>
      <dgm:spPr/>
      <dgm:t>
        <a:bodyPr/>
        <a:lstStyle/>
        <a:p>
          <a:endParaRPr lang="en-GB"/>
        </a:p>
      </dgm:t>
    </dgm:pt>
    <dgm:pt modelId="{F0C665B1-827C-AC47-B91B-A333E4DCEA01}">
      <dgm:prSet phldrT="[Text]" custT="1"/>
      <dgm:spPr/>
      <dgm:t>
        <a:bodyPr/>
        <a:lstStyle/>
        <a:p>
          <a:pPr algn="just"/>
          <a:r>
            <a:rPr lang="en-GB" sz="1050" b="1"/>
            <a:t>Marketing</a:t>
          </a:r>
        </a:p>
      </dgm:t>
    </dgm:pt>
    <dgm:pt modelId="{339B3D20-5911-694D-B081-C56FAA49425A}" type="parTrans" cxnId="{9E44EEB0-EABD-BF4D-BD8C-AA1C5BCC571F}">
      <dgm:prSet/>
      <dgm:spPr/>
      <dgm:t>
        <a:bodyPr/>
        <a:lstStyle/>
        <a:p>
          <a:endParaRPr lang="en-GB"/>
        </a:p>
      </dgm:t>
    </dgm:pt>
    <dgm:pt modelId="{DE1D5182-F871-2C49-9E98-6A6EA4BE5023}" type="sibTrans" cxnId="{9E44EEB0-EABD-BF4D-BD8C-AA1C5BCC571F}">
      <dgm:prSet/>
      <dgm:spPr/>
      <dgm:t>
        <a:bodyPr/>
        <a:lstStyle/>
        <a:p>
          <a:endParaRPr lang="en-GB"/>
        </a:p>
      </dgm:t>
    </dgm:pt>
    <dgm:pt modelId="{F302608E-5DB6-FE4C-9CD9-43D6C87BFCE4}">
      <dgm:prSet phldrT="[Text]" custT="1"/>
      <dgm:spPr/>
      <dgm:t>
        <a:bodyPr/>
        <a:lstStyle/>
        <a:p>
          <a:pPr algn="just"/>
          <a:r>
            <a:rPr lang="en-GB" sz="1050" b="1"/>
            <a:t>Network and Processing</a:t>
          </a:r>
        </a:p>
      </dgm:t>
    </dgm:pt>
    <dgm:pt modelId="{3DD6E41E-2917-5A49-9190-5A53FB6C858F}" type="parTrans" cxnId="{3C4A0729-D6D3-314C-A79F-FEC9F6F4DB0B}">
      <dgm:prSet/>
      <dgm:spPr/>
      <dgm:t>
        <a:bodyPr/>
        <a:lstStyle/>
        <a:p>
          <a:endParaRPr lang="en-GB"/>
        </a:p>
      </dgm:t>
    </dgm:pt>
    <dgm:pt modelId="{EF6C1A89-78F0-1E44-B11E-EF5CEA63A10C}" type="sibTrans" cxnId="{3C4A0729-D6D3-314C-A79F-FEC9F6F4DB0B}">
      <dgm:prSet/>
      <dgm:spPr/>
      <dgm:t>
        <a:bodyPr/>
        <a:lstStyle/>
        <a:p>
          <a:endParaRPr lang="en-GB"/>
        </a:p>
      </dgm:t>
    </dgm:pt>
    <dgm:pt modelId="{1D970CA4-CDDC-C74A-989D-F09AA53835CA}">
      <dgm:prSet phldrT="[Text]" custT="1"/>
      <dgm:spPr/>
      <dgm:t>
        <a:bodyPr/>
        <a:lstStyle/>
        <a:p>
          <a:pPr algn="just"/>
          <a:r>
            <a:rPr lang="en-GB" sz="1050" b="1"/>
            <a:t>Depreciation and Amortization</a:t>
          </a:r>
        </a:p>
      </dgm:t>
    </dgm:pt>
    <dgm:pt modelId="{E3B1B52A-32ED-8648-877F-3F02FB510FDD}" type="parTrans" cxnId="{939DEBC7-A4B0-2443-8495-0CB173500BA9}">
      <dgm:prSet/>
      <dgm:spPr/>
      <dgm:t>
        <a:bodyPr/>
        <a:lstStyle/>
        <a:p>
          <a:endParaRPr lang="en-GB"/>
        </a:p>
      </dgm:t>
    </dgm:pt>
    <dgm:pt modelId="{FD7D202D-0535-3748-B80F-31D3DF4F584C}" type="sibTrans" cxnId="{939DEBC7-A4B0-2443-8495-0CB173500BA9}">
      <dgm:prSet/>
      <dgm:spPr/>
      <dgm:t>
        <a:bodyPr/>
        <a:lstStyle/>
        <a:p>
          <a:endParaRPr lang="en-GB"/>
        </a:p>
      </dgm:t>
    </dgm:pt>
    <dgm:pt modelId="{313FE8F5-749A-CF4E-8F0A-F28C0BAB3C8E}">
      <dgm:prSet phldrT="[Text]" custT="1"/>
      <dgm:spPr/>
      <dgm:t>
        <a:bodyPr/>
        <a:lstStyle/>
        <a:p>
          <a:pPr algn="just"/>
          <a:r>
            <a:rPr lang="en-GB" sz="1050" b="1"/>
            <a:t>General and Administrative</a:t>
          </a:r>
        </a:p>
      </dgm:t>
    </dgm:pt>
    <dgm:pt modelId="{3CF65136-64D6-FD40-9D25-F2F89F924C83}" type="parTrans" cxnId="{EEDDF3AF-DD61-454C-959D-29A4DDA2A51A}">
      <dgm:prSet/>
      <dgm:spPr/>
      <dgm:t>
        <a:bodyPr/>
        <a:lstStyle/>
        <a:p>
          <a:endParaRPr lang="en-GB"/>
        </a:p>
      </dgm:t>
    </dgm:pt>
    <dgm:pt modelId="{4745FB79-30EC-4443-94DC-267E97ACC10C}" type="sibTrans" cxnId="{EEDDF3AF-DD61-454C-959D-29A4DDA2A51A}">
      <dgm:prSet/>
      <dgm:spPr/>
      <dgm:t>
        <a:bodyPr/>
        <a:lstStyle/>
        <a:p>
          <a:endParaRPr lang="en-GB"/>
        </a:p>
      </dgm:t>
    </dgm:pt>
    <dgm:pt modelId="{0FDB3DB2-D302-5548-89EE-B54C68FB7D9D}">
      <dgm:prSet phldrT="[Text]" custT="1"/>
      <dgm:spPr/>
      <dgm:t>
        <a:bodyPr/>
        <a:lstStyle/>
        <a:p>
          <a:pPr algn="just"/>
          <a:r>
            <a:rPr lang="en-GB" sz="1050" b="1"/>
            <a:t>Litigation Provision</a:t>
          </a:r>
        </a:p>
      </dgm:t>
    </dgm:pt>
    <dgm:pt modelId="{B7EABE91-0CF2-5043-8EB8-0A8D6F643FC3}" type="parTrans" cxnId="{3E7F12F5-F69E-634F-A771-E5D78FA1C9BE}">
      <dgm:prSet/>
      <dgm:spPr/>
      <dgm:t>
        <a:bodyPr/>
        <a:lstStyle/>
        <a:p>
          <a:endParaRPr lang="en-GB"/>
        </a:p>
      </dgm:t>
    </dgm:pt>
    <dgm:pt modelId="{E7FC9700-490E-3A4E-B1D5-C988B1B91C4B}" type="sibTrans" cxnId="{3E7F12F5-F69E-634F-A771-E5D78FA1C9BE}">
      <dgm:prSet/>
      <dgm:spPr/>
      <dgm:t>
        <a:bodyPr/>
        <a:lstStyle/>
        <a:p>
          <a:endParaRPr lang="en-GB"/>
        </a:p>
      </dgm:t>
    </dgm:pt>
    <dgm:pt modelId="{664505B1-11B5-E142-A562-EF4113DDEE5D}">
      <dgm:prSet phldrT="[Text]" custT="1"/>
      <dgm:spPr/>
      <dgm:t>
        <a:bodyPr/>
        <a:lstStyle/>
        <a:p>
          <a:pPr algn="just"/>
          <a:r>
            <a:rPr lang="en-GB" sz="1050"/>
            <a:t>advertising, campaings and sponsorships</a:t>
          </a:r>
        </a:p>
      </dgm:t>
    </dgm:pt>
    <dgm:pt modelId="{CA14AAF2-5817-814B-9CE8-72BFC90B88F7}" type="parTrans" cxnId="{90065029-0621-1643-903D-E179B23C0894}">
      <dgm:prSet/>
      <dgm:spPr/>
      <dgm:t>
        <a:bodyPr/>
        <a:lstStyle/>
        <a:p>
          <a:endParaRPr lang="en-GB"/>
        </a:p>
      </dgm:t>
    </dgm:pt>
    <dgm:pt modelId="{6706A875-026F-8341-9540-EA43EC6E4810}" type="sibTrans" cxnId="{90065029-0621-1643-903D-E179B23C0894}">
      <dgm:prSet/>
      <dgm:spPr/>
      <dgm:t>
        <a:bodyPr/>
        <a:lstStyle/>
        <a:p>
          <a:endParaRPr lang="en-GB"/>
        </a:p>
      </dgm:t>
    </dgm:pt>
    <dgm:pt modelId="{C87C20D1-3DE8-0D42-9F05-33D6DB541F85}">
      <dgm:prSet phldrT="[Text]" custT="1"/>
      <dgm:spPr/>
      <dgm:t>
        <a:bodyPr/>
        <a:lstStyle/>
        <a:p>
          <a:pPr algn="just"/>
          <a:r>
            <a:rPr lang="en-GB" sz="1050"/>
            <a:t>operation and maintenance for the processing network</a:t>
          </a:r>
        </a:p>
      </dgm:t>
    </dgm:pt>
    <dgm:pt modelId="{96F4935F-0ED9-634F-9933-52697849C2A0}" type="parTrans" cxnId="{DBBFFD58-0057-6444-8412-C032B433B693}">
      <dgm:prSet/>
      <dgm:spPr/>
      <dgm:t>
        <a:bodyPr/>
        <a:lstStyle/>
        <a:p>
          <a:endParaRPr lang="en-GB"/>
        </a:p>
      </dgm:t>
    </dgm:pt>
    <dgm:pt modelId="{AF1E23FB-929E-4E43-85CE-3B25018690DD}" type="sibTrans" cxnId="{DBBFFD58-0057-6444-8412-C032B433B693}">
      <dgm:prSet/>
      <dgm:spPr/>
      <dgm:t>
        <a:bodyPr/>
        <a:lstStyle/>
        <a:p>
          <a:endParaRPr lang="en-GB"/>
        </a:p>
      </dgm:t>
    </dgm:pt>
    <dgm:pt modelId="{7B938C34-AFF7-C947-8DD5-4849C9ED8230}">
      <dgm:prSet phldrT="[Text]" custT="1"/>
      <dgm:spPr/>
      <dgm:t>
        <a:bodyPr/>
        <a:lstStyle/>
        <a:p>
          <a:pPr algn="just"/>
          <a:r>
            <a:rPr lang="en-GB" sz="1050" b="1"/>
            <a:t>Professional Fees</a:t>
          </a:r>
        </a:p>
      </dgm:t>
    </dgm:pt>
    <dgm:pt modelId="{60C15B30-4475-2E4D-B42D-B58988ADFBD8}" type="parTrans" cxnId="{C9DC3B2C-48E4-DE4A-A52D-5EDE1379ACE8}">
      <dgm:prSet/>
      <dgm:spPr/>
      <dgm:t>
        <a:bodyPr/>
        <a:lstStyle/>
        <a:p>
          <a:endParaRPr lang="en-GB"/>
        </a:p>
      </dgm:t>
    </dgm:pt>
    <dgm:pt modelId="{460CB855-DE39-3C4A-833D-80C152686A21}" type="sibTrans" cxnId="{C9DC3B2C-48E4-DE4A-A52D-5EDE1379ACE8}">
      <dgm:prSet/>
      <dgm:spPr/>
      <dgm:t>
        <a:bodyPr/>
        <a:lstStyle/>
        <a:p>
          <a:endParaRPr lang="en-GB"/>
        </a:p>
      </dgm:t>
    </dgm:pt>
    <dgm:pt modelId="{BF2127A6-FBA2-D24A-8DD9-8440C600AD80}">
      <dgm:prSet phldrT="[Text]" custT="1"/>
      <dgm:spPr/>
      <dgm:t>
        <a:bodyPr/>
        <a:lstStyle/>
        <a:p>
          <a:pPr algn="just"/>
          <a:r>
            <a:rPr lang="en-GB" sz="1050"/>
            <a:t>consulting, legal and other professional services</a:t>
          </a:r>
        </a:p>
      </dgm:t>
    </dgm:pt>
    <dgm:pt modelId="{573BC48C-3864-0A42-B2AE-3D3D1E07DDE4}" type="parTrans" cxnId="{A5BE5315-D1CD-D240-AA94-7FC312C7D89E}">
      <dgm:prSet/>
      <dgm:spPr/>
      <dgm:t>
        <a:bodyPr/>
        <a:lstStyle/>
        <a:p>
          <a:endParaRPr lang="en-GB"/>
        </a:p>
      </dgm:t>
    </dgm:pt>
    <dgm:pt modelId="{2BDF834B-14A0-E842-A24D-252F1B77C3EA}" type="sibTrans" cxnId="{A5BE5315-D1CD-D240-AA94-7FC312C7D89E}">
      <dgm:prSet/>
      <dgm:spPr/>
      <dgm:t>
        <a:bodyPr/>
        <a:lstStyle/>
        <a:p>
          <a:endParaRPr lang="en-GB"/>
        </a:p>
      </dgm:t>
    </dgm:pt>
    <dgm:pt modelId="{52A8E2D4-F31D-F640-AFD3-3CE3E970BCA7}">
      <dgm:prSet phldrT="[Text]" custT="1"/>
      <dgm:spPr/>
      <dgm:t>
        <a:bodyPr/>
        <a:lstStyle/>
        <a:p>
          <a:pPr algn="just">
            <a:buFont typeface="Arial" panose="020B0604020202020204" pitchFamily="34" charset="0"/>
            <a:buChar char="•"/>
          </a:pPr>
          <a:r>
            <a:rPr lang="en-GB" sz="1050"/>
            <a:t>amortization of purchased and internally developed software, as well as depreciation expense for property and equipment </a:t>
          </a:r>
        </a:p>
      </dgm:t>
    </dgm:pt>
    <dgm:pt modelId="{6770949F-ACDC-744E-B0E5-F851FA48D2E2}" type="parTrans" cxnId="{CD7DE85D-5B83-B74E-9667-D77B3BAF87EC}">
      <dgm:prSet/>
      <dgm:spPr/>
      <dgm:t>
        <a:bodyPr/>
        <a:lstStyle/>
        <a:p>
          <a:endParaRPr lang="en-GB"/>
        </a:p>
      </dgm:t>
    </dgm:pt>
    <dgm:pt modelId="{ED5CD8D3-C454-304C-BF63-8A72127FC8AA}" type="sibTrans" cxnId="{CD7DE85D-5B83-B74E-9667-D77B3BAF87EC}">
      <dgm:prSet/>
      <dgm:spPr/>
      <dgm:t>
        <a:bodyPr/>
        <a:lstStyle/>
        <a:p>
          <a:endParaRPr lang="en-GB"/>
        </a:p>
      </dgm:t>
    </dgm:pt>
    <dgm:pt modelId="{42AF6540-40B2-8842-8409-D94104AF0152}">
      <dgm:prSet phldrT="[Text]" custT="1"/>
      <dgm:spPr/>
      <dgm:t>
        <a:bodyPr/>
        <a:lstStyle/>
        <a:p>
          <a:pPr algn="just">
            <a:buFont typeface="Arial" panose="020B0604020202020204" pitchFamily="34" charset="0"/>
            <a:buChar char="•"/>
          </a:pPr>
          <a:r>
            <a:rPr lang="en-GB" sz="1050"/>
            <a:t>card benefits, facilities costs, indirect taxes, travel and meeting costs, foreign exchange gains and losses and other corporate expenses </a:t>
          </a:r>
        </a:p>
      </dgm:t>
    </dgm:pt>
    <dgm:pt modelId="{3BAA9401-342F-734A-B1A2-2EDD9DB65AC7}" type="parTrans" cxnId="{1D66FFC6-8B6B-6E4C-91B9-F14D55863DA5}">
      <dgm:prSet/>
      <dgm:spPr/>
      <dgm:t>
        <a:bodyPr/>
        <a:lstStyle/>
        <a:p>
          <a:endParaRPr lang="en-GB"/>
        </a:p>
      </dgm:t>
    </dgm:pt>
    <dgm:pt modelId="{7F2E1839-256A-5B49-85F8-CF98A68EA188}" type="sibTrans" cxnId="{1D66FFC6-8B6B-6E4C-91B9-F14D55863DA5}">
      <dgm:prSet/>
      <dgm:spPr/>
      <dgm:t>
        <a:bodyPr/>
        <a:lstStyle/>
        <a:p>
          <a:endParaRPr lang="en-GB"/>
        </a:p>
      </dgm:t>
    </dgm:pt>
    <dgm:pt modelId="{4A5C5C8E-069D-B747-83BD-0F9FAF62AB4D}">
      <dgm:prSet phldrT="[Text]" custT="1"/>
      <dgm:spPr/>
      <dgm:t>
        <a:bodyPr/>
        <a:lstStyle/>
        <a:p>
          <a:pPr algn="just">
            <a:buFont typeface="Arial" panose="020B0604020202020204" pitchFamily="34" charset="0"/>
            <a:buChar char="•"/>
          </a:pPr>
          <a:r>
            <a:rPr lang="en-GB" sz="1050"/>
            <a:t>litigation expenses </a:t>
          </a:r>
        </a:p>
      </dgm:t>
    </dgm:pt>
    <dgm:pt modelId="{4427A095-7A5A-1042-9017-7A3EA663DD40}" type="parTrans" cxnId="{555C601A-E97E-7749-95D4-8901060FCF13}">
      <dgm:prSet/>
      <dgm:spPr/>
      <dgm:t>
        <a:bodyPr/>
        <a:lstStyle/>
        <a:p>
          <a:endParaRPr lang="en-GB"/>
        </a:p>
      </dgm:t>
    </dgm:pt>
    <dgm:pt modelId="{FCE3BCA1-E249-FC46-979F-CF6637C36881}" type="sibTrans" cxnId="{555C601A-E97E-7749-95D4-8901060FCF13}">
      <dgm:prSet/>
      <dgm:spPr/>
      <dgm:t>
        <a:bodyPr/>
        <a:lstStyle/>
        <a:p>
          <a:endParaRPr lang="en-GB"/>
        </a:p>
      </dgm:t>
    </dgm:pt>
    <dgm:pt modelId="{E1E544FF-44CC-004C-BA3B-9DEC748463E7}">
      <dgm:prSet phldrT="[Text]" custT="1"/>
      <dgm:spPr/>
      <dgm:t>
        <a:bodyPr/>
        <a:lstStyle/>
        <a:p>
          <a:pPr algn="just"/>
          <a:r>
            <a:rPr lang="en-GB" sz="1050"/>
            <a:t>salaries, employee benefits, compensation and contractor expenses</a:t>
          </a:r>
        </a:p>
      </dgm:t>
    </dgm:pt>
    <dgm:pt modelId="{2370F8A2-2094-C745-ACB9-37BD3DDAF7F0}" type="sibTrans" cxnId="{0266C627-BE3C-F14A-91B8-7094DAC5398B}">
      <dgm:prSet/>
      <dgm:spPr/>
      <dgm:t>
        <a:bodyPr/>
        <a:lstStyle/>
        <a:p>
          <a:endParaRPr lang="en-GB"/>
        </a:p>
      </dgm:t>
    </dgm:pt>
    <dgm:pt modelId="{CEA1C080-7546-934D-9555-D4A24222B7AA}" type="parTrans" cxnId="{0266C627-BE3C-F14A-91B8-7094DAC5398B}">
      <dgm:prSet/>
      <dgm:spPr/>
      <dgm:t>
        <a:bodyPr/>
        <a:lstStyle/>
        <a:p>
          <a:endParaRPr lang="en-GB"/>
        </a:p>
      </dgm:t>
    </dgm:pt>
    <dgm:pt modelId="{C84032AC-9199-844E-9DF3-8F52E1C8175B}">
      <dgm:prSet custT="1"/>
      <dgm:spPr/>
      <dgm:t>
        <a:bodyPr/>
        <a:lstStyle/>
        <a:p>
          <a:pPr algn="just"/>
          <a:r>
            <a:rPr lang="en-GB" sz="1050">
              <a:latin typeface="Calibri" panose="020F0502020204030204" pitchFamily="34" charset="0"/>
              <a:cs typeface="Calibri" panose="020F0502020204030204" pitchFamily="34" charset="0"/>
            </a:rPr>
            <a:t>authorization, clearing, settlement, value added services, network access, other maintenance and support services</a:t>
          </a:r>
        </a:p>
      </dgm:t>
    </dgm:pt>
    <dgm:pt modelId="{6DBA45C5-F06E-8640-B789-DDB7E6B8197D}" type="parTrans" cxnId="{9502A2CB-8E0E-D747-9ACA-E0278034701E}">
      <dgm:prSet/>
      <dgm:spPr/>
      <dgm:t>
        <a:bodyPr/>
        <a:lstStyle/>
        <a:p>
          <a:endParaRPr lang="en-GB"/>
        </a:p>
      </dgm:t>
    </dgm:pt>
    <dgm:pt modelId="{A9174C11-3498-2644-BD4A-DA05C2B3F1C9}" type="sibTrans" cxnId="{9502A2CB-8E0E-D747-9ACA-E0278034701E}">
      <dgm:prSet/>
      <dgm:spPr/>
      <dgm:t>
        <a:bodyPr/>
        <a:lstStyle/>
        <a:p>
          <a:endParaRPr lang="en-GB"/>
        </a:p>
      </dgm:t>
    </dgm:pt>
    <dgm:pt modelId="{CF072667-9F73-D141-861D-E61CDBF9F9A6}">
      <dgm:prSet custT="1"/>
      <dgm:spPr/>
      <dgm:t>
        <a:bodyPr/>
        <a:lstStyle/>
        <a:p>
          <a:pPr algn="just"/>
          <a:r>
            <a:rPr lang="en-GB" sz="1050">
              <a:latin typeface="Calibri" panose="020F0502020204030204" pitchFamily="34" charset="0"/>
              <a:cs typeface="Calibri" panose="020F0502020204030204" pitchFamily="34" charset="0"/>
            </a:rPr>
            <a:t>cross-border transaction processing and currency conversion activities</a:t>
          </a:r>
        </a:p>
      </dgm:t>
    </dgm:pt>
    <dgm:pt modelId="{CF1D18EB-B852-6A43-AEA1-7C6D2865B1F5}" type="parTrans" cxnId="{52DB80ED-ADE2-D943-BFEB-596517644846}">
      <dgm:prSet/>
      <dgm:spPr/>
      <dgm:t>
        <a:bodyPr/>
        <a:lstStyle/>
        <a:p>
          <a:endParaRPr lang="en-GB"/>
        </a:p>
      </dgm:t>
    </dgm:pt>
    <dgm:pt modelId="{B51A75F4-67B2-0A4D-95AC-072473B371E5}" type="sibTrans" cxnId="{52DB80ED-ADE2-D943-BFEB-596517644846}">
      <dgm:prSet/>
      <dgm:spPr/>
      <dgm:t>
        <a:bodyPr/>
        <a:lstStyle/>
        <a:p>
          <a:endParaRPr lang="en-GB"/>
        </a:p>
      </dgm:t>
    </dgm:pt>
    <dgm:pt modelId="{FA0E6646-6E2C-1846-909C-110D2C1F6D91}">
      <dgm:prSet custT="1"/>
      <dgm:spPr/>
      <dgm:t>
        <a:bodyPr/>
        <a:lstStyle/>
        <a:p>
          <a:pPr algn="just"/>
          <a:r>
            <a:rPr lang="en-GB" sz="1050">
              <a:latin typeface="Calibri" panose="020F0502020204030204" pitchFamily="34" charset="0"/>
              <a:cs typeface="Calibri" panose="020F0502020204030204" pitchFamily="34" charset="0"/>
            </a:rPr>
            <a:t>value added services, license fees and for account holder services, certificaion and licensing fees</a:t>
          </a:r>
        </a:p>
      </dgm:t>
    </dgm:pt>
    <dgm:pt modelId="{656EF8DE-C809-7D43-B3CF-691725C80EA5}" type="parTrans" cxnId="{692B23D1-B0E1-D647-801A-947AEE3027A8}">
      <dgm:prSet/>
      <dgm:spPr/>
      <dgm:t>
        <a:bodyPr/>
        <a:lstStyle/>
        <a:p>
          <a:endParaRPr lang="en-GB"/>
        </a:p>
      </dgm:t>
    </dgm:pt>
    <dgm:pt modelId="{EB8855B5-30C8-5848-A612-020C7B7585F7}" type="sibTrans" cxnId="{692B23D1-B0E1-D647-801A-947AEE3027A8}">
      <dgm:prSet/>
      <dgm:spPr/>
      <dgm:t>
        <a:bodyPr/>
        <a:lstStyle/>
        <a:p>
          <a:endParaRPr lang="en-GB"/>
        </a:p>
      </dgm:t>
    </dgm:pt>
    <dgm:pt modelId="{A2A546B6-9044-2740-A390-282C12654811}">
      <dgm:prSet custT="1"/>
      <dgm:spPr/>
      <dgm:t>
        <a:bodyPr/>
        <a:lstStyle/>
        <a:p>
          <a:r>
            <a:rPr lang="en-GB" sz="2000" b="1"/>
            <a:t>Cost Drivers</a:t>
          </a:r>
        </a:p>
      </dgm:t>
    </dgm:pt>
    <dgm:pt modelId="{8F988A79-F1D4-E04F-A12E-99411F406765}" type="parTrans" cxnId="{21A3273B-3050-9648-97D3-2A4FD1FDB8D4}">
      <dgm:prSet/>
      <dgm:spPr/>
      <dgm:t>
        <a:bodyPr/>
        <a:lstStyle/>
        <a:p>
          <a:endParaRPr lang="en-GB"/>
        </a:p>
      </dgm:t>
    </dgm:pt>
    <dgm:pt modelId="{72877D9B-CEE6-9647-A2CB-D5246166A313}" type="sibTrans" cxnId="{21A3273B-3050-9648-97D3-2A4FD1FDB8D4}">
      <dgm:prSet/>
      <dgm:spPr/>
      <dgm:t>
        <a:bodyPr/>
        <a:lstStyle/>
        <a:p>
          <a:endParaRPr lang="en-GB"/>
        </a:p>
      </dgm:t>
    </dgm:pt>
    <dgm:pt modelId="{1F49A7CF-D324-9B4A-A33A-8D992F6ED547}">
      <dgm:prSet custT="1"/>
      <dgm:spPr/>
      <dgm:t>
        <a:bodyPr/>
        <a:lstStyle/>
        <a:p>
          <a:pPr algn="just"/>
          <a:r>
            <a:rPr lang="en-GB" sz="1050"/>
            <a:t>payments volume on Visa products for purchased goods and services </a:t>
          </a:r>
          <a:endParaRPr lang="en-GB" sz="1050">
            <a:latin typeface="Calibri" panose="020F0502020204030204" pitchFamily="34" charset="0"/>
            <a:cs typeface="Calibri" panose="020F0502020204030204" pitchFamily="34" charset="0"/>
          </a:endParaRPr>
        </a:p>
      </dgm:t>
    </dgm:pt>
    <dgm:pt modelId="{63DDFE6F-4C95-F142-9B72-6AA97B9A1557}" type="sibTrans" cxnId="{9EFB7B6D-1827-D043-AB74-7371C773320A}">
      <dgm:prSet/>
      <dgm:spPr/>
      <dgm:t>
        <a:bodyPr/>
        <a:lstStyle/>
        <a:p>
          <a:endParaRPr lang="en-GB"/>
        </a:p>
      </dgm:t>
    </dgm:pt>
    <dgm:pt modelId="{57BE6EC0-0C35-B745-B455-11D6AB075962}" type="parTrans" cxnId="{9EFB7B6D-1827-D043-AB74-7371C773320A}">
      <dgm:prSet/>
      <dgm:spPr/>
      <dgm:t>
        <a:bodyPr/>
        <a:lstStyle/>
        <a:p>
          <a:endParaRPr lang="en-GB"/>
        </a:p>
      </dgm:t>
    </dgm:pt>
    <dgm:pt modelId="{CA78C675-3218-1F42-8BB0-86D98C1826D4}" type="pres">
      <dgm:prSet presAssocID="{600BB760-B506-334B-A1E6-37F09BE89182}" presName="linear" presStyleCnt="0">
        <dgm:presLayoutVars>
          <dgm:animLvl val="lvl"/>
          <dgm:resizeHandles val="exact"/>
        </dgm:presLayoutVars>
      </dgm:prSet>
      <dgm:spPr/>
    </dgm:pt>
    <dgm:pt modelId="{5CE8CD0A-888D-8049-9668-EE552AE6CCB8}" type="pres">
      <dgm:prSet presAssocID="{859470B2-886A-0748-9A83-59BDB6F3D2FF}" presName="parentText" presStyleLbl="node1" presStyleIdx="0" presStyleCnt="2" custScaleY="39785">
        <dgm:presLayoutVars>
          <dgm:chMax val="0"/>
          <dgm:bulletEnabled val="1"/>
        </dgm:presLayoutVars>
      </dgm:prSet>
      <dgm:spPr/>
    </dgm:pt>
    <dgm:pt modelId="{F26527C2-86F8-1443-AFC6-167CD5FC632B}" type="pres">
      <dgm:prSet presAssocID="{859470B2-886A-0748-9A83-59BDB6F3D2FF}" presName="childText" presStyleLbl="revTx" presStyleIdx="0" presStyleCnt="2">
        <dgm:presLayoutVars>
          <dgm:bulletEnabled val="1"/>
        </dgm:presLayoutVars>
      </dgm:prSet>
      <dgm:spPr/>
    </dgm:pt>
    <dgm:pt modelId="{DA77604F-8C21-6F4A-90C9-8244D3A6E535}" type="pres">
      <dgm:prSet presAssocID="{A2A546B6-9044-2740-A390-282C12654811}" presName="parentText" presStyleLbl="node1" presStyleIdx="1" presStyleCnt="2" custScaleY="43594">
        <dgm:presLayoutVars>
          <dgm:chMax val="0"/>
          <dgm:bulletEnabled val="1"/>
        </dgm:presLayoutVars>
      </dgm:prSet>
      <dgm:spPr/>
    </dgm:pt>
    <dgm:pt modelId="{65E0AE29-D183-F54C-9A35-480C2CB96303}" type="pres">
      <dgm:prSet presAssocID="{A2A546B6-9044-2740-A390-282C12654811}" presName="childText" presStyleLbl="revTx" presStyleIdx="1" presStyleCnt="2">
        <dgm:presLayoutVars>
          <dgm:bulletEnabled val="1"/>
        </dgm:presLayoutVars>
      </dgm:prSet>
      <dgm:spPr/>
    </dgm:pt>
  </dgm:ptLst>
  <dgm:cxnLst>
    <dgm:cxn modelId="{AC75C40D-3DDC-4131-A1A2-DAE96861CD8A}" type="presOf" srcId="{600BB760-B506-334B-A1E6-37F09BE89182}" destId="{CA78C675-3218-1F42-8BB0-86D98C1826D4}" srcOrd="0" destOrd="0" presId="urn:microsoft.com/office/officeart/2005/8/layout/vList2"/>
    <dgm:cxn modelId="{A5BE5315-D1CD-D240-AA94-7FC312C7D89E}" srcId="{7B938C34-AFF7-C947-8DD5-4849C9ED8230}" destId="{BF2127A6-FBA2-D24A-8DD9-8440C600AD80}" srcOrd="0" destOrd="0" parTransId="{573BC48C-3864-0A42-B2AE-3D3D1E07DDE4}" sibTransId="{2BDF834B-14A0-E842-A24D-252F1B77C3EA}"/>
    <dgm:cxn modelId="{E0E24716-B8B7-4752-B414-4365A526E648}" type="presOf" srcId="{CF072667-9F73-D141-861D-E61CDBF9F9A6}" destId="{F26527C2-86F8-1443-AFC6-167CD5FC632B}" srcOrd="0" destOrd="5" presId="urn:microsoft.com/office/officeart/2005/8/layout/vList2"/>
    <dgm:cxn modelId="{AD54AF18-5713-41B7-8263-F38588BBC3E2}" type="presOf" srcId="{BF2127A6-FBA2-D24A-8DD9-8440C600AD80}" destId="{65E0AE29-D183-F54C-9A35-480C2CB96303}" srcOrd="0" destOrd="7" presId="urn:microsoft.com/office/officeart/2005/8/layout/vList2"/>
    <dgm:cxn modelId="{B4F2DF19-AD90-404E-8B3F-27B8513FF74E}" type="presOf" srcId="{0FDB3DB2-D302-5548-89EE-B54C68FB7D9D}" destId="{65E0AE29-D183-F54C-9A35-480C2CB96303}" srcOrd="0" destOrd="12" presId="urn:microsoft.com/office/officeart/2005/8/layout/vList2"/>
    <dgm:cxn modelId="{555C601A-E97E-7749-95D4-8901060FCF13}" srcId="{0FDB3DB2-D302-5548-89EE-B54C68FB7D9D}" destId="{4A5C5C8E-069D-B747-83BD-0F9FAF62AB4D}" srcOrd="0" destOrd="0" parTransId="{4427A095-7A5A-1042-9017-7A3EA663DD40}" sibTransId="{FCE3BCA1-E249-FC46-979F-CF6637C36881}"/>
    <dgm:cxn modelId="{0266C627-BE3C-F14A-91B8-7094DAC5398B}" srcId="{E880727F-0D72-7145-A29C-5A079A14AEC4}" destId="{E1E544FF-44CC-004C-BA3B-9DEC748463E7}" srcOrd="0" destOrd="0" parTransId="{CEA1C080-7546-934D-9555-D4A24222B7AA}" sibTransId="{2370F8A2-2094-C745-ACB9-37BD3DDAF7F0}"/>
    <dgm:cxn modelId="{3C4A0729-D6D3-314C-A79F-FEC9F6F4DB0B}" srcId="{A2A546B6-9044-2740-A390-282C12654811}" destId="{F302608E-5DB6-FE4C-9CD9-43D6C87BFCE4}" srcOrd="2" destOrd="0" parTransId="{3DD6E41E-2917-5A49-9190-5A53FB6C858F}" sibTransId="{EF6C1A89-78F0-1E44-B11E-EF5CEA63A10C}"/>
    <dgm:cxn modelId="{90065029-0621-1643-903D-E179B23C0894}" srcId="{F0C665B1-827C-AC47-B91B-A333E4DCEA01}" destId="{664505B1-11B5-E142-A562-EF4113DDEE5D}" srcOrd="0" destOrd="0" parTransId="{CA14AAF2-5817-814B-9CE8-72BFC90B88F7}" sibTransId="{6706A875-026F-8341-9540-EA43EC6E4810}"/>
    <dgm:cxn modelId="{C9DC3B2C-48E4-DE4A-A52D-5EDE1379ACE8}" srcId="{A2A546B6-9044-2740-A390-282C12654811}" destId="{7B938C34-AFF7-C947-8DD5-4849C9ED8230}" srcOrd="3" destOrd="0" parTransId="{60C15B30-4475-2E4D-B42D-B58988ADFBD8}" sibTransId="{460CB855-DE39-3C4A-833D-80C152686A21}"/>
    <dgm:cxn modelId="{CCEF4138-9688-C245-86D4-33DC566585A1}" srcId="{A2A546B6-9044-2740-A390-282C12654811}" destId="{E880727F-0D72-7145-A29C-5A079A14AEC4}" srcOrd="0" destOrd="0" parTransId="{9EA4AD86-5ADA-1C42-BB73-804AC7F2E59B}" sibTransId="{4D8330A0-2697-414D-9387-752F64CCCBD7}"/>
    <dgm:cxn modelId="{21A3273B-3050-9648-97D3-2A4FD1FDB8D4}" srcId="{600BB760-B506-334B-A1E6-37F09BE89182}" destId="{A2A546B6-9044-2740-A390-282C12654811}" srcOrd="1" destOrd="0" parTransId="{8F988A79-F1D4-E04F-A12E-99411F406765}" sibTransId="{72877D9B-CEE6-9647-A2CB-D5246166A313}"/>
    <dgm:cxn modelId="{8C875F43-D19F-40DA-A515-2C449FC3C4F0}" type="presOf" srcId="{E1E544FF-44CC-004C-BA3B-9DEC748463E7}" destId="{65E0AE29-D183-F54C-9A35-480C2CB96303}" srcOrd="0" destOrd="1" presId="urn:microsoft.com/office/officeart/2005/8/layout/vList2"/>
    <dgm:cxn modelId="{04E7634D-60D4-43D9-8E12-D378D445E908}" type="presOf" srcId="{A2A546B6-9044-2740-A390-282C12654811}" destId="{DA77604F-8C21-6F4A-90C9-8244D3A6E535}" srcOrd="0" destOrd="0" presId="urn:microsoft.com/office/officeart/2005/8/layout/vList2"/>
    <dgm:cxn modelId="{15D5234E-FEBA-1C46-9DC3-FE5EFA080B23}" srcId="{859470B2-886A-0748-9A83-59BDB6F3D2FF}" destId="{B37D11AE-A8A9-E046-83DD-ADB66FBAD8DB}" srcOrd="0" destOrd="0" parTransId="{BC300A63-BB6A-B54C-B192-BF5E82113722}" sibTransId="{AD412D26-CE82-944D-8E17-5AC036E7B01F}"/>
    <dgm:cxn modelId="{DBBFFD58-0057-6444-8412-C032B433B693}" srcId="{F302608E-5DB6-FE4C-9CD9-43D6C87BFCE4}" destId="{C87C20D1-3DE8-0D42-9F05-33D6DB541F85}" srcOrd="0" destOrd="0" parTransId="{96F4935F-0ED9-634F-9933-52697849C2A0}" sibTransId="{AF1E23FB-929E-4E43-85CE-3B25018690DD}"/>
    <dgm:cxn modelId="{5FF4075B-D3CA-41F9-B751-617CD6BA44B7}" type="presOf" srcId="{52A8E2D4-F31D-F640-AFD3-3CE3E970BCA7}" destId="{65E0AE29-D183-F54C-9A35-480C2CB96303}" srcOrd="0" destOrd="9" presId="urn:microsoft.com/office/officeart/2005/8/layout/vList2"/>
    <dgm:cxn modelId="{CD7DE85D-5B83-B74E-9667-D77B3BAF87EC}" srcId="{1D970CA4-CDDC-C74A-989D-F09AA53835CA}" destId="{52A8E2D4-F31D-F640-AFD3-3CE3E970BCA7}" srcOrd="0" destOrd="0" parTransId="{6770949F-ACDC-744E-B0E5-F851FA48D2E2}" sibTransId="{ED5CD8D3-C454-304C-BF63-8A72127FC8AA}"/>
    <dgm:cxn modelId="{9AE7C565-9B4C-461C-9797-C2249B5DB018}" type="presOf" srcId="{1D970CA4-CDDC-C74A-989D-F09AA53835CA}" destId="{65E0AE29-D183-F54C-9A35-480C2CB96303}" srcOrd="0" destOrd="8" presId="urn:microsoft.com/office/officeart/2005/8/layout/vList2"/>
    <dgm:cxn modelId="{A7280F69-FD48-41C6-BFD3-9317490CB75D}" type="presOf" srcId="{F0C665B1-827C-AC47-B91B-A333E4DCEA01}" destId="{65E0AE29-D183-F54C-9A35-480C2CB96303}" srcOrd="0" destOrd="2" presId="urn:microsoft.com/office/officeart/2005/8/layout/vList2"/>
    <dgm:cxn modelId="{32D4726D-8653-43CF-919B-019F1B2CDBBE}" type="presOf" srcId="{C87C20D1-3DE8-0D42-9F05-33D6DB541F85}" destId="{65E0AE29-D183-F54C-9A35-480C2CB96303}" srcOrd="0" destOrd="5" presId="urn:microsoft.com/office/officeart/2005/8/layout/vList2"/>
    <dgm:cxn modelId="{9EFB7B6D-1827-D043-AB74-7371C773320A}" srcId="{B37D11AE-A8A9-E046-83DD-ADB66FBAD8DB}" destId="{1F49A7CF-D324-9B4A-A33A-8D992F6ED547}" srcOrd="0" destOrd="0" parTransId="{57BE6EC0-0C35-B745-B455-11D6AB075962}" sibTransId="{63DDFE6F-4C95-F142-9B72-6AA97B9A1557}"/>
    <dgm:cxn modelId="{96A4D271-0494-4CF2-B1A0-C10B3FBEC9F0}" type="presOf" srcId="{C84032AC-9199-844E-9DF3-8F52E1C8175B}" destId="{F26527C2-86F8-1443-AFC6-167CD5FC632B}" srcOrd="0" destOrd="3" presId="urn:microsoft.com/office/officeart/2005/8/layout/vList2"/>
    <dgm:cxn modelId="{A0D18B78-D55C-42BC-BDC6-637813177E38}" type="presOf" srcId="{664505B1-11B5-E142-A562-EF4113DDEE5D}" destId="{65E0AE29-D183-F54C-9A35-480C2CB96303}" srcOrd="0" destOrd="3" presId="urn:microsoft.com/office/officeart/2005/8/layout/vList2"/>
    <dgm:cxn modelId="{C794C48E-E956-1D4E-B0DE-8349A4CD69EC}" srcId="{859470B2-886A-0748-9A83-59BDB6F3D2FF}" destId="{12DB8D4B-885D-9544-ADAF-09E464126820}" srcOrd="1" destOrd="0" parTransId="{752E13D4-6AFF-A74C-82A2-C29ED983353B}" sibTransId="{451ABD9E-ED14-774A-9332-7B8BFD83582E}"/>
    <dgm:cxn modelId="{D9BCF592-4489-4F47-9957-47EAE124B676}" type="presOf" srcId="{A363A3FE-92E4-FB4F-BBEB-B6F726CD00EC}" destId="{F26527C2-86F8-1443-AFC6-167CD5FC632B}" srcOrd="0" destOrd="4" presId="urn:microsoft.com/office/officeart/2005/8/layout/vList2"/>
    <dgm:cxn modelId="{40278B93-CAD9-4410-97A7-CCEF469B9066}" type="presOf" srcId="{7B938C34-AFF7-C947-8DD5-4849C9ED8230}" destId="{65E0AE29-D183-F54C-9A35-480C2CB96303}" srcOrd="0" destOrd="6" presId="urn:microsoft.com/office/officeart/2005/8/layout/vList2"/>
    <dgm:cxn modelId="{5B976AA9-662D-47AF-8D3F-D72745C1C151}" type="presOf" srcId="{F302608E-5DB6-FE4C-9CD9-43D6C87BFCE4}" destId="{65E0AE29-D183-F54C-9A35-480C2CB96303}" srcOrd="0" destOrd="4" presId="urn:microsoft.com/office/officeart/2005/8/layout/vList2"/>
    <dgm:cxn modelId="{07759EA9-C55E-40E4-B3D5-BF837C3EC8C2}" type="presOf" srcId="{313FE8F5-749A-CF4E-8F0A-F28C0BAB3C8E}" destId="{65E0AE29-D183-F54C-9A35-480C2CB96303}" srcOrd="0" destOrd="10" presId="urn:microsoft.com/office/officeart/2005/8/layout/vList2"/>
    <dgm:cxn modelId="{EEDDF3AF-DD61-454C-959D-29A4DDA2A51A}" srcId="{A2A546B6-9044-2740-A390-282C12654811}" destId="{313FE8F5-749A-CF4E-8F0A-F28C0BAB3C8E}" srcOrd="5" destOrd="0" parTransId="{3CF65136-64D6-FD40-9D25-F2F89F924C83}" sibTransId="{4745FB79-30EC-4443-94DC-267E97ACC10C}"/>
    <dgm:cxn modelId="{9E44EEB0-EABD-BF4D-BD8C-AA1C5BCC571F}" srcId="{A2A546B6-9044-2740-A390-282C12654811}" destId="{F0C665B1-827C-AC47-B91B-A333E4DCEA01}" srcOrd="1" destOrd="0" parTransId="{339B3D20-5911-694D-B081-C56FAA49425A}" sibTransId="{DE1D5182-F871-2C49-9E98-6A6EA4BE5023}"/>
    <dgm:cxn modelId="{1FD9AFB4-AED7-604A-8740-F928C816B1B8}" srcId="{600BB760-B506-334B-A1E6-37F09BE89182}" destId="{859470B2-886A-0748-9A83-59BDB6F3D2FF}" srcOrd="0" destOrd="0" parTransId="{678F5C4A-38CF-E047-B14F-711C8134AB42}" sibTransId="{52C78678-7777-4F4C-AE4E-035286CCCDF5}"/>
    <dgm:cxn modelId="{DF80B6B4-3A03-42EC-B867-CD39BF356A80}" type="presOf" srcId="{42AF6540-40B2-8842-8409-D94104AF0152}" destId="{65E0AE29-D183-F54C-9A35-480C2CB96303}" srcOrd="0" destOrd="11" presId="urn:microsoft.com/office/officeart/2005/8/layout/vList2"/>
    <dgm:cxn modelId="{C1D7FEC0-8B12-4EAF-A58D-DD0318CE2656}" type="presOf" srcId="{1F49A7CF-D324-9B4A-A33A-8D992F6ED547}" destId="{F26527C2-86F8-1443-AFC6-167CD5FC632B}" srcOrd="0" destOrd="1" presId="urn:microsoft.com/office/officeart/2005/8/layout/vList2"/>
    <dgm:cxn modelId="{31CEFDC5-E2ED-4383-8F06-A97C26A80662}" type="presOf" srcId="{FA0E6646-6E2C-1846-909C-110D2C1F6D91}" destId="{F26527C2-86F8-1443-AFC6-167CD5FC632B}" srcOrd="0" destOrd="7" presId="urn:microsoft.com/office/officeart/2005/8/layout/vList2"/>
    <dgm:cxn modelId="{1D66FFC6-8B6B-6E4C-91B9-F14D55863DA5}" srcId="{313FE8F5-749A-CF4E-8F0A-F28C0BAB3C8E}" destId="{42AF6540-40B2-8842-8409-D94104AF0152}" srcOrd="0" destOrd="0" parTransId="{3BAA9401-342F-734A-B1A2-2EDD9DB65AC7}" sibTransId="{7F2E1839-256A-5B49-85F8-CF98A68EA188}"/>
    <dgm:cxn modelId="{939DEBC7-A4B0-2443-8495-0CB173500BA9}" srcId="{A2A546B6-9044-2740-A390-282C12654811}" destId="{1D970CA4-CDDC-C74A-989D-F09AA53835CA}" srcOrd="4" destOrd="0" parTransId="{E3B1B52A-32ED-8648-877F-3F02FB510FDD}" sibTransId="{FD7D202D-0535-3748-B80F-31D3DF4F584C}"/>
    <dgm:cxn modelId="{9502A2CB-8E0E-D747-9ACA-E0278034701E}" srcId="{12DB8D4B-885D-9544-ADAF-09E464126820}" destId="{C84032AC-9199-844E-9DF3-8F52E1C8175B}" srcOrd="0" destOrd="0" parTransId="{6DBA45C5-F06E-8640-B789-DDB7E6B8197D}" sibTransId="{A9174C11-3498-2644-BD4A-DA05C2B3F1C9}"/>
    <dgm:cxn modelId="{74B132CE-0B30-4FD5-9A9A-A305F1EFF475}" type="presOf" srcId="{33E3FF7F-21CC-844B-9022-52F7BAD79CC8}" destId="{F26527C2-86F8-1443-AFC6-167CD5FC632B}" srcOrd="0" destOrd="6" presId="urn:microsoft.com/office/officeart/2005/8/layout/vList2"/>
    <dgm:cxn modelId="{692B23D1-B0E1-D647-801A-947AEE3027A8}" srcId="{33E3FF7F-21CC-844B-9022-52F7BAD79CC8}" destId="{FA0E6646-6E2C-1846-909C-110D2C1F6D91}" srcOrd="0" destOrd="0" parTransId="{656EF8DE-C809-7D43-B3CF-691725C80EA5}" sibTransId="{EB8855B5-30C8-5848-A612-020C7B7585F7}"/>
    <dgm:cxn modelId="{7BFD67D1-35C4-4FC2-B2B1-4A9FFD022D3C}" type="presOf" srcId="{12DB8D4B-885D-9544-ADAF-09E464126820}" destId="{F26527C2-86F8-1443-AFC6-167CD5FC632B}" srcOrd="0" destOrd="2" presId="urn:microsoft.com/office/officeart/2005/8/layout/vList2"/>
    <dgm:cxn modelId="{CE6B7ADE-73EC-7B45-9676-DFEDFE16C2AA}" srcId="{859470B2-886A-0748-9A83-59BDB6F3D2FF}" destId="{33E3FF7F-21CC-844B-9022-52F7BAD79CC8}" srcOrd="3" destOrd="0" parTransId="{5DCB87D3-E5F1-364E-AF26-267B45137469}" sibTransId="{E48924DB-0566-0B4E-84F5-B045591F447E}"/>
    <dgm:cxn modelId="{FFE672E3-25CD-4A84-A5CF-5646B7AE7F2D}" type="presOf" srcId="{E880727F-0D72-7145-A29C-5A079A14AEC4}" destId="{65E0AE29-D183-F54C-9A35-480C2CB96303}" srcOrd="0" destOrd="0" presId="urn:microsoft.com/office/officeart/2005/8/layout/vList2"/>
    <dgm:cxn modelId="{5E0DE8EC-74F5-4EF0-B6D2-184C21144192}" type="presOf" srcId="{859470B2-886A-0748-9A83-59BDB6F3D2FF}" destId="{5CE8CD0A-888D-8049-9668-EE552AE6CCB8}" srcOrd="0" destOrd="0" presId="urn:microsoft.com/office/officeart/2005/8/layout/vList2"/>
    <dgm:cxn modelId="{52DB80ED-ADE2-D943-BFEB-596517644846}" srcId="{A363A3FE-92E4-FB4F-BBEB-B6F726CD00EC}" destId="{CF072667-9F73-D141-861D-E61CDBF9F9A6}" srcOrd="0" destOrd="0" parTransId="{CF1D18EB-B852-6A43-AEA1-7C6D2865B1F5}" sibTransId="{B51A75F4-67B2-0A4D-95AC-072473B371E5}"/>
    <dgm:cxn modelId="{3E7F12F5-F69E-634F-A771-E5D78FA1C9BE}" srcId="{A2A546B6-9044-2740-A390-282C12654811}" destId="{0FDB3DB2-D302-5548-89EE-B54C68FB7D9D}" srcOrd="6" destOrd="0" parTransId="{B7EABE91-0CF2-5043-8EB8-0A8D6F643FC3}" sibTransId="{E7FC9700-490E-3A4E-B1D5-C988B1B91C4B}"/>
    <dgm:cxn modelId="{739947F6-842D-46A4-A71F-413CD83525EB}" type="presOf" srcId="{4A5C5C8E-069D-B747-83BD-0F9FAF62AB4D}" destId="{65E0AE29-D183-F54C-9A35-480C2CB96303}" srcOrd="0" destOrd="13" presId="urn:microsoft.com/office/officeart/2005/8/layout/vList2"/>
    <dgm:cxn modelId="{4EBB57FD-60D8-AD48-B435-574111464F31}" srcId="{859470B2-886A-0748-9A83-59BDB6F3D2FF}" destId="{A363A3FE-92E4-FB4F-BBEB-B6F726CD00EC}" srcOrd="2" destOrd="0" parTransId="{846CF34C-52B8-0A48-B45E-20A36881A06F}" sibTransId="{E77A204B-278C-6945-95FD-3F1D1931D7C4}"/>
    <dgm:cxn modelId="{4B2FA8FD-ED0D-4327-949C-FD51EDB092C7}" type="presOf" srcId="{B37D11AE-A8A9-E046-83DD-ADB66FBAD8DB}" destId="{F26527C2-86F8-1443-AFC6-167CD5FC632B}" srcOrd="0" destOrd="0" presId="urn:microsoft.com/office/officeart/2005/8/layout/vList2"/>
    <dgm:cxn modelId="{2F7F32C9-BDFA-4A03-91D0-6DA2997D77DC}" type="presParOf" srcId="{CA78C675-3218-1F42-8BB0-86D98C1826D4}" destId="{5CE8CD0A-888D-8049-9668-EE552AE6CCB8}" srcOrd="0" destOrd="0" presId="urn:microsoft.com/office/officeart/2005/8/layout/vList2"/>
    <dgm:cxn modelId="{30B23FAF-994F-4636-BDBF-7D4C6E3F8C10}" type="presParOf" srcId="{CA78C675-3218-1F42-8BB0-86D98C1826D4}" destId="{F26527C2-86F8-1443-AFC6-167CD5FC632B}" srcOrd="1" destOrd="0" presId="urn:microsoft.com/office/officeart/2005/8/layout/vList2"/>
    <dgm:cxn modelId="{3DBFBDD4-6A21-4BF1-B69C-E37B81EC89E7}" type="presParOf" srcId="{CA78C675-3218-1F42-8BB0-86D98C1826D4}" destId="{DA77604F-8C21-6F4A-90C9-8244D3A6E535}" srcOrd="2" destOrd="0" presId="urn:microsoft.com/office/officeart/2005/8/layout/vList2"/>
    <dgm:cxn modelId="{0CF14C88-B9F3-44C8-AF49-24677A60108C}" type="presParOf" srcId="{CA78C675-3218-1F42-8BB0-86D98C1826D4}" destId="{65E0AE29-D183-F54C-9A35-480C2CB96303}" srcOrd="3"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00BB760-B506-334B-A1E6-37F09BE89182}" type="doc">
      <dgm:prSet loTypeId="urn:microsoft.com/office/officeart/2005/8/layout/vList2" loCatId="" qsTypeId="urn:microsoft.com/office/officeart/2005/8/quickstyle/simple1" qsCatId="simple" csTypeId="urn:microsoft.com/office/officeart/2005/8/colors/colorful4" csCatId="colorful" phldr="1"/>
      <dgm:spPr/>
      <dgm:t>
        <a:bodyPr/>
        <a:lstStyle/>
        <a:p>
          <a:endParaRPr lang="en-GB"/>
        </a:p>
      </dgm:t>
    </dgm:pt>
    <dgm:pt modelId="{859470B2-886A-0748-9A83-59BDB6F3D2FF}">
      <dgm:prSet phldrT="[Text]" custT="1"/>
      <dgm:spPr/>
      <dgm:t>
        <a:bodyPr/>
        <a:lstStyle/>
        <a:p>
          <a:r>
            <a:rPr lang="en-GB" sz="1400" b="1"/>
            <a:t>Strenghts</a:t>
          </a:r>
        </a:p>
      </dgm:t>
    </dgm:pt>
    <dgm:pt modelId="{678F5C4A-38CF-E047-B14F-711C8134AB42}" type="parTrans" cxnId="{1FD9AFB4-AED7-604A-8740-F928C816B1B8}">
      <dgm:prSet/>
      <dgm:spPr/>
      <dgm:t>
        <a:bodyPr/>
        <a:lstStyle/>
        <a:p>
          <a:endParaRPr lang="en-GB"/>
        </a:p>
      </dgm:t>
    </dgm:pt>
    <dgm:pt modelId="{52C78678-7777-4F4C-AE4E-035286CCCDF5}" type="sibTrans" cxnId="{1FD9AFB4-AED7-604A-8740-F928C816B1B8}">
      <dgm:prSet/>
      <dgm:spPr/>
      <dgm:t>
        <a:bodyPr/>
        <a:lstStyle/>
        <a:p>
          <a:endParaRPr lang="en-GB"/>
        </a:p>
      </dgm:t>
    </dgm:pt>
    <dgm:pt modelId="{B37D11AE-A8A9-E046-83DD-ADB66FBAD8DB}">
      <dgm:prSet phldrT="[Text]" custT="1"/>
      <dgm:spPr/>
      <dgm:t>
        <a:bodyPr/>
        <a:lstStyle/>
        <a:p>
          <a:r>
            <a:rPr lang="en-GB" sz="1050" b="1" i="0"/>
            <a:t>Market Presence</a:t>
          </a:r>
          <a:endParaRPr lang="en-GB" sz="1050" b="0" i="0"/>
        </a:p>
      </dgm:t>
    </dgm:pt>
    <dgm:pt modelId="{BC300A63-BB6A-B54C-B192-BF5E82113722}" type="parTrans" cxnId="{15D5234E-FEBA-1C46-9DC3-FE5EFA080B23}">
      <dgm:prSet/>
      <dgm:spPr/>
      <dgm:t>
        <a:bodyPr/>
        <a:lstStyle/>
        <a:p>
          <a:endParaRPr lang="en-GB"/>
        </a:p>
      </dgm:t>
    </dgm:pt>
    <dgm:pt modelId="{AD412D26-CE82-944D-8E17-5AC036E7B01F}" type="sibTrans" cxnId="{15D5234E-FEBA-1C46-9DC3-FE5EFA080B23}">
      <dgm:prSet/>
      <dgm:spPr/>
      <dgm:t>
        <a:bodyPr/>
        <a:lstStyle/>
        <a:p>
          <a:endParaRPr lang="en-GB"/>
        </a:p>
      </dgm:t>
    </dgm:pt>
    <dgm:pt modelId="{5972EDBA-3DC5-D845-96AA-568DF35AA17C}">
      <dgm:prSet phldrT="[Text]" custT="1"/>
      <dgm:spPr/>
      <dgm:t>
        <a:bodyPr/>
        <a:lstStyle/>
        <a:p>
          <a:r>
            <a:rPr lang="en-GB" sz="1400" b="1"/>
            <a:t>Weaknesses</a:t>
          </a:r>
        </a:p>
      </dgm:t>
    </dgm:pt>
    <dgm:pt modelId="{62F63B9A-B5FC-D84D-A6A9-0E66C73D583B}" type="parTrans" cxnId="{62301386-E288-3747-A499-B1258F50375F}">
      <dgm:prSet/>
      <dgm:spPr/>
      <dgm:t>
        <a:bodyPr/>
        <a:lstStyle/>
        <a:p>
          <a:endParaRPr lang="en-GB"/>
        </a:p>
      </dgm:t>
    </dgm:pt>
    <dgm:pt modelId="{A8BADEF1-B88E-4E4B-BDD2-65FAB8C0506F}" type="sibTrans" cxnId="{62301386-E288-3747-A499-B1258F50375F}">
      <dgm:prSet/>
      <dgm:spPr/>
      <dgm:t>
        <a:bodyPr/>
        <a:lstStyle/>
        <a:p>
          <a:endParaRPr lang="en-GB"/>
        </a:p>
      </dgm:t>
    </dgm:pt>
    <dgm:pt modelId="{1A3C9F7A-8FBD-FB41-B9CA-6EE737C8326F}">
      <dgm:prSet phldrT="[Text]" custT="1"/>
      <dgm:spPr/>
      <dgm:t>
        <a:bodyPr/>
        <a:lstStyle/>
        <a:p>
          <a:r>
            <a:rPr lang="en-GB" sz="1050" b="1"/>
            <a:t>Tax Examinations and Disputes</a:t>
          </a:r>
        </a:p>
      </dgm:t>
    </dgm:pt>
    <dgm:pt modelId="{C9D4D88F-4A1A-DB45-8DA0-CAB0B51215AA}" type="parTrans" cxnId="{ADB4FC55-8DC0-EF4C-8082-60C02D625F18}">
      <dgm:prSet/>
      <dgm:spPr/>
      <dgm:t>
        <a:bodyPr/>
        <a:lstStyle/>
        <a:p>
          <a:endParaRPr lang="en-GB"/>
        </a:p>
      </dgm:t>
    </dgm:pt>
    <dgm:pt modelId="{E0C4896C-E46E-7141-A830-84784A50161A}" type="sibTrans" cxnId="{ADB4FC55-8DC0-EF4C-8082-60C02D625F18}">
      <dgm:prSet/>
      <dgm:spPr/>
      <dgm:t>
        <a:bodyPr/>
        <a:lstStyle/>
        <a:p>
          <a:endParaRPr lang="en-GB"/>
        </a:p>
      </dgm:t>
    </dgm:pt>
    <dgm:pt modelId="{5B01D07B-4C39-5048-855E-8A505113CD53}">
      <dgm:prSet phldrT="[Text]" custT="1"/>
      <dgm:spPr/>
      <dgm:t>
        <a:bodyPr/>
        <a:lstStyle/>
        <a:p>
          <a:r>
            <a:rPr lang="en-GB" sz="1400" b="1"/>
            <a:t>Opportunities</a:t>
          </a:r>
          <a:endParaRPr lang="en-GB" sz="1100" b="1"/>
        </a:p>
      </dgm:t>
    </dgm:pt>
    <dgm:pt modelId="{7DB90825-5551-2F4A-8B84-BC5E1FEC33DD}" type="parTrans" cxnId="{C3C18750-E5C4-1145-A11D-4774E6AB380F}">
      <dgm:prSet/>
      <dgm:spPr/>
      <dgm:t>
        <a:bodyPr/>
        <a:lstStyle/>
        <a:p>
          <a:endParaRPr lang="en-GB"/>
        </a:p>
      </dgm:t>
    </dgm:pt>
    <dgm:pt modelId="{A2E548B4-B626-F448-8A5B-5BDA1CACC83F}" type="sibTrans" cxnId="{C3C18750-E5C4-1145-A11D-4774E6AB380F}">
      <dgm:prSet/>
      <dgm:spPr/>
      <dgm:t>
        <a:bodyPr/>
        <a:lstStyle/>
        <a:p>
          <a:endParaRPr lang="en-GB"/>
        </a:p>
      </dgm:t>
    </dgm:pt>
    <dgm:pt modelId="{A9DA8280-5987-004F-B598-119FED2B2F2E}">
      <dgm:prSet custT="1"/>
      <dgm:spPr/>
      <dgm:t>
        <a:bodyPr/>
        <a:lstStyle/>
        <a:p>
          <a:r>
            <a:rPr lang="en-GB" sz="1400" b="1"/>
            <a:t>Threats</a:t>
          </a:r>
          <a:endParaRPr lang="en-GB" sz="1100" b="1"/>
        </a:p>
      </dgm:t>
    </dgm:pt>
    <dgm:pt modelId="{0CB4C747-8616-2646-AB18-1556C19F3DF8}" type="parTrans" cxnId="{8B489078-DFDB-0B4C-B1EE-003C55121475}">
      <dgm:prSet/>
      <dgm:spPr/>
      <dgm:t>
        <a:bodyPr/>
        <a:lstStyle/>
        <a:p>
          <a:endParaRPr lang="en-GB"/>
        </a:p>
      </dgm:t>
    </dgm:pt>
    <dgm:pt modelId="{1F1F2187-3239-C24F-BC99-B36DF5F825DC}" type="sibTrans" cxnId="{8B489078-DFDB-0B4C-B1EE-003C55121475}">
      <dgm:prSet/>
      <dgm:spPr/>
      <dgm:t>
        <a:bodyPr/>
        <a:lstStyle/>
        <a:p>
          <a:endParaRPr lang="en-GB"/>
        </a:p>
      </dgm:t>
    </dgm:pt>
    <dgm:pt modelId="{0B2D37EF-448B-AC4A-805A-4401F7FE0AD0}">
      <dgm:prSet custT="1"/>
      <dgm:spPr/>
      <dgm:t>
        <a:bodyPr/>
        <a:lstStyle/>
        <a:p>
          <a:r>
            <a:rPr lang="en-GB" sz="1050" b="1"/>
            <a:t>Government Regulations</a:t>
          </a:r>
        </a:p>
      </dgm:t>
    </dgm:pt>
    <dgm:pt modelId="{684170CD-FB54-E448-8E1B-F215CF2C0C56}" type="parTrans" cxnId="{2CFB0CFF-EC60-4F47-BC39-2284BA4AA142}">
      <dgm:prSet/>
      <dgm:spPr/>
      <dgm:t>
        <a:bodyPr/>
        <a:lstStyle/>
        <a:p>
          <a:endParaRPr lang="en-GB"/>
        </a:p>
      </dgm:t>
    </dgm:pt>
    <dgm:pt modelId="{EB44B892-C218-7E42-B8F9-6160DD9DFAFD}" type="sibTrans" cxnId="{2CFB0CFF-EC60-4F47-BC39-2284BA4AA142}">
      <dgm:prSet/>
      <dgm:spPr/>
      <dgm:t>
        <a:bodyPr/>
        <a:lstStyle/>
        <a:p>
          <a:endParaRPr lang="en-GB"/>
        </a:p>
      </dgm:t>
    </dgm:pt>
    <dgm:pt modelId="{A92078AD-2B80-B247-952E-A941B6A5C36A}">
      <dgm:prSet phldrT="[Text]" custT="1"/>
      <dgm:spPr/>
      <dgm:t>
        <a:bodyPr/>
        <a:lstStyle/>
        <a:p>
          <a:r>
            <a:rPr lang="en-GB" sz="1050" b="1" i="0"/>
            <a:t>Brand and Marketing</a:t>
          </a:r>
        </a:p>
      </dgm:t>
    </dgm:pt>
    <dgm:pt modelId="{081359C7-954D-EC47-8F29-8B6B9733A732}" type="parTrans" cxnId="{74C35616-E17D-9F41-905A-F8FCD58D9F02}">
      <dgm:prSet/>
      <dgm:spPr/>
      <dgm:t>
        <a:bodyPr/>
        <a:lstStyle/>
        <a:p>
          <a:endParaRPr lang="en-GB"/>
        </a:p>
      </dgm:t>
    </dgm:pt>
    <dgm:pt modelId="{4295DD37-792E-7F42-8439-77372E3CA900}" type="sibTrans" cxnId="{74C35616-E17D-9F41-905A-F8FCD58D9F02}">
      <dgm:prSet/>
      <dgm:spPr/>
      <dgm:t>
        <a:bodyPr/>
        <a:lstStyle/>
        <a:p>
          <a:endParaRPr lang="en-GB"/>
        </a:p>
      </dgm:t>
    </dgm:pt>
    <dgm:pt modelId="{24B13FDE-40F2-694E-8DF7-1591B50D0BFB}">
      <dgm:prSet phldrT="[Text]" custT="1"/>
      <dgm:spPr/>
      <dgm:t>
        <a:bodyPr/>
        <a:lstStyle/>
        <a:p>
          <a:r>
            <a:rPr lang="en-GB" sz="1050" b="1"/>
            <a:t>Litigations</a:t>
          </a:r>
        </a:p>
      </dgm:t>
    </dgm:pt>
    <dgm:pt modelId="{D955FA89-F0D4-6A4C-A456-06ED18984EA5}" type="parTrans" cxnId="{930897F8-C1FD-2945-B975-3DA93B5896BC}">
      <dgm:prSet/>
      <dgm:spPr/>
      <dgm:t>
        <a:bodyPr/>
        <a:lstStyle/>
        <a:p>
          <a:endParaRPr lang="en-GB"/>
        </a:p>
      </dgm:t>
    </dgm:pt>
    <dgm:pt modelId="{D9DFEF95-E4C7-CC47-82FA-7833B77AA9C0}" type="sibTrans" cxnId="{930897F8-C1FD-2945-B975-3DA93B5896BC}">
      <dgm:prSet/>
      <dgm:spPr/>
      <dgm:t>
        <a:bodyPr/>
        <a:lstStyle/>
        <a:p>
          <a:endParaRPr lang="en-GB"/>
        </a:p>
      </dgm:t>
    </dgm:pt>
    <dgm:pt modelId="{B90CA67F-8A48-1F4B-819D-DE2B1BD4DD7A}">
      <dgm:prSet phldrT="[Text]" custT="1"/>
      <dgm:spPr/>
      <dgm:t>
        <a:bodyPr/>
        <a:lstStyle/>
        <a:p>
          <a:r>
            <a:rPr lang="en-GB" sz="1050" b="1"/>
            <a:t>Digital Transition</a:t>
          </a:r>
        </a:p>
      </dgm:t>
    </dgm:pt>
    <dgm:pt modelId="{B5A44354-2BE6-5B4D-B29A-C68EAD62ADCE}" type="parTrans" cxnId="{7EC03F3A-E669-9248-A804-11AB7F90A7F7}">
      <dgm:prSet/>
      <dgm:spPr/>
      <dgm:t>
        <a:bodyPr/>
        <a:lstStyle/>
        <a:p>
          <a:endParaRPr lang="en-GB"/>
        </a:p>
      </dgm:t>
    </dgm:pt>
    <dgm:pt modelId="{55F64BFD-9FE4-294F-890C-1D1658C15F46}" type="sibTrans" cxnId="{7EC03F3A-E669-9248-A804-11AB7F90A7F7}">
      <dgm:prSet/>
      <dgm:spPr/>
      <dgm:t>
        <a:bodyPr/>
        <a:lstStyle/>
        <a:p>
          <a:endParaRPr lang="en-GB"/>
        </a:p>
      </dgm:t>
    </dgm:pt>
    <dgm:pt modelId="{39B3C69F-8A48-2941-B81D-A4367B6ED144}">
      <dgm:prSet phldrT="[Text]" custT="1"/>
      <dgm:spPr/>
      <dgm:t>
        <a:bodyPr/>
        <a:lstStyle/>
        <a:p>
          <a:r>
            <a:rPr lang="en-GB" sz="1050" b="1" i="0"/>
            <a:t>Proprietary Network</a:t>
          </a:r>
        </a:p>
      </dgm:t>
    </dgm:pt>
    <dgm:pt modelId="{5E334D45-BD12-8C45-8663-9E18453C06D9}" type="parTrans" cxnId="{06998057-FCE4-8A4F-B3B4-26C6B79D8B0C}">
      <dgm:prSet/>
      <dgm:spPr/>
      <dgm:t>
        <a:bodyPr/>
        <a:lstStyle/>
        <a:p>
          <a:endParaRPr lang="en-GB"/>
        </a:p>
      </dgm:t>
    </dgm:pt>
    <dgm:pt modelId="{C1E8C8B5-1C2A-1E4D-9540-8303E2813F19}" type="sibTrans" cxnId="{06998057-FCE4-8A4F-B3B4-26C6B79D8B0C}">
      <dgm:prSet/>
      <dgm:spPr/>
      <dgm:t>
        <a:bodyPr/>
        <a:lstStyle/>
        <a:p>
          <a:endParaRPr lang="en-GB"/>
        </a:p>
      </dgm:t>
    </dgm:pt>
    <dgm:pt modelId="{4588E794-E473-A142-9125-47FDA5FC8EEC}">
      <dgm:prSet phldrT="[Text]" custT="1"/>
      <dgm:spPr/>
      <dgm:t>
        <a:bodyPr/>
        <a:lstStyle/>
        <a:p>
          <a:r>
            <a:rPr lang="en-GB" sz="1050" b="1" i="0"/>
            <a:t>Security</a:t>
          </a:r>
        </a:p>
      </dgm:t>
    </dgm:pt>
    <dgm:pt modelId="{83CC10BB-FA1A-1F4C-8470-52ABC120ABC2}" type="parTrans" cxnId="{F3636279-4033-2043-B423-5323E49D96BC}">
      <dgm:prSet/>
      <dgm:spPr/>
      <dgm:t>
        <a:bodyPr/>
        <a:lstStyle/>
        <a:p>
          <a:endParaRPr lang="en-GB"/>
        </a:p>
      </dgm:t>
    </dgm:pt>
    <dgm:pt modelId="{23C1839C-9E0E-7A4C-8A4D-B4ED6CAF8A41}" type="sibTrans" cxnId="{F3636279-4033-2043-B423-5323E49D96BC}">
      <dgm:prSet/>
      <dgm:spPr/>
      <dgm:t>
        <a:bodyPr/>
        <a:lstStyle/>
        <a:p>
          <a:endParaRPr lang="en-GB"/>
        </a:p>
      </dgm:t>
    </dgm:pt>
    <dgm:pt modelId="{1A76AC64-804B-3642-BEEB-3390581A94B0}">
      <dgm:prSet phldrT="[Text]" custT="1"/>
      <dgm:spPr/>
      <dgm:t>
        <a:bodyPr/>
        <a:lstStyle/>
        <a:p>
          <a:r>
            <a:rPr lang="en-GB" sz="1050" b="0" i="0"/>
            <a:t>VisaNet can authorise up to 56,000 transactions per second in multiple currencies. 'Network of networks' offering a single connection point for senders and receivers to enable momey movement to all endpoints on all available networks..</a:t>
          </a:r>
          <a:endParaRPr lang="en-GB" sz="1050" b="1" i="0"/>
        </a:p>
      </dgm:t>
    </dgm:pt>
    <dgm:pt modelId="{CFFDB6AD-79C3-7E41-833F-F31966E41940}" type="parTrans" cxnId="{E8023030-3D5E-2D41-917A-034CCB68E554}">
      <dgm:prSet/>
      <dgm:spPr/>
      <dgm:t>
        <a:bodyPr/>
        <a:lstStyle/>
        <a:p>
          <a:endParaRPr lang="en-GB"/>
        </a:p>
      </dgm:t>
    </dgm:pt>
    <dgm:pt modelId="{6A7E8C4C-1877-1749-AA1A-29B4D830B3E0}" type="sibTrans" cxnId="{E8023030-3D5E-2D41-917A-034CCB68E554}">
      <dgm:prSet/>
      <dgm:spPr/>
      <dgm:t>
        <a:bodyPr/>
        <a:lstStyle/>
        <a:p>
          <a:endParaRPr lang="en-GB"/>
        </a:p>
      </dgm:t>
    </dgm:pt>
    <dgm:pt modelId="{1F9706D4-78C2-C444-8B36-C5BE3599EBCB}">
      <dgm:prSet phldrT="[Text]" custT="1"/>
      <dgm:spPr/>
      <dgm:t>
        <a:bodyPr/>
        <a:lstStyle/>
        <a:p>
          <a:r>
            <a:rPr lang="en-GB" sz="1050" b="0" i="0"/>
            <a:t>Operating globally with International revenue accounting for almost 60% of the total operating income.</a:t>
          </a:r>
        </a:p>
      </dgm:t>
    </dgm:pt>
    <dgm:pt modelId="{AC6AD5F0-AEAA-AF40-A986-08B5E3F1B5A8}" type="parTrans" cxnId="{9D57E880-7AAA-E34E-AA7D-48B199092CFF}">
      <dgm:prSet/>
      <dgm:spPr/>
      <dgm:t>
        <a:bodyPr/>
        <a:lstStyle/>
        <a:p>
          <a:endParaRPr lang="en-GB"/>
        </a:p>
      </dgm:t>
    </dgm:pt>
    <dgm:pt modelId="{382F6839-44CD-0C42-BA3C-B995C6D1BB9F}" type="sibTrans" cxnId="{9D57E880-7AAA-E34E-AA7D-48B199092CFF}">
      <dgm:prSet/>
      <dgm:spPr/>
      <dgm:t>
        <a:bodyPr/>
        <a:lstStyle/>
        <a:p>
          <a:endParaRPr lang="en-GB"/>
        </a:p>
      </dgm:t>
    </dgm:pt>
    <dgm:pt modelId="{8727B232-1FA4-5749-B486-1C79B27B26CB}">
      <dgm:prSet phldrT="[Text]" custT="1"/>
      <dgm:spPr/>
      <dgm:t>
        <a:bodyPr/>
        <a:lstStyle/>
        <a:p>
          <a:r>
            <a:rPr lang="en-GB" sz="1050" b="1" i="0"/>
            <a:t>Talent</a:t>
          </a:r>
        </a:p>
      </dgm:t>
    </dgm:pt>
    <dgm:pt modelId="{A45596CE-EBF0-394C-9D51-C43D2A8DAC03}" type="parTrans" cxnId="{C3FDA47E-2083-E543-82C0-FCD305983225}">
      <dgm:prSet/>
      <dgm:spPr/>
      <dgm:t>
        <a:bodyPr/>
        <a:lstStyle/>
        <a:p>
          <a:endParaRPr lang="en-GB"/>
        </a:p>
      </dgm:t>
    </dgm:pt>
    <dgm:pt modelId="{B5264922-2D31-2E4C-A713-48D21FFAFD1B}" type="sibTrans" cxnId="{C3FDA47E-2083-E543-82C0-FCD305983225}">
      <dgm:prSet/>
      <dgm:spPr/>
      <dgm:t>
        <a:bodyPr/>
        <a:lstStyle/>
        <a:p>
          <a:endParaRPr lang="en-GB"/>
        </a:p>
      </dgm:t>
    </dgm:pt>
    <dgm:pt modelId="{A3A03B68-0144-5F4C-BF66-D8A45E5990B4}">
      <dgm:prSet phldrT="[Text]" custT="1"/>
      <dgm:spPr/>
      <dgm:t>
        <a:bodyPr/>
        <a:lstStyle/>
        <a:p>
          <a:r>
            <a:rPr lang="en-GB" sz="1050" b="0" i="0"/>
            <a:t>Deploying security tools to keep clients and consumers safe, technologies to strenghten data confidentiality, integrity of proprietary network and service availability. Investing in a comprehensive approach to cybersecurity. </a:t>
          </a:r>
        </a:p>
      </dgm:t>
    </dgm:pt>
    <dgm:pt modelId="{5D28A3F6-1967-D542-945F-DC6F88371F89}" type="parTrans" cxnId="{055B121B-A461-814E-AD74-46DFC8556003}">
      <dgm:prSet/>
      <dgm:spPr/>
      <dgm:t>
        <a:bodyPr/>
        <a:lstStyle/>
        <a:p>
          <a:endParaRPr lang="en-GB"/>
        </a:p>
      </dgm:t>
    </dgm:pt>
    <dgm:pt modelId="{B1800FFE-FCBC-194B-986A-66A22E0114BE}" type="sibTrans" cxnId="{055B121B-A461-814E-AD74-46DFC8556003}">
      <dgm:prSet/>
      <dgm:spPr/>
      <dgm:t>
        <a:bodyPr/>
        <a:lstStyle/>
        <a:p>
          <a:endParaRPr lang="en-GB"/>
        </a:p>
      </dgm:t>
    </dgm:pt>
    <dgm:pt modelId="{1E20E417-A74B-B44A-B431-A0CC21CCA571}">
      <dgm:prSet phldrT="[Text]" custT="1"/>
      <dgm:spPr/>
      <dgm:t>
        <a:bodyPr/>
        <a:lstStyle/>
        <a:p>
          <a:r>
            <a:rPr lang="en-GB" sz="1050" i="0"/>
            <a:t>Attracting, developing and advancing the best talent globally, with a very diverse workforce. Strong focus on personal development and individual goal resulting in a very low voluntary workforce turnover.</a:t>
          </a:r>
          <a:endParaRPr lang="en-GB" sz="1050" b="1" i="0"/>
        </a:p>
      </dgm:t>
    </dgm:pt>
    <dgm:pt modelId="{78370CE4-F5F4-674B-BFB6-2C35E0E42B16}" type="parTrans" cxnId="{6221FF1A-7850-FB4B-93E1-1D8215B194DD}">
      <dgm:prSet/>
      <dgm:spPr/>
      <dgm:t>
        <a:bodyPr/>
        <a:lstStyle/>
        <a:p>
          <a:endParaRPr lang="en-GB"/>
        </a:p>
      </dgm:t>
    </dgm:pt>
    <dgm:pt modelId="{1879D8D4-866E-C144-A6E3-F9804D55E2A7}" type="sibTrans" cxnId="{6221FF1A-7850-FB4B-93E1-1D8215B194DD}">
      <dgm:prSet/>
      <dgm:spPr/>
      <dgm:t>
        <a:bodyPr/>
        <a:lstStyle/>
        <a:p>
          <a:endParaRPr lang="en-GB"/>
        </a:p>
      </dgm:t>
    </dgm:pt>
    <dgm:pt modelId="{5E4BED81-800B-D749-A43F-DB94D2A07221}">
      <dgm:prSet custT="1"/>
      <dgm:spPr/>
      <dgm:t>
        <a:bodyPr/>
        <a:lstStyle/>
        <a:p>
          <a:r>
            <a:rPr lang="en-GB" sz="1050"/>
            <a:t>Subjection to complex and evolving global regulations in various jurisdictions is which products and services are used (i.e. China favouring the growth of national UnionPay (which is now also expanding globally) and BRICS countries lessening dependance on western payment systems).</a:t>
          </a:r>
        </a:p>
      </dgm:t>
    </dgm:pt>
    <dgm:pt modelId="{E3BAF999-2FAB-2D49-97D8-03237DC56F5E}" type="parTrans" cxnId="{FF9C5303-48F3-1D4B-A949-EA41462587F5}">
      <dgm:prSet/>
      <dgm:spPr/>
      <dgm:t>
        <a:bodyPr/>
        <a:lstStyle/>
        <a:p>
          <a:endParaRPr lang="en-GB"/>
        </a:p>
      </dgm:t>
    </dgm:pt>
    <dgm:pt modelId="{85F1914C-1440-D848-AB95-A5127D0F2C56}" type="sibTrans" cxnId="{FF9C5303-48F3-1D4B-A949-EA41462587F5}">
      <dgm:prSet/>
      <dgm:spPr/>
      <dgm:t>
        <a:bodyPr/>
        <a:lstStyle/>
        <a:p>
          <a:endParaRPr lang="en-GB"/>
        </a:p>
      </dgm:t>
    </dgm:pt>
    <dgm:pt modelId="{31D0F60C-97F4-1B4C-9113-FC7799B50734}">
      <dgm:prSet custT="1"/>
      <dgm:spPr/>
      <dgm:t>
        <a:bodyPr/>
        <a:lstStyle/>
        <a:p>
          <a:r>
            <a:rPr lang="en-GB" sz="1050" b="1"/>
            <a:t>Competition</a:t>
          </a:r>
        </a:p>
      </dgm:t>
    </dgm:pt>
    <dgm:pt modelId="{63AAB384-3991-714C-AF4A-270455125342}" type="parTrans" cxnId="{22E12FE7-BF0C-5C41-A015-E93F7AFB4D8B}">
      <dgm:prSet/>
      <dgm:spPr/>
      <dgm:t>
        <a:bodyPr/>
        <a:lstStyle/>
        <a:p>
          <a:endParaRPr lang="en-GB"/>
        </a:p>
      </dgm:t>
    </dgm:pt>
    <dgm:pt modelId="{34364B23-B42A-5947-A690-DDCB33CC79B8}" type="sibTrans" cxnId="{22E12FE7-BF0C-5C41-A015-E93F7AFB4D8B}">
      <dgm:prSet/>
      <dgm:spPr/>
      <dgm:t>
        <a:bodyPr/>
        <a:lstStyle/>
        <a:p>
          <a:endParaRPr lang="en-GB"/>
        </a:p>
      </dgm:t>
    </dgm:pt>
    <dgm:pt modelId="{FA51472A-18BE-C24B-A117-AE9E7E6026A0}">
      <dgm:prSet custT="1"/>
      <dgm:spPr/>
      <dgm:t>
        <a:bodyPr/>
        <a:lstStyle/>
        <a:p>
          <a:r>
            <a:rPr lang="en-GB" sz="1050" b="0"/>
            <a:t>Existing and emerging competitors taking advantage of shifting consumer habits and growth opportunities in non-traditional network payment models; Visa competes against </a:t>
          </a:r>
          <a:r>
            <a:rPr lang="en-GB" sz="1050" b="0" i="1"/>
            <a:t>all</a:t>
          </a:r>
          <a:r>
            <a:rPr lang="en-GB" sz="1050" b="0"/>
            <a:t> forms of payment from paper-based to all kinds of electronic ones.</a:t>
          </a:r>
        </a:p>
      </dgm:t>
    </dgm:pt>
    <dgm:pt modelId="{D50B150C-2DD3-D746-ADC7-B877E2E2DA99}" type="parTrans" cxnId="{69540B2A-8591-574D-ABDC-9376B15E248B}">
      <dgm:prSet/>
      <dgm:spPr/>
      <dgm:t>
        <a:bodyPr/>
        <a:lstStyle/>
        <a:p>
          <a:endParaRPr lang="en-GB"/>
        </a:p>
      </dgm:t>
    </dgm:pt>
    <dgm:pt modelId="{444DBEE9-895F-6A46-8D96-2FF43E13943B}" type="sibTrans" cxnId="{69540B2A-8591-574D-ABDC-9376B15E248B}">
      <dgm:prSet/>
      <dgm:spPr/>
      <dgm:t>
        <a:bodyPr/>
        <a:lstStyle/>
        <a:p>
          <a:endParaRPr lang="en-GB"/>
        </a:p>
      </dgm:t>
    </dgm:pt>
    <dgm:pt modelId="{95CCC914-F3A9-064C-90C6-03327BAC7ABF}">
      <dgm:prSet phldrT="[Text]" custT="1"/>
      <dgm:spPr/>
      <dgm:t>
        <a:bodyPr/>
        <a:lstStyle/>
        <a:p>
          <a:r>
            <a:rPr lang="en-GB" sz="1050"/>
            <a:t>Relevant tax authorities may disagree with tax treatment of certain material items and thereby increase tax liability. Visa is currently under examination/in disputes with IRS, HMRC and other tax authorities.</a:t>
          </a:r>
          <a:endParaRPr lang="en-GB" sz="1050" b="0"/>
        </a:p>
      </dgm:t>
    </dgm:pt>
    <dgm:pt modelId="{E80D91C4-56BC-7943-833C-34DB19F69BC6}" type="parTrans" cxnId="{47C40768-B198-D145-A9E5-A08DA8B0267C}">
      <dgm:prSet/>
      <dgm:spPr/>
      <dgm:t>
        <a:bodyPr/>
        <a:lstStyle/>
        <a:p>
          <a:endParaRPr lang="en-GB"/>
        </a:p>
      </dgm:t>
    </dgm:pt>
    <dgm:pt modelId="{84A030F8-DDB4-1047-A97F-A0297FD3A0C4}" type="sibTrans" cxnId="{47C40768-B198-D145-A9E5-A08DA8B0267C}">
      <dgm:prSet/>
      <dgm:spPr/>
      <dgm:t>
        <a:bodyPr/>
        <a:lstStyle/>
        <a:p>
          <a:endParaRPr lang="en-GB"/>
        </a:p>
      </dgm:t>
    </dgm:pt>
    <dgm:pt modelId="{1E0109A6-06F7-BA40-A389-BC2B86DCF1AD}">
      <dgm:prSet phldrT="[Text]" custT="1"/>
      <dgm:spPr/>
      <dgm:t>
        <a:bodyPr/>
        <a:lstStyle/>
        <a:p>
          <a:r>
            <a:rPr lang="en-GB" sz="1050"/>
            <a:t>Involved in numerous litigations/investigations/proceedings for violations of competition and antitrust law, consumer protection law, privacy law and intellectual property law.</a:t>
          </a:r>
        </a:p>
      </dgm:t>
    </dgm:pt>
    <dgm:pt modelId="{CF20C188-BDCD-5648-99B6-695C18F9BB08}" type="parTrans" cxnId="{9309846D-31E2-5144-955A-3FE3E2E842D3}">
      <dgm:prSet/>
      <dgm:spPr/>
      <dgm:t>
        <a:bodyPr/>
        <a:lstStyle/>
        <a:p>
          <a:endParaRPr lang="en-GB"/>
        </a:p>
      </dgm:t>
    </dgm:pt>
    <dgm:pt modelId="{9733D00C-1E75-EA4B-8358-9E7E51282023}" type="sibTrans" cxnId="{9309846D-31E2-5144-955A-3FE3E2E842D3}">
      <dgm:prSet/>
      <dgm:spPr/>
      <dgm:t>
        <a:bodyPr/>
        <a:lstStyle/>
        <a:p>
          <a:endParaRPr lang="en-GB"/>
        </a:p>
      </dgm:t>
    </dgm:pt>
    <dgm:pt modelId="{FBFE3B96-BD10-B143-86F2-A9E154AFCEE3}">
      <dgm:prSet phldrT="[Text]" custT="1"/>
      <dgm:spPr/>
      <dgm:t>
        <a:bodyPr/>
        <a:lstStyle/>
        <a:p>
          <a:r>
            <a:rPr lang="en-GB" sz="1050" b="1"/>
            <a:t>Clients Dependency</a:t>
          </a:r>
        </a:p>
      </dgm:t>
    </dgm:pt>
    <dgm:pt modelId="{255E7B3C-C7B7-C84D-BA65-AE12FC61D4F4}" type="parTrans" cxnId="{C3E5FB05-9F81-084E-8888-5707B40C0EA0}">
      <dgm:prSet/>
      <dgm:spPr/>
      <dgm:t>
        <a:bodyPr/>
        <a:lstStyle/>
        <a:p>
          <a:endParaRPr lang="en-GB"/>
        </a:p>
      </dgm:t>
    </dgm:pt>
    <dgm:pt modelId="{D933EEA3-9CED-0D4A-AEA1-57C652C0C8A8}" type="sibTrans" cxnId="{C3E5FB05-9F81-084E-8888-5707B40C0EA0}">
      <dgm:prSet/>
      <dgm:spPr/>
      <dgm:t>
        <a:bodyPr/>
        <a:lstStyle/>
        <a:p>
          <a:endParaRPr lang="en-GB"/>
        </a:p>
      </dgm:t>
    </dgm:pt>
    <dgm:pt modelId="{BC6EFDEB-FCE9-A34E-9307-BC5934D0D9F6}">
      <dgm:prSet phldrT="[Text]" custT="1"/>
      <dgm:spPr/>
      <dgm:t>
        <a:bodyPr/>
        <a:lstStyle/>
        <a:p>
          <a:r>
            <a:rPr lang="en-GB" sz="1050" b="0"/>
            <a:t>Revenues and profits are dependent on client and merchant which may be costly to win, retain and develop and can </a:t>
          </a:r>
          <a:r>
            <a:rPr lang="en-GB" sz="1050"/>
            <a:t>reassess their commitments at any time.</a:t>
          </a:r>
          <a:endParaRPr lang="en-GB" sz="1050" b="0"/>
        </a:p>
      </dgm:t>
    </dgm:pt>
    <dgm:pt modelId="{198DABE8-DD29-6246-A68B-8975F6374B8C}" type="parTrans" cxnId="{F4303D8A-31FE-494C-8743-6C9D01295C40}">
      <dgm:prSet/>
      <dgm:spPr/>
      <dgm:t>
        <a:bodyPr/>
        <a:lstStyle/>
        <a:p>
          <a:endParaRPr lang="en-GB"/>
        </a:p>
      </dgm:t>
    </dgm:pt>
    <dgm:pt modelId="{07D55566-A993-D142-AD1E-B231910E917C}" type="sibTrans" cxnId="{F4303D8A-31FE-494C-8743-6C9D01295C40}">
      <dgm:prSet/>
      <dgm:spPr/>
      <dgm:t>
        <a:bodyPr/>
        <a:lstStyle/>
        <a:p>
          <a:endParaRPr lang="en-GB"/>
        </a:p>
      </dgm:t>
    </dgm:pt>
    <dgm:pt modelId="{954F884C-63E5-2E47-9655-7599EE955FDE}">
      <dgm:prSet phldrT="[Text]" custT="1"/>
      <dgm:spPr/>
      <dgm:t>
        <a:bodyPr/>
        <a:lstStyle/>
        <a:p>
          <a:r>
            <a:rPr lang="en-GB" sz="1050"/>
            <a:t>Technology and innovation are shifting consumer habits and driving growth opportunities in ecommerce, mobile payments, blockchain technology and digital currencies. Visa </a:t>
          </a:r>
          <a:r>
            <a:rPr lang="en-GB" sz="1050" b="0" i="1"/>
            <a:t>Value Added Services</a:t>
          </a:r>
          <a:r>
            <a:rPr lang="en-GB" sz="1050" b="1" i="1"/>
            <a:t> </a:t>
          </a:r>
          <a:r>
            <a:rPr lang="en-GB" sz="1050"/>
            <a:t>enable traditional clients and new partners to deliver secure, reliable and convenient payments. </a:t>
          </a:r>
        </a:p>
      </dgm:t>
    </dgm:pt>
    <dgm:pt modelId="{08B17C85-EB06-7D4D-A0BA-F8CE995BF1CE}" type="parTrans" cxnId="{4BC66994-16F6-4440-9AB0-C2895F1234EA}">
      <dgm:prSet/>
      <dgm:spPr/>
      <dgm:t>
        <a:bodyPr/>
        <a:lstStyle/>
        <a:p>
          <a:endParaRPr lang="en-GB"/>
        </a:p>
      </dgm:t>
    </dgm:pt>
    <dgm:pt modelId="{60EEE4B5-4F72-2C49-822C-79C0623429FE}" type="sibTrans" cxnId="{4BC66994-16F6-4440-9AB0-C2895F1234EA}">
      <dgm:prSet/>
      <dgm:spPr/>
      <dgm:t>
        <a:bodyPr/>
        <a:lstStyle/>
        <a:p>
          <a:endParaRPr lang="en-GB"/>
        </a:p>
      </dgm:t>
    </dgm:pt>
    <dgm:pt modelId="{09498431-69A6-954C-8FC7-0FF7C671F383}">
      <dgm:prSet phldrT="[Text]" custT="1"/>
      <dgm:spPr/>
      <dgm:t>
        <a:bodyPr/>
        <a:lstStyle/>
        <a:p>
          <a:r>
            <a:rPr lang="en-GB" sz="1050" b="1" i="1"/>
            <a:t>'New Flows'</a:t>
          </a:r>
          <a:endParaRPr lang="en-GB" sz="1050"/>
        </a:p>
      </dgm:t>
    </dgm:pt>
    <dgm:pt modelId="{CB686AFD-F684-084A-B77C-123D1E16DFA2}" type="parTrans" cxnId="{BD08C2E8-8DEC-B544-B060-0B53F9CE560E}">
      <dgm:prSet/>
      <dgm:spPr/>
      <dgm:t>
        <a:bodyPr/>
        <a:lstStyle/>
        <a:p>
          <a:endParaRPr lang="en-GB"/>
        </a:p>
      </dgm:t>
    </dgm:pt>
    <dgm:pt modelId="{15C425CF-B200-6E42-AA3F-CDC55180906D}" type="sibTrans" cxnId="{BD08C2E8-8DEC-B544-B060-0B53F9CE560E}">
      <dgm:prSet/>
      <dgm:spPr/>
      <dgm:t>
        <a:bodyPr/>
        <a:lstStyle/>
        <a:p>
          <a:endParaRPr lang="en-GB"/>
        </a:p>
      </dgm:t>
    </dgm:pt>
    <dgm:pt modelId="{F0415412-4822-3347-B38D-9D32C40A46AE}">
      <dgm:prSet custT="1"/>
      <dgm:spPr/>
      <dgm:t>
        <a:bodyPr/>
        <a:lstStyle/>
        <a:p>
          <a:r>
            <a:rPr lang="en-GB" sz="1050"/>
            <a:t>B2B, B2C, G2C and P2P payments are creating new and wider sources of income. Expanding presence in these fIows generates additional transactions and volume on the Visa network.</a:t>
          </a:r>
        </a:p>
      </dgm:t>
    </dgm:pt>
    <dgm:pt modelId="{BD8FD6DE-CF08-B94B-8631-9EAA3DBC1821}" type="parTrans" cxnId="{FE2CB6A5-055E-E542-9F7D-5F627DD35AE4}">
      <dgm:prSet/>
      <dgm:spPr/>
      <dgm:t>
        <a:bodyPr/>
        <a:lstStyle/>
        <a:p>
          <a:endParaRPr lang="en-GB"/>
        </a:p>
      </dgm:t>
    </dgm:pt>
    <dgm:pt modelId="{70DABE5D-3CAF-1E44-A13B-6E83B49E0A32}" type="sibTrans" cxnId="{FE2CB6A5-055E-E542-9F7D-5F627DD35AE4}">
      <dgm:prSet/>
      <dgm:spPr/>
      <dgm:t>
        <a:bodyPr/>
        <a:lstStyle/>
        <a:p>
          <a:endParaRPr lang="en-GB"/>
        </a:p>
      </dgm:t>
    </dgm:pt>
    <dgm:pt modelId="{85602B69-DBCE-3846-991D-0D8DBEC3AC0B}">
      <dgm:prSet phldrT="[Text]" custT="1"/>
      <dgm:spPr/>
      <dgm:t>
        <a:bodyPr/>
        <a:lstStyle/>
        <a:p>
          <a:r>
            <a:rPr lang="en-GB" sz="1050" b="0" i="0"/>
            <a:t>Strong brand delivering added value to clients and customers offering a wide range of products and services. Sponsoring and partnering several major events including the FIFA World Cup and the Olympic Games.</a:t>
          </a:r>
          <a:endParaRPr lang="en-GB" sz="1050" b="1" i="0"/>
        </a:p>
      </dgm:t>
    </dgm:pt>
    <dgm:pt modelId="{DFABFD92-F3AF-C740-A118-227233C9438A}" type="parTrans" cxnId="{7E855397-EC3D-0442-83DB-37B53B7D2BC0}">
      <dgm:prSet/>
      <dgm:spPr/>
      <dgm:t>
        <a:bodyPr/>
        <a:lstStyle/>
        <a:p>
          <a:endParaRPr lang="en-GB"/>
        </a:p>
      </dgm:t>
    </dgm:pt>
    <dgm:pt modelId="{F27B82D3-C446-DE4D-9E4E-962512CE8B2B}" type="sibTrans" cxnId="{7E855397-EC3D-0442-83DB-37B53B7D2BC0}">
      <dgm:prSet/>
      <dgm:spPr/>
      <dgm:t>
        <a:bodyPr/>
        <a:lstStyle/>
        <a:p>
          <a:endParaRPr lang="en-GB"/>
        </a:p>
      </dgm:t>
    </dgm:pt>
    <dgm:pt modelId="{813CD04C-EC3B-EC4C-BE45-06ED7704F0E5}" type="pres">
      <dgm:prSet presAssocID="{600BB760-B506-334B-A1E6-37F09BE89182}" presName="linear" presStyleCnt="0">
        <dgm:presLayoutVars>
          <dgm:animLvl val="lvl"/>
          <dgm:resizeHandles val="exact"/>
        </dgm:presLayoutVars>
      </dgm:prSet>
      <dgm:spPr/>
    </dgm:pt>
    <dgm:pt modelId="{6479A8C8-0D72-F246-A0B9-FD75769B9302}" type="pres">
      <dgm:prSet presAssocID="{859470B2-886A-0748-9A83-59BDB6F3D2FF}" presName="parentText" presStyleLbl="node1" presStyleIdx="0" presStyleCnt="4">
        <dgm:presLayoutVars>
          <dgm:chMax val="0"/>
          <dgm:bulletEnabled val="1"/>
        </dgm:presLayoutVars>
      </dgm:prSet>
      <dgm:spPr/>
    </dgm:pt>
    <dgm:pt modelId="{4AC45F35-8E49-5E43-926B-B4906B3A0BD8}" type="pres">
      <dgm:prSet presAssocID="{859470B2-886A-0748-9A83-59BDB6F3D2FF}" presName="childText" presStyleLbl="revTx" presStyleIdx="0" presStyleCnt="4">
        <dgm:presLayoutVars>
          <dgm:bulletEnabled val="1"/>
        </dgm:presLayoutVars>
      </dgm:prSet>
      <dgm:spPr/>
    </dgm:pt>
    <dgm:pt modelId="{3B6F52B2-4324-D04A-846B-8D0E48002453}" type="pres">
      <dgm:prSet presAssocID="{5972EDBA-3DC5-D845-96AA-568DF35AA17C}" presName="parentText" presStyleLbl="node1" presStyleIdx="1" presStyleCnt="4">
        <dgm:presLayoutVars>
          <dgm:chMax val="0"/>
          <dgm:bulletEnabled val="1"/>
        </dgm:presLayoutVars>
      </dgm:prSet>
      <dgm:spPr/>
    </dgm:pt>
    <dgm:pt modelId="{1A608BB0-01A4-FE48-8FEF-30F3DC1D9D43}" type="pres">
      <dgm:prSet presAssocID="{5972EDBA-3DC5-D845-96AA-568DF35AA17C}" presName="childText" presStyleLbl="revTx" presStyleIdx="1" presStyleCnt="4">
        <dgm:presLayoutVars>
          <dgm:bulletEnabled val="1"/>
        </dgm:presLayoutVars>
      </dgm:prSet>
      <dgm:spPr/>
    </dgm:pt>
    <dgm:pt modelId="{2AECE520-FFFA-F543-80AA-B76E250A90BD}" type="pres">
      <dgm:prSet presAssocID="{5B01D07B-4C39-5048-855E-8A505113CD53}" presName="parentText" presStyleLbl="node1" presStyleIdx="2" presStyleCnt="4">
        <dgm:presLayoutVars>
          <dgm:chMax val="0"/>
          <dgm:bulletEnabled val="1"/>
        </dgm:presLayoutVars>
      </dgm:prSet>
      <dgm:spPr/>
    </dgm:pt>
    <dgm:pt modelId="{7F62B7D0-753B-5F40-8C2D-89C2EB6A5680}" type="pres">
      <dgm:prSet presAssocID="{5B01D07B-4C39-5048-855E-8A505113CD53}" presName="childText" presStyleLbl="revTx" presStyleIdx="2" presStyleCnt="4">
        <dgm:presLayoutVars>
          <dgm:bulletEnabled val="1"/>
        </dgm:presLayoutVars>
      </dgm:prSet>
      <dgm:spPr/>
    </dgm:pt>
    <dgm:pt modelId="{395A7CC2-7EE8-E14E-B20C-5DB3452F63D3}" type="pres">
      <dgm:prSet presAssocID="{A9DA8280-5987-004F-B598-119FED2B2F2E}" presName="parentText" presStyleLbl="node1" presStyleIdx="3" presStyleCnt="4">
        <dgm:presLayoutVars>
          <dgm:chMax val="0"/>
          <dgm:bulletEnabled val="1"/>
        </dgm:presLayoutVars>
      </dgm:prSet>
      <dgm:spPr/>
    </dgm:pt>
    <dgm:pt modelId="{963A27C0-807A-FD40-91CA-795C66105D95}" type="pres">
      <dgm:prSet presAssocID="{A9DA8280-5987-004F-B598-119FED2B2F2E}" presName="childText" presStyleLbl="revTx" presStyleIdx="3" presStyleCnt="4">
        <dgm:presLayoutVars>
          <dgm:bulletEnabled val="1"/>
        </dgm:presLayoutVars>
      </dgm:prSet>
      <dgm:spPr/>
    </dgm:pt>
  </dgm:ptLst>
  <dgm:cxnLst>
    <dgm:cxn modelId="{7C4F0E02-AD7B-48C3-A2CE-4E9AF08EC4A8}" type="presOf" srcId="{8727B232-1FA4-5749-B486-1C79B27B26CB}" destId="{4AC45F35-8E49-5E43-926B-B4906B3A0BD8}" srcOrd="0" destOrd="8" presId="urn:microsoft.com/office/officeart/2005/8/layout/vList2"/>
    <dgm:cxn modelId="{FF9C5303-48F3-1D4B-A949-EA41462587F5}" srcId="{0B2D37EF-448B-AC4A-805A-4401F7FE0AD0}" destId="{5E4BED81-800B-D749-A43F-DB94D2A07221}" srcOrd="0" destOrd="0" parTransId="{E3BAF999-2FAB-2D49-97D8-03237DC56F5E}" sibTransId="{85F1914C-1440-D848-AB95-A5127D0F2C56}"/>
    <dgm:cxn modelId="{C3E5FB05-9F81-084E-8888-5707B40C0EA0}" srcId="{5972EDBA-3DC5-D845-96AA-568DF35AA17C}" destId="{FBFE3B96-BD10-B143-86F2-A9E154AFCEE3}" srcOrd="2" destOrd="0" parTransId="{255E7B3C-C7B7-C84D-BA65-AE12FC61D4F4}" sibTransId="{D933EEA3-9CED-0D4A-AEA1-57C652C0C8A8}"/>
    <dgm:cxn modelId="{18F7670E-803B-4651-ADAF-557109FABA9E}" type="presOf" srcId="{B37D11AE-A8A9-E046-83DD-ADB66FBAD8DB}" destId="{4AC45F35-8E49-5E43-926B-B4906B3A0BD8}" srcOrd="0" destOrd="0" presId="urn:microsoft.com/office/officeart/2005/8/layout/vList2"/>
    <dgm:cxn modelId="{74C35616-E17D-9F41-905A-F8FCD58D9F02}" srcId="{859470B2-886A-0748-9A83-59BDB6F3D2FF}" destId="{A92078AD-2B80-B247-952E-A941B6A5C36A}" srcOrd="1" destOrd="0" parTransId="{081359C7-954D-EC47-8F29-8B6B9733A732}" sibTransId="{4295DD37-792E-7F42-8439-77372E3CA900}"/>
    <dgm:cxn modelId="{6221FF1A-7850-FB4B-93E1-1D8215B194DD}" srcId="{8727B232-1FA4-5749-B486-1C79B27B26CB}" destId="{1E20E417-A74B-B44A-B431-A0CC21CCA571}" srcOrd="0" destOrd="0" parTransId="{78370CE4-F5F4-674B-BFB6-2C35E0E42B16}" sibTransId="{1879D8D4-866E-C144-A6E3-F9804D55E2A7}"/>
    <dgm:cxn modelId="{055B121B-A461-814E-AD74-46DFC8556003}" srcId="{4588E794-E473-A142-9125-47FDA5FC8EEC}" destId="{A3A03B68-0144-5F4C-BF66-D8A45E5990B4}" srcOrd="0" destOrd="0" parTransId="{5D28A3F6-1967-D542-945F-DC6F88371F89}" sibTransId="{B1800FFE-FCBC-194B-986A-66A22E0114BE}"/>
    <dgm:cxn modelId="{9B332721-AD74-413C-85EB-2CECDD5C1623}" type="presOf" srcId="{FBFE3B96-BD10-B143-86F2-A9E154AFCEE3}" destId="{1A608BB0-01A4-FE48-8FEF-30F3DC1D9D43}" srcOrd="0" destOrd="4" presId="urn:microsoft.com/office/officeart/2005/8/layout/vList2"/>
    <dgm:cxn modelId="{9CD21D22-DB85-47D7-90D0-D591AA2860C6}" type="presOf" srcId="{95CCC914-F3A9-064C-90C6-03327BAC7ABF}" destId="{1A608BB0-01A4-FE48-8FEF-30F3DC1D9D43}" srcOrd="0" destOrd="1" presId="urn:microsoft.com/office/officeart/2005/8/layout/vList2"/>
    <dgm:cxn modelId="{07D8FB27-70F3-4FBA-BD8C-76A61E0B2E17}" type="presOf" srcId="{FA51472A-18BE-C24B-A117-AE9E7E6026A0}" destId="{963A27C0-807A-FD40-91CA-795C66105D95}" srcOrd="0" destOrd="1" presId="urn:microsoft.com/office/officeart/2005/8/layout/vList2"/>
    <dgm:cxn modelId="{69540B2A-8591-574D-ABDC-9376B15E248B}" srcId="{31D0F60C-97F4-1B4C-9113-FC7799B50734}" destId="{FA51472A-18BE-C24B-A117-AE9E7E6026A0}" srcOrd="0" destOrd="0" parTransId="{D50B150C-2DD3-D746-ADC7-B877E2E2DA99}" sibTransId="{444DBEE9-895F-6A46-8D96-2FF43E13943B}"/>
    <dgm:cxn modelId="{B551792C-C5A2-428B-8CAF-B8C42EDF5881}" type="presOf" srcId="{1F9706D4-78C2-C444-8B36-C5BE3599EBCB}" destId="{4AC45F35-8E49-5E43-926B-B4906B3A0BD8}" srcOrd="0" destOrd="1" presId="urn:microsoft.com/office/officeart/2005/8/layout/vList2"/>
    <dgm:cxn modelId="{E8023030-3D5E-2D41-917A-034CCB68E554}" srcId="{39B3C69F-8A48-2941-B81D-A4367B6ED144}" destId="{1A76AC64-804B-3642-BEEB-3390581A94B0}" srcOrd="0" destOrd="0" parTransId="{CFFDB6AD-79C3-7E41-833F-F31966E41940}" sibTransId="{6A7E8C4C-1877-1749-AA1A-29B4D830B3E0}"/>
    <dgm:cxn modelId="{7EC03F3A-E669-9248-A804-11AB7F90A7F7}" srcId="{5B01D07B-4C39-5048-855E-8A505113CD53}" destId="{B90CA67F-8A48-1F4B-819D-DE2B1BD4DD7A}" srcOrd="0" destOrd="0" parTransId="{B5A44354-2BE6-5B4D-B29A-C68EAD62ADCE}" sibTransId="{55F64BFD-9FE4-294F-890C-1D1658C15F46}"/>
    <dgm:cxn modelId="{15D5234E-FEBA-1C46-9DC3-FE5EFA080B23}" srcId="{859470B2-886A-0748-9A83-59BDB6F3D2FF}" destId="{B37D11AE-A8A9-E046-83DD-ADB66FBAD8DB}" srcOrd="0" destOrd="0" parTransId="{BC300A63-BB6A-B54C-B192-BF5E82113722}" sibTransId="{AD412D26-CE82-944D-8E17-5AC036E7B01F}"/>
    <dgm:cxn modelId="{C3C18750-E5C4-1145-A11D-4774E6AB380F}" srcId="{600BB760-B506-334B-A1E6-37F09BE89182}" destId="{5B01D07B-4C39-5048-855E-8A505113CD53}" srcOrd="2" destOrd="0" parTransId="{7DB90825-5551-2F4A-8B84-BC5E1FEC33DD}" sibTransId="{A2E548B4-B626-F448-8A5B-5BDA1CACC83F}"/>
    <dgm:cxn modelId="{ADB4FC55-8DC0-EF4C-8082-60C02D625F18}" srcId="{5972EDBA-3DC5-D845-96AA-568DF35AA17C}" destId="{1A3C9F7A-8FBD-FB41-B9CA-6EE737C8326F}" srcOrd="0" destOrd="0" parTransId="{C9D4D88F-4A1A-DB45-8DA0-CAB0B51215AA}" sibTransId="{E0C4896C-E46E-7141-A830-84784A50161A}"/>
    <dgm:cxn modelId="{06998057-FCE4-8A4F-B3B4-26C6B79D8B0C}" srcId="{859470B2-886A-0748-9A83-59BDB6F3D2FF}" destId="{39B3C69F-8A48-2941-B81D-A4367B6ED144}" srcOrd="3" destOrd="0" parTransId="{5E334D45-BD12-8C45-8663-9E18453C06D9}" sibTransId="{C1E8C8B5-1C2A-1E4D-9540-8303E2813F19}"/>
    <dgm:cxn modelId="{443B1067-3568-4EAF-BD2F-277D0259FAF2}" type="presOf" srcId="{1A3C9F7A-8FBD-FB41-B9CA-6EE737C8326F}" destId="{1A608BB0-01A4-FE48-8FEF-30F3DC1D9D43}" srcOrd="0" destOrd="0" presId="urn:microsoft.com/office/officeart/2005/8/layout/vList2"/>
    <dgm:cxn modelId="{47C40768-B198-D145-A9E5-A08DA8B0267C}" srcId="{1A3C9F7A-8FBD-FB41-B9CA-6EE737C8326F}" destId="{95CCC914-F3A9-064C-90C6-03327BAC7ABF}" srcOrd="0" destOrd="0" parTransId="{E80D91C4-56BC-7943-833C-34DB19F69BC6}" sibTransId="{84A030F8-DDB4-1047-A97F-A0297FD3A0C4}"/>
    <dgm:cxn modelId="{6C771F69-EC1D-47D1-8D91-99AC76851673}" type="presOf" srcId="{85602B69-DBCE-3846-991D-0D8DBEC3AC0B}" destId="{4AC45F35-8E49-5E43-926B-B4906B3A0BD8}" srcOrd="0" destOrd="3" presId="urn:microsoft.com/office/officeart/2005/8/layout/vList2"/>
    <dgm:cxn modelId="{9309846D-31E2-5144-955A-3FE3E2E842D3}" srcId="{24B13FDE-40F2-694E-8DF7-1591B50D0BFB}" destId="{1E0109A6-06F7-BA40-A389-BC2B86DCF1AD}" srcOrd="0" destOrd="0" parTransId="{CF20C188-BDCD-5648-99B6-695C18F9BB08}" sibTransId="{9733D00C-1E75-EA4B-8358-9E7E51282023}"/>
    <dgm:cxn modelId="{EA96CF77-99D2-4418-8A94-9B6DCD3B8B44}" type="presOf" srcId="{F0415412-4822-3347-B38D-9D32C40A46AE}" destId="{7F62B7D0-753B-5F40-8C2D-89C2EB6A5680}" srcOrd="0" destOrd="3" presId="urn:microsoft.com/office/officeart/2005/8/layout/vList2"/>
    <dgm:cxn modelId="{8B489078-DFDB-0B4C-B1EE-003C55121475}" srcId="{600BB760-B506-334B-A1E6-37F09BE89182}" destId="{A9DA8280-5987-004F-B598-119FED2B2F2E}" srcOrd="3" destOrd="0" parTransId="{0CB4C747-8616-2646-AB18-1556C19F3DF8}" sibTransId="{1F1F2187-3239-C24F-BC99-B36DF5F825DC}"/>
    <dgm:cxn modelId="{F3636279-4033-2043-B423-5323E49D96BC}" srcId="{859470B2-886A-0748-9A83-59BDB6F3D2FF}" destId="{4588E794-E473-A142-9125-47FDA5FC8EEC}" srcOrd="4" destOrd="0" parTransId="{83CC10BB-FA1A-1F4C-8470-52ABC120ABC2}" sibTransId="{23C1839C-9E0E-7A4C-8A4D-B4ED6CAF8A41}"/>
    <dgm:cxn modelId="{C3FDA47E-2083-E543-82C0-FCD305983225}" srcId="{859470B2-886A-0748-9A83-59BDB6F3D2FF}" destId="{8727B232-1FA4-5749-B486-1C79B27B26CB}" srcOrd="5" destOrd="0" parTransId="{A45596CE-EBF0-394C-9D51-C43D2A8DAC03}" sibTransId="{B5264922-2D31-2E4C-A713-48D21FFAFD1B}"/>
    <dgm:cxn modelId="{9D57E880-7AAA-E34E-AA7D-48B199092CFF}" srcId="{B37D11AE-A8A9-E046-83DD-ADB66FBAD8DB}" destId="{1F9706D4-78C2-C444-8B36-C5BE3599EBCB}" srcOrd="0" destOrd="0" parTransId="{AC6AD5F0-AEAA-AF40-A986-08B5E3F1B5A8}" sibTransId="{382F6839-44CD-0C42-BA3C-B995C6D1BB9F}"/>
    <dgm:cxn modelId="{62301386-E288-3747-A499-B1258F50375F}" srcId="{600BB760-B506-334B-A1E6-37F09BE89182}" destId="{5972EDBA-3DC5-D845-96AA-568DF35AA17C}" srcOrd="1" destOrd="0" parTransId="{62F63B9A-B5FC-D84D-A6A9-0E66C73D583B}" sibTransId="{A8BADEF1-B88E-4E4B-BDD2-65FAB8C0506F}"/>
    <dgm:cxn modelId="{68A42D88-92AA-42B9-9FF1-538D8F82D951}" type="presOf" srcId="{A92078AD-2B80-B247-952E-A941B6A5C36A}" destId="{4AC45F35-8E49-5E43-926B-B4906B3A0BD8}" srcOrd="0" destOrd="2" presId="urn:microsoft.com/office/officeart/2005/8/layout/vList2"/>
    <dgm:cxn modelId="{32CA5089-EFC7-4108-A263-2F247919B587}" type="presOf" srcId="{09498431-69A6-954C-8FC7-0FF7C671F383}" destId="{7F62B7D0-753B-5F40-8C2D-89C2EB6A5680}" srcOrd="0" destOrd="2" presId="urn:microsoft.com/office/officeart/2005/8/layout/vList2"/>
    <dgm:cxn modelId="{F4303D8A-31FE-494C-8743-6C9D01295C40}" srcId="{FBFE3B96-BD10-B143-86F2-A9E154AFCEE3}" destId="{BC6EFDEB-FCE9-A34E-9307-BC5934D0D9F6}" srcOrd="0" destOrd="0" parTransId="{198DABE8-DD29-6246-A68B-8975F6374B8C}" sibTransId="{07D55566-A993-D142-AD1E-B231910E917C}"/>
    <dgm:cxn modelId="{4BC66994-16F6-4440-9AB0-C2895F1234EA}" srcId="{B90CA67F-8A48-1F4B-819D-DE2B1BD4DD7A}" destId="{954F884C-63E5-2E47-9655-7599EE955FDE}" srcOrd="0" destOrd="0" parTransId="{08B17C85-EB06-7D4D-A0BA-F8CE995BF1CE}" sibTransId="{60EEE4B5-4F72-2C49-822C-79C0623429FE}"/>
    <dgm:cxn modelId="{7E855397-EC3D-0442-83DB-37B53B7D2BC0}" srcId="{859470B2-886A-0748-9A83-59BDB6F3D2FF}" destId="{85602B69-DBCE-3846-991D-0D8DBEC3AC0B}" srcOrd="2" destOrd="0" parTransId="{DFABFD92-F3AF-C740-A118-227233C9438A}" sibTransId="{F27B82D3-C446-DE4D-9E4E-962512CE8B2B}"/>
    <dgm:cxn modelId="{C3EF129A-41CF-4B82-8EDB-7027B6992F26}" type="presOf" srcId="{1E20E417-A74B-B44A-B431-A0CC21CCA571}" destId="{4AC45F35-8E49-5E43-926B-B4906B3A0BD8}" srcOrd="0" destOrd="9" presId="urn:microsoft.com/office/officeart/2005/8/layout/vList2"/>
    <dgm:cxn modelId="{7C43619A-9898-420A-B646-132DCD0B7560}" type="presOf" srcId="{24B13FDE-40F2-694E-8DF7-1591B50D0BFB}" destId="{1A608BB0-01A4-FE48-8FEF-30F3DC1D9D43}" srcOrd="0" destOrd="2" presId="urn:microsoft.com/office/officeart/2005/8/layout/vList2"/>
    <dgm:cxn modelId="{BCF9E69C-6A38-4F76-8D71-1563C6CB53F2}" type="presOf" srcId="{1A76AC64-804B-3642-BEEB-3390581A94B0}" destId="{4AC45F35-8E49-5E43-926B-B4906B3A0BD8}" srcOrd="0" destOrd="5" presId="urn:microsoft.com/office/officeart/2005/8/layout/vList2"/>
    <dgm:cxn modelId="{19C95E9D-912F-4BBE-91B0-77C60635E835}" type="presOf" srcId="{5B01D07B-4C39-5048-855E-8A505113CD53}" destId="{2AECE520-FFFA-F543-80AA-B76E250A90BD}" srcOrd="0" destOrd="0" presId="urn:microsoft.com/office/officeart/2005/8/layout/vList2"/>
    <dgm:cxn modelId="{FE2CB6A5-055E-E542-9F7D-5F627DD35AE4}" srcId="{09498431-69A6-954C-8FC7-0FF7C671F383}" destId="{F0415412-4822-3347-B38D-9D32C40A46AE}" srcOrd="0" destOrd="0" parTransId="{BD8FD6DE-CF08-B94B-8631-9EAA3DBC1821}" sibTransId="{70DABE5D-3CAF-1E44-A13B-6E83B49E0A32}"/>
    <dgm:cxn modelId="{5E9CCAA5-AC7E-408F-83C1-BE82642D078B}" type="presOf" srcId="{BC6EFDEB-FCE9-A34E-9307-BC5934D0D9F6}" destId="{1A608BB0-01A4-FE48-8FEF-30F3DC1D9D43}" srcOrd="0" destOrd="5" presId="urn:microsoft.com/office/officeart/2005/8/layout/vList2"/>
    <dgm:cxn modelId="{5250F8A5-65D9-41E6-B7D1-8483B45DAD78}" type="presOf" srcId="{39B3C69F-8A48-2941-B81D-A4367B6ED144}" destId="{4AC45F35-8E49-5E43-926B-B4906B3A0BD8}" srcOrd="0" destOrd="4" presId="urn:microsoft.com/office/officeart/2005/8/layout/vList2"/>
    <dgm:cxn modelId="{1FD9AFB4-AED7-604A-8740-F928C816B1B8}" srcId="{600BB760-B506-334B-A1E6-37F09BE89182}" destId="{859470B2-886A-0748-9A83-59BDB6F3D2FF}" srcOrd="0" destOrd="0" parTransId="{678F5C4A-38CF-E047-B14F-711C8134AB42}" sibTransId="{52C78678-7777-4F4C-AE4E-035286CCCDF5}"/>
    <dgm:cxn modelId="{A6CCDCB6-D2E2-4FCE-A657-AAA413B7DCF2}" type="presOf" srcId="{A3A03B68-0144-5F4C-BF66-D8A45E5990B4}" destId="{4AC45F35-8E49-5E43-926B-B4906B3A0BD8}" srcOrd="0" destOrd="7" presId="urn:microsoft.com/office/officeart/2005/8/layout/vList2"/>
    <dgm:cxn modelId="{48C5B1C2-96D0-48F4-8BED-034939701C70}" type="presOf" srcId="{A9DA8280-5987-004F-B598-119FED2B2F2E}" destId="{395A7CC2-7EE8-E14E-B20C-5DB3452F63D3}" srcOrd="0" destOrd="0" presId="urn:microsoft.com/office/officeart/2005/8/layout/vList2"/>
    <dgm:cxn modelId="{6F8D3EC9-2CB5-4252-83E0-CF414B608E42}" type="presOf" srcId="{954F884C-63E5-2E47-9655-7599EE955FDE}" destId="{7F62B7D0-753B-5F40-8C2D-89C2EB6A5680}" srcOrd="0" destOrd="1" presId="urn:microsoft.com/office/officeart/2005/8/layout/vList2"/>
    <dgm:cxn modelId="{C2377ECE-DA90-4A7D-A076-E97BAB601400}" type="presOf" srcId="{4588E794-E473-A142-9125-47FDA5FC8EEC}" destId="{4AC45F35-8E49-5E43-926B-B4906B3A0BD8}" srcOrd="0" destOrd="6" presId="urn:microsoft.com/office/officeart/2005/8/layout/vList2"/>
    <dgm:cxn modelId="{63ED70D9-32E9-461D-B0D9-2CDE9A0D5AB9}" type="presOf" srcId="{B90CA67F-8A48-1F4B-819D-DE2B1BD4DD7A}" destId="{7F62B7D0-753B-5F40-8C2D-89C2EB6A5680}" srcOrd="0" destOrd="0" presId="urn:microsoft.com/office/officeart/2005/8/layout/vList2"/>
    <dgm:cxn modelId="{510165E6-A739-403B-A662-4EB9DAD654CD}" type="presOf" srcId="{1E0109A6-06F7-BA40-A389-BC2B86DCF1AD}" destId="{1A608BB0-01A4-FE48-8FEF-30F3DC1D9D43}" srcOrd="0" destOrd="3" presId="urn:microsoft.com/office/officeart/2005/8/layout/vList2"/>
    <dgm:cxn modelId="{22E12FE7-BF0C-5C41-A015-E93F7AFB4D8B}" srcId="{A9DA8280-5987-004F-B598-119FED2B2F2E}" destId="{31D0F60C-97F4-1B4C-9113-FC7799B50734}" srcOrd="0" destOrd="0" parTransId="{63AAB384-3991-714C-AF4A-270455125342}" sibTransId="{34364B23-B42A-5947-A690-DDCB33CC79B8}"/>
    <dgm:cxn modelId="{BD08C2E8-8DEC-B544-B060-0B53F9CE560E}" srcId="{5B01D07B-4C39-5048-855E-8A505113CD53}" destId="{09498431-69A6-954C-8FC7-0FF7C671F383}" srcOrd="1" destOrd="0" parTransId="{CB686AFD-F684-084A-B77C-123D1E16DFA2}" sibTransId="{15C425CF-B200-6E42-AA3F-CDC55180906D}"/>
    <dgm:cxn modelId="{F914CDE8-CAAF-43EA-9551-8335F8F45ADE}" type="presOf" srcId="{5E4BED81-800B-D749-A43F-DB94D2A07221}" destId="{963A27C0-807A-FD40-91CA-795C66105D95}" srcOrd="0" destOrd="3" presId="urn:microsoft.com/office/officeart/2005/8/layout/vList2"/>
    <dgm:cxn modelId="{3B1859EB-826A-4DC6-8CE6-F05B8798A41A}" type="presOf" srcId="{5972EDBA-3DC5-D845-96AA-568DF35AA17C}" destId="{3B6F52B2-4324-D04A-846B-8D0E48002453}" srcOrd="0" destOrd="0" presId="urn:microsoft.com/office/officeart/2005/8/layout/vList2"/>
    <dgm:cxn modelId="{E19B46F3-D7F9-472D-945F-CB17CBC6576F}" type="presOf" srcId="{31D0F60C-97F4-1B4C-9113-FC7799B50734}" destId="{963A27C0-807A-FD40-91CA-795C66105D95}" srcOrd="0" destOrd="0" presId="urn:microsoft.com/office/officeart/2005/8/layout/vList2"/>
    <dgm:cxn modelId="{1C8412F8-2FFE-4172-AA1D-A19A0A260443}" type="presOf" srcId="{600BB760-B506-334B-A1E6-37F09BE89182}" destId="{813CD04C-EC3B-EC4C-BE45-06ED7704F0E5}" srcOrd="0" destOrd="0" presId="urn:microsoft.com/office/officeart/2005/8/layout/vList2"/>
    <dgm:cxn modelId="{930897F8-C1FD-2945-B975-3DA93B5896BC}" srcId="{5972EDBA-3DC5-D845-96AA-568DF35AA17C}" destId="{24B13FDE-40F2-694E-8DF7-1591B50D0BFB}" srcOrd="1" destOrd="0" parTransId="{D955FA89-F0D4-6A4C-A456-06ED18984EA5}" sibTransId="{D9DFEF95-E4C7-CC47-82FA-7833B77AA9C0}"/>
    <dgm:cxn modelId="{8D8233FC-E34F-4B7F-B30F-EDF5EDC6BB44}" type="presOf" srcId="{0B2D37EF-448B-AC4A-805A-4401F7FE0AD0}" destId="{963A27C0-807A-FD40-91CA-795C66105D95}" srcOrd="0" destOrd="2" presId="urn:microsoft.com/office/officeart/2005/8/layout/vList2"/>
    <dgm:cxn modelId="{EE47FCFC-3D88-482C-81FA-A237FF9D87CD}" type="presOf" srcId="{859470B2-886A-0748-9A83-59BDB6F3D2FF}" destId="{6479A8C8-0D72-F246-A0B9-FD75769B9302}" srcOrd="0" destOrd="0" presId="urn:microsoft.com/office/officeart/2005/8/layout/vList2"/>
    <dgm:cxn modelId="{2CFB0CFF-EC60-4F47-BC39-2284BA4AA142}" srcId="{A9DA8280-5987-004F-B598-119FED2B2F2E}" destId="{0B2D37EF-448B-AC4A-805A-4401F7FE0AD0}" srcOrd="1" destOrd="0" parTransId="{684170CD-FB54-E448-8E1B-F215CF2C0C56}" sibTransId="{EB44B892-C218-7E42-B8F9-6160DD9DFAFD}"/>
    <dgm:cxn modelId="{3F16D8EE-5486-405E-80AA-8E988383C801}" type="presParOf" srcId="{813CD04C-EC3B-EC4C-BE45-06ED7704F0E5}" destId="{6479A8C8-0D72-F246-A0B9-FD75769B9302}" srcOrd="0" destOrd="0" presId="urn:microsoft.com/office/officeart/2005/8/layout/vList2"/>
    <dgm:cxn modelId="{C74B5B44-3BC6-46C3-A788-50204BE22A8E}" type="presParOf" srcId="{813CD04C-EC3B-EC4C-BE45-06ED7704F0E5}" destId="{4AC45F35-8E49-5E43-926B-B4906B3A0BD8}" srcOrd="1" destOrd="0" presId="urn:microsoft.com/office/officeart/2005/8/layout/vList2"/>
    <dgm:cxn modelId="{803DA0D6-2938-40A3-9896-0F1839697280}" type="presParOf" srcId="{813CD04C-EC3B-EC4C-BE45-06ED7704F0E5}" destId="{3B6F52B2-4324-D04A-846B-8D0E48002453}" srcOrd="2" destOrd="0" presId="urn:microsoft.com/office/officeart/2005/8/layout/vList2"/>
    <dgm:cxn modelId="{1D9F81DD-7C14-48A9-8159-18D67215F6FA}" type="presParOf" srcId="{813CD04C-EC3B-EC4C-BE45-06ED7704F0E5}" destId="{1A608BB0-01A4-FE48-8FEF-30F3DC1D9D43}" srcOrd="3" destOrd="0" presId="urn:microsoft.com/office/officeart/2005/8/layout/vList2"/>
    <dgm:cxn modelId="{65F555E2-F59F-453A-9368-C9C481EAA97F}" type="presParOf" srcId="{813CD04C-EC3B-EC4C-BE45-06ED7704F0E5}" destId="{2AECE520-FFFA-F543-80AA-B76E250A90BD}" srcOrd="4" destOrd="0" presId="urn:microsoft.com/office/officeart/2005/8/layout/vList2"/>
    <dgm:cxn modelId="{44CBE5C9-874C-4F28-813E-67FBB3CEB32C}" type="presParOf" srcId="{813CD04C-EC3B-EC4C-BE45-06ED7704F0E5}" destId="{7F62B7D0-753B-5F40-8C2D-89C2EB6A5680}" srcOrd="5" destOrd="0" presId="urn:microsoft.com/office/officeart/2005/8/layout/vList2"/>
    <dgm:cxn modelId="{608B6F00-23E3-4ACD-9697-E24710C66558}" type="presParOf" srcId="{813CD04C-EC3B-EC4C-BE45-06ED7704F0E5}" destId="{395A7CC2-7EE8-E14E-B20C-5DB3452F63D3}" srcOrd="6" destOrd="0" presId="urn:microsoft.com/office/officeart/2005/8/layout/vList2"/>
    <dgm:cxn modelId="{9C9CA78D-BD7D-4F9D-A091-D32C1F452A59}" type="presParOf" srcId="{813CD04C-EC3B-EC4C-BE45-06ED7704F0E5}" destId="{963A27C0-807A-FD40-91CA-795C66105D95}" srcOrd="7"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262EFE7-CEDA-F245-B55D-E95B9792747F}" type="doc">
      <dgm:prSet loTypeId="urn:microsoft.com/office/officeart/2005/8/layout/vList5" loCatId="" qsTypeId="urn:microsoft.com/office/officeart/2005/8/quickstyle/simple1" qsCatId="simple" csTypeId="urn:microsoft.com/office/officeart/2005/8/colors/colorful4" csCatId="colorful" phldr="1"/>
      <dgm:spPr/>
      <dgm:t>
        <a:bodyPr/>
        <a:lstStyle/>
        <a:p>
          <a:endParaRPr lang="en-GB"/>
        </a:p>
      </dgm:t>
    </dgm:pt>
    <dgm:pt modelId="{58690734-EB94-4D49-80C3-41F733F7C4F2}">
      <dgm:prSet phldrT="[Text]"/>
      <dgm:spPr/>
      <dgm:t>
        <a:bodyPr/>
        <a:lstStyle/>
        <a:p>
          <a:r>
            <a:rPr lang="en-GB" b="1"/>
            <a:t>Political</a:t>
          </a:r>
        </a:p>
      </dgm:t>
    </dgm:pt>
    <dgm:pt modelId="{F3CCA960-02D5-3A43-AEAA-8896A2C6F0D9}" type="parTrans" cxnId="{FA446AC9-B00D-8043-B931-5B23366BFE4F}">
      <dgm:prSet/>
      <dgm:spPr/>
      <dgm:t>
        <a:bodyPr/>
        <a:lstStyle/>
        <a:p>
          <a:endParaRPr lang="en-GB"/>
        </a:p>
      </dgm:t>
    </dgm:pt>
    <dgm:pt modelId="{0B61FF70-845B-3F4B-A97B-A5DB7E6E67D8}" type="sibTrans" cxnId="{FA446AC9-B00D-8043-B931-5B23366BFE4F}">
      <dgm:prSet/>
      <dgm:spPr/>
      <dgm:t>
        <a:bodyPr/>
        <a:lstStyle/>
        <a:p>
          <a:endParaRPr lang="en-GB"/>
        </a:p>
      </dgm:t>
    </dgm:pt>
    <dgm:pt modelId="{30175531-3CCF-BC4F-9D0C-94CD64F1670F}">
      <dgm:prSet phldrT="[Text]"/>
      <dgm:spPr/>
      <dgm:t>
        <a:bodyPr/>
        <a:lstStyle/>
        <a:p>
          <a:r>
            <a:rPr lang="en-GB" b="1"/>
            <a:t>Economic</a:t>
          </a:r>
        </a:p>
      </dgm:t>
    </dgm:pt>
    <dgm:pt modelId="{BA98615B-ADC0-E746-A387-BF667EA3CF51}" type="parTrans" cxnId="{0CA6EBD1-976F-E24D-A333-DA5E4EA67B50}">
      <dgm:prSet/>
      <dgm:spPr/>
      <dgm:t>
        <a:bodyPr/>
        <a:lstStyle/>
        <a:p>
          <a:endParaRPr lang="en-GB"/>
        </a:p>
      </dgm:t>
    </dgm:pt>
    <dgm:pt modelId="{0B44AA70-4E95-7740-8A52-6E73A09851B3}" type="sibTrans" cxnId="{0CA6EBD1-976F-E24D-A333-DA5E4EA67B50}">
      <dgm:prSet/>
      <dgm:spPr/>
      <dgm:t>
        <a:bodyPr/>
        <a:lstStyle/>
        <a:p>
          <a:endParaRPr lang="en-GB"/>
        </a:p>
      </dgm:t>
    </dgm:pt>
    <dgm:pt modelId="{4DB926E5-3C1A-054B-BD6D-A84B1EDFAD9C}">
      <dgm:prSet phldrT="[Text]"/>
      <dgm:spPr/>
      <dgm:t>
        <a:bodyPr/>
        <a:lstStyle/>
        <a:p>
          <a:r>
            <a:rPr lang="en-GB"/>
            <a:t>Macroeconomic factors determine growth or decline of the industry. During recessions or periods of high inflation rates, profitability is affected negatively as less clients take on debt or are able to repay it, however in a growing economy demand for debt financing is most likely to go up driving revenue.</a:t>
          </a:r>
        </a:p>
      </dgm:t>
    </dgm:pt>
    <dgm:pt modelId="{03FFA033-52F8-6041-B6BA-12874978F3CA}" type="parTrans" cxnId="{AD45AEB0-887E-9D4E-94DC-8B1A320A69D9}">
      <dgm:prSet/>
      <dgm:spPr/>
      <dgm:t>
        <a:bodyPr/>
        <a:lstStyle/>
        <a:p>
          <a:endParaRPr lang="en-GB"/>
        </a:p>
      </dgm:t>
    </dgm:pt>
    <dgm:pt modelId="{AE28A828-ADE2-CD40-89EE-3CB9FC7B4E58}" type="sibTrans" cxnId="{AD45AEB0-887E-9D4E-94DC-8B1A320A69D9}">
      <dgm:prSet/>
      <dgm:spPr/>
      <dgm:t>
        <a:bodyPr/>
        <a:lstStyle/>
        <a:p>
          <a:endParaRPr lang="en-GB"/>
        </a:p>
      </dgm:t>
    </dgm:pt>
    <dgm:pt modelId="{D727A157-90CB-CF4C-A2C9-2FAFDDB3AF99}">
      <dgm:prSet phldrT="[Text]"/>
      <dgm:spPr/>
      <dgm:t>
        <a:bodyPr/>
        <a:lstStyle/>
        <a:p>
          <a:r>
            <a:rPr lang="en-GB" b="1"/>
            <a:t>Social</a:t>
          </a:r>
        </a:p>
      </dgm:t>
    </dgm:pt>
    <dgm:pt modelId="{5F5239CC-9975-2842-93AA-7E8DABEC01DD}" type="parTrans" cxnId="{BEF30273-3E8A-9A48-ACE6-5ECAB55B4D1C}">
      <dgm:prSet/>
      <dgm:spPr/>
      <dgm:t>
        <a:bodyPr/>
        <a:lstStyle/>
        <a:p>
          <a:endParaRPr lang="en-GB"/>
        </a:p>
      </dgm:t>
    </dgm:pt>
    <dgm:pt modelId="{401F915F-4E47-9E43-BC3E-4AE90A9FE0AE}" type="sibTrans" cxnId="{BEF30273-3E8A-9A48-ACE6-5ECAB55B4D1C}">
      <dgm:prSet/>
      <dgm:spPr/>
      <dgm:t>
        <a:bodyPr/>
        <a:lstStyle/>
        <a:p>
          <a:endParaRPr lang="en-GB"/>
        </a:p>
      </dgm:t>
    </dgm:pt>
    <dgm:pt modelId="{F573AE06-CD06-EC44-86C3-B5AB52FB92E5}">
      <dgm:prSet phldrT="[Text]"/>
      <dgm:spPr/>
      <dgm:t>
        <a:bodyPr/>
        <a:lstStyle/>
        <a:p>
          <a:r>
            <a:rPr lang="en-GB"/>
            <a:t>Changes in population and lifestyle are paramount. An aging population switches its interest towards retirement plans while younger customers are more prone to the usage of credit and debit cards and digital currencies. Morevoer, in some countries there is a lack of trust towards banks and a vast majority of the population relies on cash.</a:t>
          </a:r>
        </a:p>
      </dgm:t>
    </dgm:pt>
    <dgm:pt modelId="{DCE3E004-1545-0045-9854-70B90FED8891}" type="parTrans" cxnId="{B26984F5-8438-924E-A45E-404318999DD1}">
      <dgm:prSet/>
      <dgm:spPr/>
      <dgm:t>
        <a:bodyPr/>
        <a:lstStyle/>
        <a:p>
          <a:endParaRPr lang="en-GB"/>
        </a:p>
      </dgm:t>
    </dgm:pt>
    <dgm:pt modelId="{91F80DC8-360F-834A-B553-A3682923527B}" type="sibTrans" cxnId="{B26984F5-8438-924E-A45E-404318999DD1}">
      <dgm:prSet/>
      <dgm:spPr/>
      <dgm:t>
        <a:bodyPr/>
        <a:lstStyle/>
        <a:p>
          <a:endParaRPr lang="en-GB"/>
        </a:p>
      </dgm:t>
    </dgm:pt>
    <dgm:pt modelId="{05DA4A4D-B67C-234E-A35F-5E0356974CC9}">
      <dgm:prSet/>
      <dgm:spPr/>
      <dgm:t>
        <a:bodyPr/>
        <a:lstStyle/>
        <a:p>
          <a:r>
            <a:rPr lang="en-GB" b="1"/>
            <a:t>Technological</a:t>
          </a:r>
        </a:p>
      </dgm:t>
    </dgm:pt>
    <dgm:pt modelId="{7D428033-2302-BE43-BA74-B6BC9C9F3A50}" type="parTrans" cxnId="{C27D88AF-ACBC-0844-AF29-DA279DAAC141}">
      <dgm:prSet/>
      <dgm:spPr/>
      <dgm:t>
        <a:bodyPr/>
        <a:lstStyle/>
        <a:p>
          <a:endParaRPr lang="en-GB"/>
        </a:p>
      </dgm:t>
    </dgm:pt>
    <dgm:pt modelId="{BC3B552D-5709-1C4E-840F-6105A4C4AEC8}" type="sibTrans" cxnId="{C27D88AF-ACBC-0844-AF29-DA279DAAC141}">
      <dgm:prSet/>
      <dgm:spPr/>
      <dgm:t>
        <a:bodyPr/>
        <a:lstStyle/>
        <a:p>
          <a:endParaRPr lang="en-GB"/>
        </a:p>
      </dgm:t>
    </dgm:pt>
    <dgm:pt modelId="{E2B02A01-4CD1-AF4B-AB22-55097F34FC36}">
      <dgm:prSet/>
      <dgm:spPr/>
      <dgm:t>
        <a:bodyPr/>
        <a:lstStyle/>
        <a:p>
          <a:r>
            <a:rPr lang="en-GB" b="1"/>
            <a:t>Environmental</a:t>
          </a:r>
        </a:p>
      </dgm:t>
    </dgm:pt>
    <dgm:pt modelId="{6F80C624-B1BC-E148-9C19-75CB6DA082BB}" type="parTrans" cxnId="{B1DBB73E-664C-1B4B-AA06-676B1BD78FF9}">
      <dgm:prSet/>
      <dgm:spPr/>
      <dgm:t>
        <a:bodyPr/>
        <a:lstStyle/>
        <a:p>
          <a:endParaRPr lang="en-GB"/>
        </a:p>
      </dgm:t>
    </dgm:pt>
    <dgm:pt modelId="{9AD867A6-2458-C545-81B0-59271B7D2802}" type="sibTrans" cxnId="{B1DBB73E-664C-1B4B-AA06-676B1BD78FF9}">
      <dgm:prSet/>
      <dgm:spPr/>
      <dgm:t>
        <a:bodyPr/>
        <a:lstStyle/>
        <a:p>
          <a:endParaRPr lang="en-GB"/>
        </a:p>
      </dgm:t>
    </dgm:pt>
    <dgm:pt modelId="{08FA57C9-C238-1B4B-9A91-C04D9E5401B3}">
      <dgm:prSet/>
      <dgm:spPr/>
      <dgm:t>
        <a:bodyPr/>
        <a:lstStyle/>
        <a:p>
          <a:r>
            <a:rPr lang="en-GB"/>
            <a:t>Technological evolution in recent years led to the rise of FinTech. Financial institutions implemented technology-based processes in their systems and are exploring new possibilities with Blockchain and AI. Customers have access to a growing number of online medium. However glitches and hackers can disrupt the services provided.</a:t>
          </a:r>
        </a:p>
      </dgm:t>
    </dgm:pt>
    <dgm:pt modelId="{B4C19C8B-90E3-0D4D-B558-C9FD148DFA0E}" type="parTrans" cxnId="{59F4DCCD-5059-6244-8C44-21BF3F46E45B}">
      <dgm:prSet/>
      <dgm:spPr/>
      <dgm:t>
        <a:bodyPr/>
        <a:lstStyle/>
        <a:p>
          <a:endParaRPr lang="en-GB"/>
        </a:p>
      </dgm:t>
    </dgm:pt>
    <dgm:pt modelId="{69C8C66B-70F3-FA4F-ADD0-7F82555DB82A}" type="sibTrans" cxnId="{59F4DCCD-5059-6244-8C44-21BF3F46E45B}">
      <dgm:prSet/>
      <dgm:spPr/>
      <dgm:t>
        <a:bodyPr/>
        <a:lstStyle/>
        <a:p>
          <a:endParaRPr lang="en-GB"/>
        </a:p>
      </dgm:t>
    </dgm:pt>
    <dgm:pt modelId="{006E641E-0E3F-C14E-A52F-4F55BE3AF7FE}">
      <dgm:prSet/>
      <dgm:spPr/>
      <dgm:t>
        <a:bodyPr/>
        <a:lstStyle/>
        <a:p>
          <a:r>
            <a:rPr lang="en-GB"/>
            <a:t>ESG is now a predominant subject in many firms. Steps are being taken towards more sustainable business conduct including switching to paperless statements, cutting on emissions and aiming for net zero targets and promoting environment friendly practices such has recycling and recollection of discarded credit cards</a:t>
          </a:r>
        </a:p>
      </dgm:t>
    </dgm:pt>
    <dgm:pt modelId="{B346AF68-11BA-0744-95EE-04B2741CF979}" type="parTrans" cxnId="{7A10654D-A902-B249-8320-0EAD8CCF1BE8}">
      <dgm:prSet/>
      <dgm:spPr/>
      <dgm:t>
        <a:bodyPr/>
        <a:lstStyle/>
        <a:p>
          <a:endParaRPr lang="en-GB"/>
        </a:p>
      </dgm:t>
    </dgm:pt>
    <dgm:pt modelId="{F06BDECC-B62B-D241-B11D-B15EA905A488}" type="sibTrans" cxnId="{7A10654D-A902-B249-8320-0EAD8CCF1BE8}">
      <dgm:prSet/>
      <dgm:spPr/>
      <dgm:t>
        <a:bodyPr/>
        <a:lstStyle/>
        <a:p>
          <a:endParaRPr lang="en-GB"/>
        </a:p>
      </dgm:t>
    </dgm:pt>
    <dgm:pt modelId="{D67C1BE4-984E-1447-994F-77D2F7AC0832}">
      <dgm:prSet/>
      <dgm:spPr/>
      <dgm:t>
        <a:bodyPr/>
        <a:lstStyle/>
        <a:p>
          <a:r>
            <a:rPr lang="en-GB" b="1"/>
            <a:t>Legal</a:t>
          </a:r>
        </a:p>
      </dgm:t>
    </dgm:pt>
    <dgm:pt modelId="{BB930AED-DB3F-7D45-AC91-9E1B79C0F6B9}" type="parTrans" cxnId="{B4E19B26-5B87-7C40-B8D3-1234BC83446E}">
      <dgm:prSet/>
      <dgm:spPr/>
      <dgm:t>
        <a:bodyPr/>
        <a:lstStyle/>
        <a:p>
          <a:endParaRPr lang="en-GB"/>
        </a:p>
      </dgm:t>
    </dgm:pt>
    <dgm:pt modelId="{D8D7E2E7-BE51-724E-9EDA-F945BC94ADAF}" type="sibTrans" cxnId="{B4E19B26-5B87-7C40-B8D3-1234BC83446E}">
      <dgm:prSet/>
      <dgm:spPr/>
      <dgm:t>
        <a:bodyPr/>
        <a:lstStyle/>
        <a:p>
          <a:endParaRPr lang="en-GB"/>
        </a:p>
      </dgm:t>
    </dgm:pt>
    <dgm:pt modelId="{FE8145F5-6B31-8145-8006-79C2C81A5A49}">
      <dgm:prSet/>
      <dgm:spPr/>
      <dgm:t>
        <a:bodyPr/>
        <a:lstStyle/>
        <a:p>
          <a:r>
            <a:rPr lang="en-GB"/>
            <a:t>Firms must follow rules set by central banks and also comply with local laws and regulators to ensure consumer data protection, prevention of fraud and financial crimes and adherence to employment and labor laws.</a:t>
          </a:r>
        </a:p>
      </dgm:t>
    </dgm:pt>
    <dgm:pt modelId="{343DB236-216C-074C-8E7A-289B3D8C20B5}" type="parTrans" cxnId="{78D7D10F-C110-4B4E-8BB7-E2E95501FD29}">
      <dgm:prSet/>
      <dgm:spPr/>
      <dgm:t>
        <a:bodyPr/>
        <a:lstStyle/>
        <a:p>
          <a:endParaRPr lang="en-GB"/>
        </a:p>
      </dgm:t>
    </dgm:pt>
    <dgm:pt modelId="{CB0607F7-9C48-3D41-AB2B-3ECEBD79963C}" type="sibTrans" cxnId="{78D7D10F-C110-4B4E-8BB7-E2E95501FD29}">
      <dgm:prSet/>
      <dgm:spPr/>
      <dgm:t>
        <a:bodyPr/>
        <a:lstStyle/>
        <a:p>
          <a:endParaRPr lang="en-GB"/>
        </a:p>
      </dgm:t>
    </dgm:pt>
    <dgm:pt modelId="{B23EC13D-6323-F649-81C3-926802C0C652}">
      <dgm:prSet phldrT="[Text]"/>
      <dgm:spPr/>
      <dgm:t>
        <a:bodyPr/>
        <a:lstStyle/>
        <a:p>
          <a:r>
            <a:rPr lang="en-GB"/>
            <a:t>Firms must operate in the regulatory framework imposed by the countries in which business is conducted. Government intervention might have a positive impact instilling public confidence in financial services but dysfunctional politics lead to output and revenue decline.</a:t>
          </a:r>
        </a:p>
      </dgm:t>
    </dgm:pt>
    <dgm:pt modelId="{DFB50A0D-AD78-184A-811F-68B814A2441E}" type="parTrans" cxnId="{9B67E864-31FF-2A48-A003-93E8AE17154F}">
      <dgm:prSet/>
      <dgm:spPr/>
      <dgm:t>
        <a:bodyPr/>
        <a:lstStyle/>
        <a:p>
          <a:endParaRPr lang="en-GB"/>
        </a:p>
      </dgm:t>
    </dgm:pt>
    <dgm:pt modelId="{D99CC01C-FB9E-754F-BD8F-4C76F22667F3}" type="sibTrans" cxnId="{9B67E864-31FF-2A48-A003-93E8AE17154F}">
      <dgm:prSet/>
      <dgm:spPr/>
      <dgm:t>
        <a:bodyPr/>
        <a:lstStyle/>
        <a:p>
          <a:endParaRPr lang="en-GB"/>
        </a:p>
      </dgm:t>
    </dgm:pt>
    <dgm:pt modelId="{359E727B-9AFC-2C45-BB55-11E93D8CA008}" type="pres">
      <dgm:prSet presAssocID="{D262EFE7-CEDA-F245-B55D-E95B9792747F}" presName="Name0" presStyleCnt="0">
        <dgm:presLayoutVars>
          <dgm:dir/>
          <dgm:animLvl val="lvl"/>
          <dgm:resizeHandles val="exact"/>
        </dgm:presLayoutVars>
      </dgm:prSet>
      <dgm:spPr/>
    </dgm:pt>
    <dgm:pt modelId="{2C39CF53-AFC2-1B46-81BE-C427C53F1A3A}" type="pres">
      <dgm:prSet presAssocID="{58690734-EB94-4D49-80C3-41F733F7C4F2}" presName="linNode" presStyleCnt="0"/>
      <dgm:spPr/>
    </dgm:pt>
    <dgm:pt modelId="{9EE32112-279B-A143-A681-C2EED0702A5C}" type="pres">
      <dgm:prSet presAssocID="{58690734-EB94-4D49-80C3-41F733F7C4F2}" presName="parentText" presStyleLbl="node1" presStyleIdx="0" presStyleCnt="6" custScaleX="72527">
        <dgm:presLayoutVars>
          <dgm:chMax val="1"/>
          <dgm:bulletEnabled val="1"/>
        </dgm:presLayoutVars>
      </dgm:prSet>
      <dgm:spPr/>
    </dgm:pt>
    <dgm:pt modelId="{C95B3B6D-7B01-8D44-8FD0-772A78B1524A}" type="pres">
      <dgm:prSet presAssocID="{58690734-EB94-4D49-80C3-41F733F7C4F2}" presName="descendantText" presStyleLbl="alignAccFollowNode1" presStyleIdx="0" presStyleCnt="6" custScaleX="115447">
        <dgm:presLayoutVars>
          <dgm:bulletEnabled val="1"/>
        </dgm:presLayoutVars>
      </dgm:prSet>
      <dgm:spPr/>
    </dgm:pt>
    <dgm:pt modelId="{3B455404-64CF-D74F-B33E-DD4ED90467FC}" type="pres">
      <dgm:prSet presAssocID="{0B61FF70-845B-3F4B-A97B-A5DB7E6E67D8}" presName="sp" presStyleCnt="0"/>
      <dgm:spPr/>
    </dgm:pt>
    <dgm:pt modelId="{C7EE319D-353A-BD4C-90BB-E01057D0C4B3}" type="pres">
      <dgm:prSet presAssocID="{30175531-3CCF-BC4F-9D0C-94CD64F1670F}" presName="linNode" presStyleCnt="0"/>
      <dgm:spPr/>
    </dgm:pt>
    <dgm:pt modelId="{B93067D1-17B9-A646-81B9-0F98324E4DF8}" type="pres">
      <dgm:prSet presAssocID="{30175531-3CCF-BC4F-9D0C-94CD64F1670F}" presName="parentText" presStyleLbl="node1" presStyleIdx="1" presStyleCnt="6" custScaleX="72527">
        <dgm:presLayoutVars>
          <dgm:chMax val="1"/>
          <dgm:bulletEnabled val="1"/>
        </dgm:presLayoutVars>
      </dgm:prSet>
      <dgm:spPr/>
    </dgm:pt>
    <dgm:pt modelId="{A9C6576B-973D-724F-955E-A88ED1D8D9C1}" type="pres">
      <dgm:prSet presAssocID="{30175531-3CCF-BC4F-9D0C-94CD64F1670F}" presName="descendantText" presStyleLbl="alignAccFollowNode1" presStyleIdx="1" presStyleCnt="6" custScaleX="115445">
        <dgm:presLayoutVars>
          <dgm:bulletEnabled val="1"/>
        </dgm:presLayoutVars>
      </dgm:prSet>
      <dgm:spPr/>
    </dgm:pt>
    <dgm:pt modelId="{667B285F-0BB7-314A-8CBD-35259A8A163B}" type="pres">
      <dgm:prSet presAssocID="{0B44AA70-4E95-7740-8A52-6E73A09851B3}" presName="sp" presStyleCnt="0"/>
      <dgm:spPr/>
    </dgm:pt>
    <dgm:pt modelId="{AA13BDAD-EB12-7B41-8FAD-F3C42E8B478C}" type="pres">
      <dgm:prSet presAssocID="{D727A157-90CB-CF4C-A2C9-2FAFDDB3AF99}" presName="linNode" presStyleCnt="0"/>
      <dgm:spPr/>
    </dgm:pt>
    <dgm:pt modelId="{9BB4FA13-9BE2-4D45-B1BF-62F7AEFF6539}" type="pres">
      <dgm:prSet presAssocID="{D727A157-90CB-CF4C-A2C9-2FAFDDB3AF99}" presName="parentText" presStyleLbl="node1" presStyleIdx="2" presStyleCnt="6" custScaleX="72528">
        <dgm:presLayoutVars>
          <dgm:chMax val="1"/>
          <dgm:bulletEnabled val="1"/>
        </dgm:presLayoutVars>
      </dgm:prSet>
      <dgm:spPr/>
    </dgm:pt>
    <dgm:pt modelId="{41698DC8-168E-A74B-818B-D5D1D840F486}" type="pres">
      <dgm:prSet presAssocID="{D727A157-90CB-CF4C-A2C9-2FAFDDB3AF99}" presName="descendantText" presStyleLbl="alignAccFollowNode1" presStyleIdx="2" presStyleCnt="6" custScaleX="115578">
        <dgm:presLayoutVars>
          <dgm:bulletEnabled val="1"/>
        </dgm:presLayoutVars>
      </dgm:prSet>
      <dgm:spPr/>
    </dgm:pt>
    <dgm:pt modelId="{2F980989-2953-024C-96E0-B9D11BC29C2B}" type="pres">
      <dgm:prSet presAssocID="{401F915F-4E47-9E43-BC3E-4AE90A9FE0AE}" presName="sp" presStyleCnt="0"/>
      <dgm:spPr/>
    </dgm:pt>
    <dgm:pt modelId="{C46477FD-38BF-4C49-B8FB-DC03C16B3CEC}" type="pres">
      <dgm:prSet presAssocID="{05DA4A4D-B67C-234E-A35F-5E0356974CC9}" presName="linNode" presStyleCnt="0"/>
      <dgm:spPr/>
    </dgm:pt>
    <dgm:pt modelId="{6024DEE9-AA13-4C44-8CA6-F6A22165D875}" type="pres">
      <dgm:prSet presAssocID="{05DA4A4D-B67C-234E-A35F-5E0356974CC9}" presName="parentText" presStyleLbl="node1" presStyleIdx="3" presStyleCnt="6" custScaleX="72528">
        <dgm:presLayoutVars>
          <dgm:chMax val="1"/>
          <dgm:bulletEnabled val="1"/>
        </dgm:presLayoutVars>
      </dgm:prSet>
      <dgm:spPr/>
    </dgm:pt>
    <dgm:pt modelId="{0F4C059B-0073-3C4F-B8F7-3507829949D7}" type="pres">
      <dgm:prSet presAssocID="{05DA4A4D-B67C-234E-A35F-5E0356974CC9}" presName="descendantText" presStyleLbl="alignAccFollowNode1" presStyleIdx="3" presStyleCnt="6" custScaleX="115418">
        <dgm:presLayoutVars>
          <dgm:bulletEnabled val="1"/>
        </dgm:presLayoutVars>
      </dgm:prSet>
      <dgm:spPr/>
    </dgm:pt>
    <dgm:pt modelId="{C1C9AD7A-A9C1-3E41-95A6-89D1267DBE02}" type="pres">
      <dgm:prSet presAssocID="{BC3B552D-5709-1C4E-840F-6105A4C4AEC8}" presName="sp" presStyleCnt="0"/>
      <dgm:spPr/>
    </dgm:pt>
    <dgm:pt modelId="{7CEF6F90-1365-EF4F-B7C2-C297994A6637}" type="pres">
      <dgm:prSet presAssocID="{E2B02A01-4CD1-AF4B-AB22-55097F34FC36}" presName="linNode" presStyleCnt="0"/>
      <dgm:spPr/>
    </dgm:pt>
    <dgm:pt modelId="{D4E41273-D766-3348-B45A-19FD86BEB9E3}" type="pres">
      <dgm:prSet presAssocID="{E2B02A01-4CD1-AF4B-AB22-55097F34FC36}" presName="parentText" presStyleLbl="node1" presStyleIdx="4" presStyleCnt="6" custScaleX="72527">
        <dgm:presLayoutVars>
          <dgm:chMax val="1"/>
          <dgm:bulletEnabled val="1"/>
        </dgm:presLayoutVars>
      </dgm:prSet>
      <dgm:spPr/>
    </dgm:pt>
    <dgm:pt modelId="{B1105836-0589-BE41-B0F9-2D6C32071FC5}" type="pres">
      <dgm:prSet presAssocID="{E2B02A01-4CD1-AF4B-AB22-55097F34FC36}" presName="descendantText" presStyleLbl="alignAccFollowNode1" presStyleIdx="4" presStyleCnt="6" custScaleX="115418">
        <dgm:presLayoutVars>
          <dgm:bulletEnabled val="1"/>
        </dgm:presLayoutVars>
      </dgm:prSet>
      <dgm:spPr/>
    </dgm:pt>
    <dgm:pt modelId="{9052E901-C323-A341-A3F5-9C87EBFC8C16}" type="pres">
      <dgm:prSet presAssocID="{9AD867A6-2458-C545-81B0-59271B7D2802}" presName="sp" presStyleCnt="0"/>
      <dgm:spPr/>
    </dgm:pt>
    <dgm:pt modelId="{DC960B93-C1B8-9E4C-8E6F-3992F6AE0D10}" type="pres">
      <dgm:prSet presAssocID="{D67C1BE4-984E-1447-994F-77D2F7AC0832}" presName="linNode" presStyleCnt="0"/>
      <dgm:spPr/>
    </dgm:pt>
    <dgm:pt modelId="{571E8E2B-971E-BC4D-8A31-DECBD6734C70}" type="pres">
      <dgm:prSet presAssocID="{D67C1BE4-984E-1447-994F-77D2F7AC0832}" presName="parentText" presStyleLbl="node1" presStyleIdx="5" presStyleCnt="6" custScaleX="72528">
        <dgm:presLayoutVars>
          <dgm:chMax val="1"/>
          <dgm:bulletEnabled val="1"/>
        </dgm:presLayoutVars>
      </dgm:prSet>
      <dgm:spPr/>
    </dgm:pt>
    <dgm:pt modelId="{AEB9A557-DDA3-E440-A2C9-094FC9F0B13A}" type="pres">
      <dgm:prSet presAssocID="{D67C1BE4-984E-1447-994F-77D2F7AC0832}" presName="descendantText" presStyleLbl="alignAccFollowNode1" presStyleIdx="5" presStyleCnt="6" custScaleX="115568">
        <dgm:presLayoutVars>
          <dgm:bulletEnabled val="1"/>
        </dgm:presLayoutVars>
      </dgm:prSet>
      <dgm:spPr/>
    </dgm:pt>
  </dgm:ptLst>
  <dgm:cxnLst>
    <dgm:cxn modelId="{25FE950A-89D1-4BEC-9233-D1B6A6182442}" type="presOf" srcId="{D67C1BE4-984E-1447-994F-77D2F7AC0832}" destId="{571E8E2B-971E-BC4D-8A31-DECBD6734C70}" srcOrd="0" destOrd="0" presId="urn:microsoft.com/office/officeart/2005/8/layout/vList5"/>
    <dgm:cxn modelId="{78D7D10F-C110-4B4E-8BB7-E2E95501FD29}" srcId="{D67C1BE4-984E-1447-994F-77D2F7AC0832}" destId="{FE8145F5-6B31-8145-8006-79C2C81A5A49}" srcOrd="0" destOrd="0" parTransId="{343DB236-216C-074C-8E7A-289B3D8C20B5}" sibTransId="{CB0607F7-9C48-3D41-AB2B-3ECEBD79963C}"/>
    <dgm:cxn modelId="{C5049120-F424-42CC-A3EB-BB4F260D4273}" type="presOf" srcId="{FE8145F5-6B31-8145-8006-79C2C81A5A49}" destId="{AEB9A557-DDA3-E440-A2C9-094FC9F0B13A}" srcOrd="0" destOrd="0" presId="urn:microsoft.com/office/officeart/2005/8/layout/vList5"/>
    <dgm:cxn modelId="{6DA47726-BBAF-46DC-9993-F71D5BD1DBD3}" type="presOf" srcId="{F573AE06-CD06-EC44-86C3-B5AB52FB92E5}" destId="{41698DC8-168E-A74B-818B-D5D1D840F486}" srcOrd="0" destOrd="0" presId="urn:microsoft.com/office/officeart/2005/8/layout/vList5"/>
    <dgm:cxn modelId="{B4E19B26-5B87-7C40-B8D3-1234BC83446E}" srcId="{D262EFE7-CEDA-F245-B55D-E95B9792747F}" destId="{D67C1BE4-984E-1447-994F-77D2F7AC0832}" srcOrd="5" destOrd="0" parTransId="{BB930AED-DB3F-7D45-AC91-9E1B79C0F6B9}" sibTransId="{D8D7E2E7-BE51-724E-9EDA-F945BC94ADAF}"/>
    <dgm:cxn modelId="{B1DBB73E-664C-1B4B-AA06-676B1BD78FF9}" srcId="{D262EFE7-CEDA-F245-B55D-E95B9792747F}" destId="{E2B02A01-4CD1-AF4B-AB22-55097F34FC36}" srcOrd="4" destOrd="0" parTransId="{6F80C624-B1BC-E148-9C19-75CB6DA082BB}" sibTransId="{9AD867A6-2458-C545-81B0-59271B7D2802}"/>
    <dgm:cxn modelId="{7A10654D-A902-B249-8320-0EAD8CCF1BE8}" srcId="{E2B02A01-4CD1-AF4B-AB22-55097F34FC36}" destId="{006E641E-0E3F-C14E-A52F-4F55BE3AF7FE}" srcOrd="0" destOrd="0" parTransId="{B346AF68-11BA-0744-95EE-04B2741CF979}" sibTransId="{F06BDECC-B62B-D241-B11D-B15EA905A488}"/>
    <dgm:cxn modelId="{F6C3BB51-22D6-4DA7-8CD7-247A48E55A84}" type="presOf" srcId="{08FA57C9-C238-1B4B-9A91-C04D9E5401B3}" destId="{0F4C059B-0073-3C4F-B8F7-3507829949D7}" srcOrd="0" destOrd="0" presId="urn:microsoft.com/office/officeart/2005/8/layout/vList5"/>
    <dgm:cxn modelId="{2920A75A-69BA-46D8-AEDE-FA358B01FFBC}" type="presOf" srcId="{D262EFE7-CEDA-F245-B55D-E95B9792747F}" destId="{359E727B-9AFC-2C45-BB55-11E93D8CA008}" srcOrd="0" destOrd="0" presId="urn:microsoft.com/office/officeart/2005/8/layout/vList5"/>
    <dgm:cxn modelId="{9B67E864-31FF-2A48-A003-93E8AE17154F}" srcId="{58690734-EB94-4D49-80C3-41F733F7C4F2}" destId="{B23EC13D-6323-F649-81C3-926802C0C652}" srcOrd="0" destOrd="0" parTransId="{DFB50A0D-AD78-184A-811F-68B814A2441E}" sibTransId="{D99CC01C-FB9E-754F-BD8F-4C76F22667F3}"/>
    <dgm:cxn modelId="{BEF30273-3E8A-9A48-ACE6-5ECAB55B4D1C}" srcId="{D262EFE7-CEDA-F245-B55D-E95B9792747F}" destId="{D727A157-90CB-CF4C-A2C9-2FAFDDB3AF99}" srcOrd="2" destOrd="0" parTransId="{5F5239CC-9975-2842-93AA-7E8DABEC01DD}" sibTransId="{401F915F-4E47-9E43-BC3E-4AE90A9FE0AE}"/>
    <dgm:cxn modelId="{C27D88AF-ACBC-0844-AF29-DA279DAAC141}" srcId="{D262EFE7-CEDA-F245-B55D-E95B9792747F}" destId="{05DA4A4D-B67C-234E-A35F-5E0356974CC9}" srcOrd="3" destOrd="0" parTransId="{7D428033-2302-BE43-BA74-B6BC9C9F3A50}" sibTransId="{BC3B552D-5709-1C4E-840F-6105A4C4AEC8}"/>
    <dgm:cxn modelId="{AD45AEB0-887E-9D4E-94DC-8B1A320A69D9}" srcId="{30175531-3CCF-BC4F-9D0C-94CD64F1670F}" destId="{4DB926E5-3C1A-054B-BD6D-A84B1EDFAD9C}" srcOrd="0" destOrd="0" parTransId="{03FFA033-52F8-6041-B6BA-12874978F3CA}" sibTransId="{AE28A828-ADE2-CD40-89EE-3CB9FC7B4E58}"/>
    <dgm:cxn modelId="{E9BD5EBF-4144-4F71-BA07-0EFEDC8504C7}" type="presOf" srcId="{006E641E-0E3F-C14E-A52F-4F55BE3AF7FE}" destId="{B1105836-0589-BE41-B0F9-2D6C32071FC5}" srcOrd="0" destOrd="0" presId="urn:microsoft.com/office/officeart/2005/8/layout/vList5"/>
    <dgm:cxn modelId="{34E112C2-1CAD-4068-BE31-B01666BE0AA5}" type="presOf" srcId="{05DA4A4D-B67C-234E-A35F-5E0356974CC9}" destId="{6024DEE9-AA13-4C44-8CA6-F6A22165D875}" srcOrd="0" destOrd="0" presId="urn:microsoft.com/office/officeart/2005/8/layout/vList5"/>
    <dgm:cxn modelId="{5A22A3C6-33B2-4A18-8F8F-778043438853}" type="presOf" srcId="{E2B02A01-4CD1-AF4B-AB22-55097F34FC36}" destId="{D4E41273-D766-3348-B45A-19FD86BEB9E3}" srcOrd="0" destOrd="0" presId="urn:microsoft.com/office/officeart/2005/8/layout/vList5"/>
    <dgm:cxn modelId="{FA446AC9-B00D-8043-B931-5B23366BFE4F}" srcId="{D262EFE7-CEDA-F245-B55D-E95B9792747F}" destId="{58690734-EB94-4D49-80C3-41F733F7C4F2}" srcOrd="0" destOrd="0" parTransId="{F3CCA960-02D5-3A43-AEAA-8896A2C6F0D9}" sibTransId="{0B61FF70-845B-3F4B-A97B-A5DB7E6E67D8}"/>
    <dgm:cxn modelId="{59F4DCCD-5059-6244-8C44-21BF3F46E45B}" srcId="{05DA4A4D-B67C-234E-A35F-5E0356974CC9}" destId="{08FA57C9-C238-1B4B-9A91-C04D9E5401B3}" srcOrd="0" destOrd="0" parTransId="{B4C19C8B-90E3-0D4D-B558-C9FD148DFA0E}" sibTransId="{69C8C66B-70F3-FA4F-ADD0-7F82555DB82A}"/>
    <dgm:cxn modelId="{0CA6EBD1-976F-E24D-A333-DA5E4EA67B50}" srcId="{D262EFE7-CEDA-F245-B55D-E95B9792747F}" destId="{30175531-3CCF-BC4F-9D0C-94CD64F1670F}" srcOrd="1" destOrd="0" parTransId="{BA98615B-ADC0-E746-A387-BF667EA3CF51}" sibTransId="{0B44AA70-4E95-7740-8A52-6E73A09851B3}"/>
    <dgm:cxn modelId="{10A712D3-89DD-4DF1-A869-AFC580C64EBE}" type="presOf" srcId="{B23EC13D-6323-F649-81C3-926802C0C652}" destId="{C95B3B6D-7B01-8D44-8FD0-772A78B1524A}" srcOrd="0" destOrd="0" presId="urn:microsoft.com/office/officeart/2005/8/layout/vList5"/>
    <dgm:cxn modelId="{1977A0E5-7A63-4BEE-8F24-D1E5137601E1}" type="presOf" srcId="{30175531-3CCF-BC4F-9D0C-94CD64F1670F}" destId="{B93067D1-17B9-A646-81B9-0F98324E4DF8}" srcOrd="0" destOrd="0" presId="urn:microsoft.com/office/officeart/2005/8/layout/vList5"/>
    <dgm:cxn modelId="{104BCAED-7E9C-4570-A7D6-C5BD0D9946A7}" type="presOf" srcId="{58690734-EB94-4D49-80C3-41F733F7C4F2}" destId="{9EE32112-279B-A143-A681-C2EED0702A5C}" srcOrd="0" destOrd="0" presId="urn:microsoft.com/office/officeart/2005/8/layout/vList5"/>
    <dgm:cxn modelId="{42CD6AF0-63FF-4F22-BDD7-423789A7ECBE}" type="presOf" srcId="{D727A157-90CB-CF4C-A2C9-2FAFDDB3AF99}" destId="{9BB4FA13-9BE2-4D45-B1BF-62F7AEFF6539}" srcOrd="0" destOrd="0" presId="urn:microsoft.com/office/officeart/2005/8/layout/vList5"/>
    <dgm:cxn modelId="{B26984F5-8438-924E-A45E-404318999DD1}" srcId="{D727A157-90CB-CF4C-A2C9-2FAFDDB3AF99}" destId="{F573AE06-CD06-EC44-86C3-B5AB52FB92E5}" srcOrd="0" destOrd="0" parTransId="{DCE3E004-1545-0045-9854-70B90FED8891}" sibTransId="{91F80DC8-360F-834A-B553-A3682923527B}"/>
    <dgm:cxn modelId="{B60692F9-CB01-4AB8-AFA4-1065E5467FAD}" type="presOf" srcId="{4DB926E5-3C1A-054B-BD6D-A84B1EDFAD9C}" destId="{A9C6576B-973D-724F-955E-A88ED1D8D9C1}" srcOrd="0" destOrd="0" presId="urn:microsoft.com/office/officeart/2005/8/layout/vList5"/>
    <dgm:cxn modelId="{1732EFFE-A378-454F-84DC-A868AB568494}" type="presParOf" srcId="{359E727B-9AFC-2C45-BB55-11E93D8CA008}" destId="{2C39CF53-AFC2-1B46-81BE-C427C53F1A3A}" srcOrd="0" destOrd="0" presId="urn:microsoft.com/office/officeart/2005/8/layout/vList5"/>
    <dgm:cxn modelId="{3ED1F563-3049-4A49-BE32-DC9A0129F646}" type="presParOf" srcId="{2C39CF53-AFC2-1B46-81BE-C427C53F1A3A}" destId="{9EE32112-279B-A143-A681-C2EED0702A5C}" srcOrd="0" destOrd="0" presId="urn:microsoft.com/office/officeart/2005/8/layout/vList5"/>
    <dgm:cxn modelId="{E6605A49-0D5F-46D9-96EE-985B481B9D39}" type="presParOf" srcId="{2C39CF53-AFC2-1B46-81BE-C427C53F1A3A}" destId="{C95B3B6D-7B01-8D44-8FD0-772A78B1524A}" srcOrd="1" destOrd="0" presId="urn:microsoft.com/office/officeart/2005/8/layout/vList5"/>
    <dgm:cxn modelId="{6BB65A79-3AE0-436B-8799-F4B1C3347F2E}" type="presParOf" srcId="{359E727B-9AFC-2C45-BB55-11E93D8CA008}" destId="{3B455404-64CF-D74F-B33E-DD4ED90467FC}" srcOrd="1" destOrd="0" presId="urn:microsoft.com/office/officeart/2005/8/layout/vList5"/>
    <dgm:cxn modelId="{424A5496-651E-4DE2-ABBB-7630DA189689}" type="presParOf" srcId="{359E727B-9AFC-2C45-BB55-11E93D8CA008}" destId="{C7EE319D-353A-BD4C-90BB-E01057D0C4B3}" srcOrd="2" destOrd="0" presId="urn:microsoft.com/office/officeart/2005/8/layout/vList5"/>
    <dgm:cxn modelId="{1BDF9145-C10D-47CF-8B2A-A80B1984804C}" type="presParOf" srcId="{C7EE319D-353A-BD4C-90BB-E01057D0C4B3}" destId="{B93067D1-17B9-A646-81B9-0F98324E4DF8}" srcOrd="0" destOrd="0" presId="urn:microsoft.com/office/officeart/2005/8/layout/vList5"/>
    <dgm:cxn modelId="{EC783A2F-D9E8-4953-A066-43FF1F591FA3}" type="presParOf" srcId="{C7EE319D-353A-BD4C-90BB-E01057D0C4B3}" destId="{A9C6576B-973D-724F-955E-A88ED1D8D9C1}" srcOrd="1" destOrd="0" presId="urn:microsoft.com/office/officeart/2005/8/layout/vList5"/>
    <dgm:cxn modelId="{F159E349-D1A6-4C84-A52F-41775AB828D8}" type="presParOf" srcId="{359E727B-9AFC-2C45-BB55-11E93D8CA008}" destId="{667B285F-0BB7-314A-8CBD-35259A8A163B}" srcOrd="3" destOrd="0" presId="urn:microsoft.com/office/officeart/2005/8/layout/vList5"/>
    <dgm:cxn modelId="{A9779094-3DC6-417B-8C18-B5558552737A}" type="presParOf" srcId="{359E727B-9AFC-2C45-BB55-11E93D8CA008}" destId="{AA13BDAD-EB12-7B41-8FAD-F3C42E8B478C}" srcOrd="4" destOrd="0" presId="urn:microsoft.com/office/officeart/2005/8/layout/vList5"/>
    <dgm:cxn modelId="{4B6AA1EE-6D1D-46A0-BFF4-8E4E6B929799}" type="presParOf" srcId="{AA13BDAD-EB12-7B41-8FAD-F3C42E8B478C}" destId="{9BB4FA13-9BE2-4D45-B1BF-62F7AEFF6539}" srcOrd="0" destOrd="0" presId="urn:microsoft.com/office/officeart/2005/8/layout/vList5"/>
    <dgm:cxn modelId="{20A50B1C-683E-4F52-B512-A823C75197B9}" type="presParOf" srcId="{AA13BDAD-EB12-7B41-8FAD-F3C42E8B478C}" destId="{41698DC8-168E-A74B-818B-D5D1D840F486}" srcOrd="1" destOrd="0" presId="urn:microsoft.com/office/officeart/2005/8/layout/vList5"/>
    <dgm:cxn modelId="{00817386-DD88-4605-A866-CF8F88FC5242}" type="presParOf" srcId="{359E727B-9AFC-2C45-BB55-11E93D8CA008}" destId="{2F980989-2953-024C-96E0-B9D11BC29C2B}" srcOrd="5" destOrd="0" presId="urn:microsoft.com/office/officeart/2005/8/layout/vList5"/>
    <dgm:cxn modelId="{048EC90C-DC0B-4C93-8DD5-338D90B7C6B2}" type="presParOf" srcId="{359E727B-9AFC-2C45-BB55-11E93D8CA008}" destId="{C46477FD-38BF-4C49-B8FB-DC03C16B3CEC}" srcOrd="6" destOrd="0" presId="urn:microsoft.com/office/officeart/2005/8/layout/vList5"/>
    <dgm:cxn modelId="{9C7B722A-7A78-4F11-ACEF-D9984865E0C6}" type="presParOf" srcId="{C46477FD-38BF-4C49-B8FB-DC03C16B3CEC}" destId="{6024DEE9-AA13-4C44-8CA6-F6A22165D875}" srcOrd="0" destOrd="0" presId="urn:microsoft.com/office/officeart/2005/8/layout/vList5"/>
    <dgm:cxn modelId="{83D63071-049F-4B9D-9298-DF745981C7BF}" type="presParOf" srcId="{C46477FD-38BF-4C49-B8FB-DC03C16B3CEC}" destId="{0F4C059B-0073-3C4F-B8F7-3507829949D7}" srcOrd="1" destOrd="0" presId="urn:microsoft.com/office/officeart/2005/8/layout/vList5"/>
    <dgm:cxn modelId="{2216B1BB-51F8-4891-8860-8211D58BE3A8}" type="presParOf" srcId="{359E727B-9AFC-2C45-BB55-11E93D8CA008}" destId="{C1C9AD7A-A9C1-3E41-95A6-89D1267DBE02}" srcOrd="7" destOrd="0" presId="urn:microsoft.com/office/officeart/2005/8/layout/vList5"/>
    <dgm:cxn modelId="{11169E49-4DC1-4C9D-A34C-5D00853DEE69}" type="presParOf" srcId="{359E727B-9AFC-2C45-BB55-11E93D8CA008}" destId="{7CEF6F90-1365-EF4F-B7C2-C297994A6637}" srcOrd="8" destOrd="0" presId="urn:microsoft.com/office/officeart/2005/8/layout/vList5"/>
    <dgm:cxn modelId="{F67A9490-88CF-49E7-8DB8-F9C7D28F044B}" type="presParOf" srcId="{7CEF6F90-1365-EF4F-B7C2-C297994A6637}" destId="{D4E41273-D766-3348-B45A-19FD86BEB9E3}" srcOrd="0" destOrd="0" presId="urn:microsoft.com/office/officeart/2005/8/layout/vList5"/>
    <dgm:cxn modelId="{DFED1A68-95C2-4975-9643-70D0197E9309}" type="presParOf" srcId="{7CEF6F90-1365-EF4F-B7C2-C297994A6637}" destId="{B1105836-0589-BE41-B0F9-2D6C32071FC5}" srcOrd="1" destOrd="0" presId="urn:microsoft.com/office/officeart/2005/8/layout/vList5"/>
    <dgm:cxn modelId="{2392B35F-1183-41EE-85EC-5F0EAB6D3EA4}" type="presParOf" srcId="{359E727B-9AFC-2C45-BB55-11E93D8CA008}" destId="{9052E901-C323-A341-A3F5-9C87EBFC8C16}" srcOrd="9" destOrd="0" presId="urn:microsoft.com/office/officeart/2005/8/layout/vList5"/>
    <dgm:cxn modelId="{CE87D331-B360-4B46-8BD3-48C7F989B533}" type="presParOf" srcId="{359E727B-9AFC-2C45-BB55-11E93D8CA008}" destId="{DC960B93-C1B8-9E4C-8E6F-3992F6AE0D10}" srcOrd="10" destOrd="0" presId="urn:microsoft.com/office/officeart/2005/8/layout/vList5"/>
    <dgm:cxn modelId="{81E3DB53-D41C-4485-9F38-EBB1BB3AB0A4}" type="presParOf" srcId="{DC960B93-C1B8-9E4C-8E6F-3992F6AE0D10}" destId="{571E8E2B-971E-BC4D-8A31-DECBD6734C70}" srcOrd="0" destOrd="0" presId="urn:microsoft.com/office/officeart/2005/8/layout/vList5"/>
    <dgm:cxn modelId="{B93E1A3F-3501-46A2-AE6F-8BE25D0F4974}" type="presParOf" srcId="{DC960B93-C1B8-9E4C-8E6F-3992F6AE0D10}" destId="{AEB9A557-DDA3-E440-A2C9-094FC9F0B13A}"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E8CD0A-888D-8049-9668-EE552AE6CCB8}">
      <dsp:nvSpPr>
        <dsp:cNvPr id="0" name=""/>
        <dsp:cNvSpPr/>
      </dsp:nvSpPr>
      <dsp:spPr>
        <a:xfrm>
          <a:off x="0" y="1607"/>
          <a:ext cx="5735319" cy="402178"/>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GB" sz="2000" b="1" kern="1200"/>
            <a:t>Revenue Drivers</a:t>
          </a:r>
        </a:p>
      </dsp:txBody>
      <dsp:txXfrm>
        <a:off x="19633" y="21240"/>
        <a:ext cx="5696053" cy="362912"/>
      </dsp:txXfrm>
    </dsp:sp>
    <dsp:sp modelId="{F26527C2-86F8-1443-AFC6-167CD5FC632B}">
      <dsp:nvSpPr>
        <dsp:cNvPr id="0" name=""/>
        <dsp:cNvSpPr/>
      </dsp:nvSpPr>
      <dsp:spPr>
        <a:xfrm>
          <a:off x="0" y="403785"/>
          <a:ext cx="5735319" cy="15928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096" tIns="13970" rIns="78232" bIns="13970" numCol="1" spcCol="1270" anchor="t" anchorCtr="0">
          <a:noAutofit/>
        </a:bodyPr>
        <a:lstStyle/>
        <a:p>
          <a:pPr marL="57150" lvl="1" indent="-57150" algn="just" defTabSz="466725">
            <a:lnSpc>
              <a:spcPct val="90000"/>
            </a:lnSpc>
            <a:spcBef>
              <a:spcPct val="0"/>
            </a:spcBef>
            <a:spcAft>
              <a:spcPct val="20000"/>
            </a:spcAft>
            <a:buChar char="•"/>
          </a:pPr>
          <a:r>
            <a:rPr lang="en-GB" sz="1050" b="1" i="0" kern="1200">
              <a:latin typeface="Calibri" panose="020F0502020204030204" pitchFamily="34" charset="0"/>
              <a:cs typeface="Calibri" panose="020F0502020204030204" pitchFamily="34" charset="0"/>
            </a:rPr>
            <a:t>Payments Volume</a:t>
          </a:r>
        </a:p>
        <a:p>
          <a:pPr marL="114300" lvl="2" indent="-57150" algn="just" defTabSz="466725">
            <a:lnSpc>
              <a:spcPct val="90000"/>
            </a:lnSpc>
            <a:spcBef>
              <a:spcPct val="0"/>
            </a:spcBef>
            <a:spcAft>
              <a:spcPct val="20000"/>
            </a:spcAft>
            <a:buChar char="•"/>
          </a:pPr>
          <a:r>
            <a:rPr lang="en-GB" sz="1050" kern="1200"/>
            <a:t>payments volume on Visa products for purchased goods and services </a:t>
          </a:r>
          <a:endParaRPr lang="en-GB" sz="1050" kern="1200">
            <a:latin typeface="Calibri" panose="020F0502020204030204" pitchFamily="34" charset="0"/>
            <a:cs typeface="Calibri" panose="020F0502020204030204" pitchFamily="34" charset="0"/>
          </a:endParaRPr>
        </a:p>
        <a:p>
          <a:pPr marL="57150" lvl="1" indent="-57150" algn="just" defTabSz="466725">
            <a:lnSpc>
              <a:spcPct val="90000"/>
            </a:lnSpc>
            <a:spcBef>
              <a:spcPct val="0"/>
            </a:spcBef>
            <a:spcAft>
              <a:spcPct val="20000"/>
            </a:spcAft>
            <a:buChar char="•"/>
          </a:pPr>
          <a:r>
            <a:rPr lang="en-GB" sz="1050" b="1" kern="1200">
              <a:latin typeface="Calibri" panose="020F0502020204030204" pitchFamily="34" charset="0"/>
              <a:cs typeface="Calibri" panose="020F0502020204030204" pitchFamily="34" charset="0"/>
            </a:rPr>
            <a:t>Processed Transactions</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authorization, clearing, settlement, value added services, network access, other maintenance and support services</a:t>
          </a:r>
        </a:p>
        <a:p>
          <a:pPr marL="57150" lvl="1" indent="-57150" algn="just" defTabSz="466725">
            <a:lnSpc>
              <a:spcPct val="90000"/>
            </a:lnSpc>
            <a:spcBef>
              <a:spcPct val="0"/>
            </a:spcBef>
            <a:spcAft>
              <a:spcPct val="20000"/>
            </a:spcAft>
            <a:buChar char="•"/>
          </a:pPr>
          <a:r>
            <a:rPr lang="en-GB" sz="1050" b="1" kern="1200">
              <a:latin typeface="Calibri" panose="020F0502020204030204" pitchFamily="34" charset="0"/>
              <a:cs typeface="Calibri" panose="020F0502020204030204" pitchFamily="34" charset="0"/>
            </a:rPr>
            <a:t>Cross-Border Volume</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cross-border transaction processing and currency conversion activities</a:t>
          </a:r>
        </a:p>
        <a:p>
          <a:pPr marL="57150" lvl="1" indent="-57150" algn="just" defTabSz="466725">
            <a:lnSpc>
              <a:spcPct val="90000"/>
            </a:lnSpc>
            <a:spcBef>
              <a:spcPct val="0"/>
            </a:spcBef>
            <a:spcAft>
              <a:spcPct val="20000"/>
            </a:spcAft>
            <a:buChar char="•"/>
          </a:pPr>
          <a:r>
            <a:rPr lang="en-GB" sz="1050" b="1" kern="1200">
              <a:latin typeface="Calibri" panose="020F0502020204030204" pitchFamily="34" charset="0"/>
              <a:cs typeface="Calibri" panose="020F0502020204030204" pitchFamily="34" charset="0"/>
            </a:rPr>
            <a:t>Other</a:t>
          </a:r>
        </a:p>
        <a:p>
          <a:pPr marL="114300" lvl="2" indent="-57150" algn="just" defTabSz="466725">
            <a:lnSpc>
              <a:spcPct val="90000"/>
            </a:lnSpc>
            <a:spcBef>
              <a:spcPct val="0"/>
            </a:spcBef>
            <a:spcAft>
              <a:spcPct val="20000"/>
            </a:spcAft>
            <a:buChar char="•"/>
          </a:pPr>
          <a:r>
            <a:rPr lang="en-GB" sz="1050" kern="1200">
              <a:latin typeface="Calibri" panose="020F0502020204030204" pitchFamily="34" charset="0"/>
              <a:cs typeface="Calibri" panose="020F0502020204030204" pitchFamily="34" charset="0"/>
            </a:rPr>
            <a:t>value added services, license fees and for account holder services, certificaion and licensing fees</a:t>
          </a:r>
        </a:p>
      </dsp:txBody>
      <dsp:txXfrm>
        <a:off x="0" y="403785"/>
        <a:ext cx="5735319" cy="1592864"/>
      </dsp:txXfrm>
    </dsp:sp>
    <dsp:sp modelId="{DA77604F-8C21-6F4A-90C9-8244D3A6E535}">
      <dsp:nvSpPr>
        <dsp:cNvPr id="0" name=""/>
        <dsp:cNvSpPr/>
      </dsp:nvSpPr>
      <dsp:spPr>
        <a:xfrm>
          <a:off x="0" y="1996650"/>
          <a:ext cx="5735319" cy="440683"/>
        </a:xfrm>
        <a:prstGeom prst="roundRect">
          <a:avLst/>
        </a:prstGeom>
        <a:gradFill rotWithShape="0">
          <a:gsLst>
            <a:gs pos="0">
              <a:schemeClr val="accent4">
                <a:hueOff val="9800891"/>
                <a:satOff val="-40777"/>
                <a:lumOff val="9608"/>
                <a:alphaOff val="0"/>
                <a:lumMod val="110000"/>
                <a:satMod val="105000"/>
                <a:tint val="67000"/>
              </a:schemeClr>
            </a:gs>
            <a:gs pos="50000">
              <a:schemeClr val="accent4">
                <a:hueOff val="9800891"/>
                <a:satOff val="-40777"/>
                <a:lumOff val="9608"/>
                <a:alphaOff val="0"/>
                <a:lumMod val="105000"/>
                <a:satMod val="103000"/>
                <a:tint val="73000"/>
              </a:schemeClr>
            </a:gs>
            <a:gs pos="100000">
              <a:schemeClr val="accent4">
                <a:hueOff val="9800891"/>
                <a:satOff val="-40777"/>
                <a:lumOff val="960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0" tIns="76200" rIns="76200" bIns="76200" numCol="1" spcCol="1270" anchor="ctr" anchorCtr="0">
          <a:noAutofit/>
        </a:bodyPr>
        <a:lstStyle/>
        <a:p>
          <a:pPr marL="0" lvl="0" indent="0" algn="l" defTabSz="889000">
            <a:lnSpc>
              <a:spcPct val="90000"/>
            </a:lnSpc>
            <a:spcBef>
              <a:spcPct val="0"/>
            </a:spcBef>
            <a:spcAft>
              <a:spcPct val="35000"/>
            </a:spcAft>
            <a:buNone/>
          </a:pPr>
          <a:r>
            <a:rPr lang="en-GB" sz="2000" b="1" kern="1200"/>
            <a:t>Cost Drivers</a:t>
          </a:r>
        </a:p>
      </dsp:txBody>
      <dsp:txXfrm>
        <a:off x="21512" y="2018162"/>
        <a:ext cx="5692295" cy="397659"/>
      </dsp:txXfrm>
    </dsp:sp>
    <dsp:sp modelId="{65E0AE29-D183-F54C-9A35-480C2CB96303}">
      <dsp:nvSpPr>
        <dsp:cNvPr id="0" name=""/>
        <dsp:cNvSpPr/>
      </dsp:nvSpPr>
      <dsp:spPr>
        <a:xfrm>
          <a:off x="0" y="2437333"/>
          <a:ext cx="5735319" cy="28503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2096" tIns="13970" rIns="78232" bIns="13970" numCol="1" spcCol="1270" anchor="t" anchorCtr="0">
          <a:noAutofit/>
        </a:bodyPr>
        <a:lstStyle/>
        <a:p>
          <a:pPr marL="57150" lvl="1" indent="-57150" algn="just" defTabSz="466725">
            <a:lnSpc>
              <a:spcPct val="90000"/>
            </a:lnSpc>
            <a:spcBef>
              <a:spcPct val="0"/>
            </a:spcBef>
            <a:spcAft>
              <a:spcPct val="20000"/>
            </a:spcAft>
            <a:buChar char="•"/>
          </a:pPr>
          <a:r>
            <a:rPr lang="en-GB" sz="1050" b="1" kern="1200"/>
            <a:t>Personnel</a:t>
          </a:r>
        </a:p>
        <a:p>
          <a:pPr marL="114300" lvl="2" indent="-57150" algn="just" defTabSz="466725">
            <a:lnSpc>
              <a:spcPct val="90000"/>
            </a:lnSpc>
            <a:spcBef>
              <a:spcPct val="0"/>
            </a:spcBef>
            <a:spcAft>
              <a:spcPct val="20000"/>
            </a:spcAft>
            <a:buChar char="•"/>
          </a:pPr>
          <a:r>
            <a:rPr lang="en-GB" sz="1050" kern="1200"/>
            <a:t>salaries, employee benefits, compensation and contractor expenses</a:t>
          </a:r>
        </a:p>
        <a:p>
          <a:pPr marL="57150" lvl="1" indent="-57150" algn="just" defTabSz="466725">
            <a:lnSpc>
              <a:spcPct val="90000"/>
            </a:lnSpc>
            <a:spcBef>
              <a:spcPct val="0"/>
            </a:spcBef>
            <a:spcAft>
              <a:spcPct val="20000"/>
            </a:spcAft>
            <a:buChar char="•"/>
          </a:pPr>
          <a:r>
            <a:rPr lang="en-GB" sz="1050" b="1" kern="1200"/>
            <a:t>Marketing</a:t>
          </a:r>
        </a:p>
        <a:p>
          <a:pPr marL="114300" lvl="2" indent="-57150" algn="just" defTabSz="466725">
            <a:lnSpc>
              <a:spcPct val="90000"/>
            </a:lnSpc>
            <a:spcBef>
              <a:spcPct val="0"/>
            </a:spcBef>
            <a:spcAft>
              <a:spcPct val="20000"/>
            </a:spcAft>
            <a:buChar char="•"/>
          </a:pPr>
          <a:r>
            <a:rPr lang="en-GB" sz="1050" kern="1200"/>
            <a:t>advertising, campaings and sponsorships</a:t>
          </a:r>
        </a:p>
        <a:p>
          <a:pPr marL="57150" lvl="1" indent="-57150" algn="just" defTabSz="466725">
            <a:lnSpc>
              <a:spcPct val="90000"/>
            </a:lnSpc>
            <a:spcBef>
              <a:spcPct val="0"/>
            </a:spcBef>
            <a:spcAft>
              <a:spcPct val="20000"/>
            </a:spcAft>
            <a:buChar char="•"/>
          </a:pPr>
          <a:r>
            <a:rPr lang="en-GB" sz="1050" b="1" kern="1200"/>
            <a:t>Network and Processing</a:t>
          </a:r>
        </a:p>
        <a:p>
          <a:pPr marL="114300" lvl="2" indent="-57150" algn="just" defTabSz="466725">
            <a:lnSpc>
              <a:spcPct val="90000"/>
            </a:lnSpc>
            <a:spcBef>
              <a:spcPct val="0"/>
            </a:spcBef>
            <a:spcAft>
              <a:spcPct val="20000"/>
            </a:spcAft>
            <a:buChar char="•"/>
          </a:pPr>
          <a:r>
            <a:rPr lang="en-GB" sz="1050" kern="1200"/>
            <a:t>operation and maintenance for the processing network</a:t>
          </a:r>
        </a:p>
        <a:p>
          <a:pPr marL="57150" lvl="1" indent="-57150" algn="just" defTabSz="466725">
            <a:lnSpc>
              <a:spcPct val="90000"/>
            </a:lnSpc>
            <a:spcBef>
              <a:spcPct val="0"/>
            </a:spcBef>
            <a:spcAft>
              <a:spcPct val="20000"/>
            </a:spcAft>
            <a:buChar char="•"/>
          </a:pPr>
          <a:r>
            <a:rPr lang="en-GB" sz="1050" b="1" kern="1200"/>
            <a:t>Professional Fees</a:t>
          </a:r>
        </a:p>
        <a:p>
          <a:pPr marL="114300" lvl="2" indent="-57150" algn="just" defTabSz="466725">
            <a:lnSpc>
              <a:spcPct val="90000"/>
            </a:lnSpc>
            <a:spcBef>
              <a:spcPct val="0"/>
            </a:spcBef>
            <a:spcAft>
              <a:spcPct val="20000"/>
            </a:spcAft>
            <a:buChar char="•"/>
          </a:pPr>
          <a:r>
            <a:rPr lang="en-GB" sz="1050" kern="1200"/>
            <a:t>consulting, legal and other professional services</a:t>
          </a:r>
        </a:p>
        <a:p>
          <a:pPr marL="57150" lvl="1" indent="-57150" algn="just" defTabSz="466725">
            <a:lnSpc>
              <a:spcPct val="90000"/>
            </a:lnSpc>
            <a:spcBef>
              <a:spcPct val="0"/>
            </a:spcBef>
            <a:spcAft>
              <a:spcPct val="20000"/>
            </a:spcAft>
            <a:buChar char="•"/>
          </a:pPr>
          <a:r>
            <a:rPr lang="en-GB" sz="1050" b="1" kern="1200"/>
            <a:t>Depreciation and Amortization</a:t>
          </a:r>
        </a:p>
        <a:p>
          <a:pPr marL="114300" lvl="2" indent="-57150" algn="just" defTabSz="466725">
            <a:lnSpc>
              <a:spcPct val="90000"/>
            </a:lnSpc>
            <a:spcBef>
              <a:spcPct val="0"/>
            </a:spcBef>
            <a:spcAft>
              <a:spcPct val="20000"/>
            </a:spcAft>
            <a:buFont typeface="Arial" panose="020B0604020202020204" pitchFamily="34" charset="0"/>
            <a:buChar char="•"/>
          </a:pPr>
          <a:r>
            <a:rPr lang="en-GB" sz="1050" kern="1200"/>
            <a:t>amortization of purchased and internally developed software, as well as depreciation expense for property and equipment </a:t>
          </a:r>
        </a:p>
        <a:p>
          <a:pPr marL="57150" lvl="1" indent="-57150" algn="just" defTabSz="466725">
            <a:lnSpc>
              <a:spcPct val="90000"/>
            </a:lnSpc>
            <a:spcBef>
              <a:spcPct val="0"/>
            </a:spcBef>
            <a:spcAft>
              <a:spcPct val="20000"/>
            </a:spcAft>
            <a:buChar char="•"/>
          </a:pPr>
          <a:r>
            <a:rPr lang="en-GB" sz="1050" b="1" kern="1200"/>
            <a:t>General and Administrative</a:t>
          </a:r>
        </a:p>
        <a:p>
          <a:pPr marL="114300" lvl="2" indent="-57150" algn="just" defTabSz="466725">
            <a:lnSpc>
              <a:spcPct val="90000"/>
            </a:lnSpc>
            <a:spcBef>
              <a:spcPct val="0"/>
            </a:spcBef>
            <a:spcAft>
              <a:spcPct val="20000"/>
            </a:spcAft>
            <a:buFont typeface="Arial" panose="020B0604020202020204" pitchFamily="34" charset="0"/>
            <a:buChar char="•"/>
          </a:pPr>
          <a:r>
            <a:rPr lang="en-GB" sz="1050" kern="1200"/>
            <a:t>card benefits, facilities costs, indirect taxes, travel and meeting costs, foreign exchange gains and losses and other corporate expenses </a:t>
          </a:r>
        </a:p>
        <a:p>
          <a:pPr marL="57150" lvl="1" indent="-57150" algn="just" defTabSz="466725">
            <a:lnSpc>
              <a:spcPct val="90000"/>
            </a:lnSpc>
            <a:spcBef>
              <a:spcPct val="0"/>
            </a:spcBef>
            <a:spcAft>
              <a:spcPct val="20000"/>
            </a:spcAft>
            <a:buChar char="•"/>
          </a:pPr>
          <a:r>
            <a:rPr lang="en-GB" sz="1050" b="1" kern="1200"/>
            <a:t>Litigation Provision</a:t>
          </a:r>
        </a:p>
        <a:p>
          <a:pPr marL="114300" lvl="2" indent="-57150" algn="just" defTabSz="466725">
            <a:lnSpc>
              <a:spcPct val="90000"/>
            </a:lnSpc>
            <a:spcBef>
              <a:spcPct val="0"/>
            </a:spcBef>
            <a:spcAft>
              <a:spcPct val="20000"/>
            </a:spcAft>
            <a:buFont typeface="Arial" panose="020B0604020202020204" pitchFamily="34" charset="0"/>
            <a:buChar char="•"/>
          </a:pPr>
          <a:r>
            <a:rPr lang="en-GB" sz="1050" kern="1200"/>
            <a:t>litigation expenses </a:t>
          </a:r>
        </a:p>
      </dsp:txBody>
      <dsp:txXfrm>
        <a:off x="0" y="2437333"/>
        <a:ext cx="5735319" cy="28503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79A8C8-0D72-F246-A0B9-FD75769B9302}">
      <dsp:nvSpPr>
        <dsp:cNvPr id="0" name=""/>
        <dsp:cNvSpPr/>
      </dsp:nvSpPr>
      <dsp:spPr>
        <a:xfrm>
          <a:off x="0" y="23394"/>
          <a:ext cx="6053455" cy="52416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t>Strenghts</a:t>
          </a:r>
        </a:p>
      </dsp:txBody>
      <dsp:txXfrm>
        <a:off x="25587" y="48981"/>
        <a:ext cx="6002281" cy="472986"/>
      </dsp:txXfrm>
    </dsp:sp>
    <dsp:sp modelId="{4AC45F35-8E49-5E43-926B-B4906B3A0BD8}">
      <dsp:nvSpPr>
        <dsp:cNvPr id="0" name=""/>
        <dsp:cNvSpPr/>
      </dsp:nvSpPr>
      <dsp:spPr>
        <a:xfrm>
          <a:off x="0" y="547554"/>
          <a:ext cx="6053455" cy="28400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197"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i="0" kern="1200"/>
            <a:t>Market Presence</a:t>
          </a:r>
          <a:endParaRPr lang="en-GB" sz="1050" b="0" i="0" kern="1200"/>
        </a:p>
        <a:p>
          <a:pPr marL="114300" lvl="2" indent="-57150" algn="l" defTabSz="466725">
            <a:lnSpc>
              <a:spcPct val="90000"/>
            </a:lnSpc>
            <a:spcBef>
              <a:spcPct val="0"/>
            </a:spcBef>
            <a:spcAft>
              <a:spcPct val="20000"/>
            </a:spcAft>
            <a:buChar char="•"/>
          </a:pPr>
          <a:r>
            <a:rPr lang="en-GB" sz="1050" b="0" i="0" kern="1200"/>
            <a:t>Operating globally with International revenue accounting for almost 60% of the total operating income.</a:t>
          </a:r>
        </a:p>
        <a:p>
          <a:pPr marL="57150" lvl="1" indent="-57150" algn="l" defTabSz="466725">
            <a:lnSpc>
              <a:spcPct val="90000"/>
            </a:lnSpc>
            <a:spcBef>
              <a:spcPct val="0"/>
            </a:spcBef>
            <a:spcAft>
              <a:spcPct val="20000"/>
            </a:spcAft>
            <a:buChar char="•"/>
          </a:pPr>
          <a:r>
            <a:rPr lang="en-GB" sz="1050" b="1" i="0" kern="1200"/>
            <a:t>Brand and Marketing</a:t>
          </a:r>
        </a:p>
        <a:p>
          <a:pPr marL="57150" lvl="1" indent="-57150" algn="l" defTabSz="466725">
            <a:lnSpc>
              <a:spcPct val="90000"/>
            </a:lnSpc>
            <a:spcBef>
              <a:spcPct val="0"/>
            </a:spcBef>
            <a:spcAft>
              <a:spcPct val="20000"/>
            </a:spcAft>
            <a:buChar char="•"/>
          </a:pPr>
          <a:r>
            <a:rPr lang="en-GB" sz="1050" b="0" i="0" kern="1200"/>
            <a:t>Strong brand delivering added value to clients and customers offering a wide range of products and services. Sponsoring and partnering several major events including the FIFA World Cup and the Olympic Games.</a:t>
          </a:r>
          <a:endParaRPr lang="en-GB" sz="1050" b="1" i="0" kern="1200"/>
        </a:p>
        <a:p>
          <a:pPr marL="57150" lvl="1" indent="-57150" algn="l" defTabSz="466725">
            <a:lnSpc>
              <a:spcPct val="90000"/>
            </a:lnSpc>
            <a:spcBef>
              <a:spcPct val="0"/>
            </a:spcBef>
            <a:spcAft>
              <a:spcPct val="20000"/>
            </a:spcAft>
            <a:buChar char="•"/>
          </a:pPr>
          <a:r>
            <a:rPr lang="en-GB" sz="1050" b="1" i="0" kern="1200"/>
            <a:t>Proprietary Network</a:t>
          </a:r>
        </a:p>
        <a:p>
          <a:pPr marL="114300" lvl="2" indent="-57150" algn="l" defTabSz="466725">
            <a:lnSpc>
              <a:spcPct val="90000"/>
            </a:lnSpc>
            <a:spcBef>
              <a:spcPct val="0"/>
            </a:spcBef>
            <a:spcAft>
              <a:spcPct val="20000"/>
            </a:spcAft>
            <a:buChar char="•"/>
          </a:pPr>
          <a:r>
            <a:rPr lang="en-GB" sz="1050" b="0" i="0" kern="1200"/>
            <a:t>VisaNet can authorise up to 56,000 transactions per second in multiple currencies. 'Network of networks' offering a single connection point for senders and receivers to enable momey movement to all endpoints on all available networks..</a:t>
          </a:r>
          <a:endParaRPr lang="en-GB" sz="1050" b="1" i="0" kern="1200"/>
        </a:p>
        <a:p>
          <a:pPr marL="57150" lvl="1" indent="-57150" algn="l" defTabSz="466725">
            <a:lnSpc>
              <a:spcPct val="90000"/>
            </a:lnSpc>
            <a:spcBef>
              <a:spcPct val="0"/>
            </a:spcBef>
            <a:spcAft>
              <a:spcPct val="20000"/>
            </a:spcAft>
            <a:buChar char="•"/>
          </a:pPr>
          <a:r>
            <a:rPr lang="en-GB" sz="1050" b="1" i="0" kern="1200"/>
            <a:t>Security</a:t>
          </a:r>
        </a:p>
        <a:p>
          <a:pPr marL="114300" lvl="2" indent="-57150" algn="l" defTabSz="466725">
            <a:lnSpc>
              <a:spcPct val="90000"/>
            </a:lnSpc>
            <a:spcBef>
              <a:spcPct val="0"/>
            </a:spcBef>
            <a:spcAft>
              <a:spcPct val="20000"/>
            </a:spcAft>
            <a:buChar char="•"/>
          </a:pPr>
          <a:r>
            <a:rPr lang="en-GB" sz="1050" b="0" i="0" kern="1200"/>
            <a:t>Deploying security tools to keep clients and consumers safe, technologies to strenghten data confidentiality, integrity of proprietary network and service availability. Investing in a comprehensive approach to cybersecurity. </a:t>
          </a:r>
        </a:p>
        <a:p>
          <a:pPr marL="57150" lvl="1" indent="-57150" algn="l" defTabSz="466725">
            <a:lnSpc>
              <a:spcPct val="90000"/>
            </a:lnSpc>
            <a:spcBef>
              <a:spcPct val="0"/>
            </a:spcBef>
            <a:spcAft>
              <a:spcPct val="20000"/>
            </a:spcAft>
            <a:buChar char="•"/>
          </a:pPr>
          <a:r>
            <a:rPr lang="en-GB" sz="1050" b="1" i="0" kern="1200"/>
            <a:t>Talent</a:t>
          </a:r>
        </a:p>
        <a:p>
          <a:pPr marL="114300" lvl="2" indent="-57150" algn="l" defTabSz="466725">
            <a:lnSpc>
              <a:spcPct val="90000"/>
            </a:lnSpc>
            <a:spcBef>
              <a:spcPct val="0"/>
            </a:spcBef>
            <a:spcAft>
              <a:spcPct val="20000"/>
            </a:spcAft>
            <a:buChar char="•"/>
          </a:pPr>
          <a:r>
            <a:rPr lang="en-GB" sz="1050" i="0" kern="1200"/>
            <a:t>Attracting, developing and advancing the best talent globally, with a very diverse workforce. Strong focus on personal development and individual goal resulting in a very low voluntary workforce turnover.</a:t>
          </a:r>
          <a:endParaRPr lang="en-GB" sz="1050" b="1" i="0" kern="1200"/>
        </a:p>
      </dsp:txBody>
      <dsp:txXfrm>
        <a:off x="0" y="547554"/>
        <a:ext cx="6053455" cy="2840040"/>
      </dsp:txXfrm>
    </dsp:sp>
    <dsp:sp modelId="{3B6F52B2-4324-D04A-846B-8D0E48002453}">
      <dsp:nvSpPr>
        <dsp:cNvPr id="0" name=""/>
        <dsp:cNvSpPr/>
      </dsp:nvSpPr>
      <dsp:spPr>
        <a:xfrm>
          <a:off x="0" y="3387595"/>
          <a:ext cx="6053455" cy="524160"/>
        </a:xfrm>
        <a:prstGeom prst="roundRect">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t>Weaknesses</a:t>
          </a:r>
        </a:p>
      </dsp:txBody>
      <dsp:txXfrm>
        <a:off x="25587" y="3413182"/>
        <a:ext cx="6002281" cy="472986"/>
      </dsp:txXfrm>
    </dsp:sp>
    <dsp:sp modelId="{1A608BB0-01A4-FE48-8FEF-30F3DC1D9D43}">
      <dsp:nvSpPr>
        <dsp:cNvPr id="0" name=""/>
        <dsp:cNvSpPr/>
      </dsp:nvSpPr>
      <dsp:spPr>
        <a:xfrm>
          <a:off x="0" y="3911755"/>
          <a:ext cx="6053455" cy="1535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197"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kern="1200"/>
            <a:t>Tax Examinations and Disputes</a:t>
          </a:r>
        </a:p>
        <a:p>
          <a:pPr marL="114300" lvl="2" indent="-57150" algn="l" defTabSz="466725">
            <a:lnSpc>
              <a:spcPct val="90000"/>
            </a:lnSpc>
            <a:spcBef>
              <a:spcPct val="0"/>
            </a:spcBef>
            <a:spcAft>
              <a:spcPct val="20000"/>
            </a:spcAft>
            <a:buChar char="•"/>
          </a:pPr>
          <a:r>
            <a:rPr lang="en-GB" sz="1050" kern="1200"/>
            <a:t>Relevant tax authorities may disagree with tax treatment of certain material items and thereby increase tax liability. Visa is currently under examination/in disputes with IRS, HMRC and other tax authorities.</a:t>
          </a:r>
          <a:endParaRPr lang="en-GB" sz="1050" b="0" kern="1200"/>
        </a:p>
        <a:p>
          <a:pPr marL="57150" lvl="1" indent="-57150" algn="l" defTabSz="466725">
            <a:lnSpc>
              <a:spcPct val="90000"/>
            </a:lnSpc>
            <a:spcBef>
              <a:spcPct val="0"/>
            </a:spcBef>
            <a:spcAft>
              <a:spcPct val="20000"/>
            </a:spcAft>
            <a:buChar char="•"/>
          </a:pPr>
          <a:r>
            <a:rPr lang="en-GB" sz="1050" b="1" kern="1200"/>
            <a:t>Litigations</a:t>
          </a:r>
        </a:p>
        <a:p>
          <a:pPr marL="114300" lvl="2" indent="-57150" algn="l" defTabSz="466725">
            <a:lnSpc>
              <a:spcPct val="90000"/>
            </a:lnSpc>
            <a:spcBef>
              <a:spcPct val="0"/>
            </a:spcBef>
            <a:spcAft>
              <a:spcPct val="20000"/>
            </a:spcAft>
            <a:buChar char="•"/>
          </a:pPr>
          <a:r>
            <a:rPr lang="en-GB" sz="1050" kern="1200"/>
            <a:t>Involved in numerous litigations/investigations/proceedings for violations of competition and antitrust law, consumer protection law, privacy law and intellectual property law.</a:t>
          </a:r>
        </a:p>
        <a:p>
          <a:pPr marL="57150" lvl="1" indent="-57150" algn="l" defTabSz="466725">
            <a:lnSpc>
              <a:spcPct val="90000"/>
            </a:lnSpc>
            <a:spcBef>
              <a:spcPct val="0"/>
            </a:spcBef>
            <a:spcAft>
              <a:spcPct val="20000"/>
            </a:spcAft>
            <a:buChar char="•"/>
          </a:pPr>
          <a:r>
            <a:rPr lang="en-GB" sz="1050" b="1" kern="1200"/>
            <a:t>Clients Dependency</a:t>
          </a:r>
        </a:p>
        <a:p>
          <a:pPr marL="114300" lvl="2" indent="-57150" algn="l" defTabSz="466725">
            <a:lnSpc>
              <a:spcPct val="90000"/>
            </a:lnSpc>
            <a:spcBef>
              <a:spcPct val="0"/>
            </a:spcBef>
            <a:spcAft>
              <a:spcPct val="20000"/>
            </a:spcAft>
            <a:buChar char="•"/>
          </a:pPr>
          <a:r>
            <a:rPr lang="en-GB" sz="1050" b="0" kern="1200"/>
            <a:t>Revenues and profits are dependent on client and merchant which may be costly to win, retain and develop and can </a:t>
          </a:r>
          <a:r>
            <a:rPr lang="en-GB" sz="1050" kern="1200"/>
            <a:t>reassess their commitments at any time.</a:t>
          </a:r>
          <a:endParaRPr lang="en-GB" sz="1050" b="0" kern="1200"/>
        </a:p>
      </dsp:txBody>
      <dsp:txXfrm>
        <a:off x="0" y="3911755"/>
        <a:ext cx="6053455" cy="1535940"/>
      </dsp:txXfrm>
    </dsp:sp>
    <dsp:sp modelId="{2AECE520-FFFA-F543-80AA-B76E250A90BD}">
      <dsp:nvSpPr>
        <dsp:cNvPr id="0" name=""/>
        <dsp:cNvSpPr/>
      </dsp:nvSpPr>
      <dsp:spPr>
        <a:xfrm>
          <a:off x="0" y="5447695"/>
          <a:ext cx="6053455" cy="524160"/>
        </a:xfrm>
        <a:prstGeom prst="roundRect">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t>Opportunities</a:t>
          </a:r>
          <a:endParaRPr lang="en-GB" sz="1100" b="1" kern="1200"/>
        </a:p>
      </dsp:txBody>
      <dsp:txXfrm>
        <a:off x="25587" y="5473282"/>
        <a:ext cx="6002281" cy="472986"/>
      </dsp:txXfrm>
    </dsp:sp>
    <dsp:sp modelId="{7F62B7D0-753B-5F40-8C2D-89C2EB6A5680}">
      <dsp:nvSpPr>
        <dsp:cNvPr id="0" name=""/>
        <dsp:cNvSpPr/>
      </dsp:nvSpPr>
      <dsp:spPr>
        <a:xfrm>
          <a:off x="0" y="5971855"/>
          <a:ext cx="6053455" cy="11592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197"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kern="1200"/>
            <a:t>Digital Transition</a:t>
          </a:r>
        </a:p>
        <a:p>
          <a:pPr marL="114300" lvl="2" indent="-57150" algn="l" defTabSz="466725">
            <a:lnSpc>
              <a:spcPct val="90000"/>
            </a:lnSpc>
            <a:spcBef>
              <a:spcPct val="0"/>
            </a:spcBef>
            <a:spcAft>
              <a:spcPct val="20000"/>
            </a:spcAft>
            <a:buChar char="•"/>
          </a:pPr>
          <a:r>
            <a:rPr lang="en-GB" sz="1050" kern="1200"/>
            <a:t>Technology and innovation are shifting consumer habits and driving growth opportunities in ecommerce, mobile payments, blockchain technology and digital currencies. Visa </a:t>
          </a:r>
          <a:r>
            <a:rPr lang="en-GB" sz="1050" b="0" i="1" kern="1200"/>
            <a:t>Value Added Services</a:t>
          </a:r>
          <a:r>
            <a:rPr lang="en-GB" sz="1050" b="1" i="1" kern="1200"/>
            <a:t> </a:t>
          </a:r>
          <a:r>
            <a:rPr lang="en-GB" sz="1050" kern="1200"/>
            <a:t>enable traditional clients and new partners to deliver secure, reliable and convenient payments. </a:t>
          </a:r>
        </a:p>
        <a:p>
          <a:pPr marL="57150" lvl="1" indent="-57150" algn="l" defTabSz="466725">
            <a:lnSpc>
              <a:spcPct val="90000"/>
            </a:lnSpc>
            <a:spcBef>
              <a:spcPct val="0"/>
            </a:spcBef>
            <a:spcAft>
              <a:spcPct val="20000"/>
            </a:spcAft>
            <a:buChar char="•"/>
          </a:pPr>
          <a:r>
            <a:rPr lang="en-GB" sz="1050" b="1" i="1" kern="1200"/>
            <a:t>'New Flows'</a:t>
          </a:r>
          <a:endParaRPr lang="en-GB" sz="1050" kern="1200"/>
        </a:p>
        <a:p>
          <a:pPr marL="114300" lvl="2" indent="-57150" algn="l" defTabSz="466725">
            <a:lnSpc>
              <a:spcPct val="90000"/>
            </a:lnSpc>
            <a:spcBef>
              <a:spcPct val="0"/>
            </a:spcBef>
            <a:spcAft>
              <a:spcPct val="20000"/>
            </a:spcAft>
            <a:buChar char="•"/>
          </a:pPr>
          <a:r>
            <a:rPr lang="en-GB" sz="1050" kern="1200"/>
            <a:t>B2B, B2C, G2C and P2P payments are creating new and wider sources of income. Expanding presence in these fIows generates additional transactions and volume on the Visa network.</a:t>
          </a:r>
        </a:p>
      </dsp:txBody>
      <dsp:txXfrm>
        <a:off x="0" y="5971855"/>
        <a:ext cx="6053455" cy="1159200"/>
      </dsp:txXfrm>
    </dsp:sp>
    <dsp:sp modelId="{395A7CC2-7EE8-E14E-B20C-5DB3452F63D3}">
      <dsp:nvSpPr>
        <dsp:cNvPr id="0" name=""/>
        <dsp:cNvSpPr/>
      </dsp:nvSpPr>
      <dsp:spPr>
        <a:xfrm>
          <a:off x="0" y="7131055"/>
          <a:ext cx="6053455" cy="524160"/>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t>Threats</a:t>
          </a:r>
          <a:endParaRPr lang="en-GB" sz="1100" b="1" kern="1200"/>
        </a:p>
      </dsp:txBody>
      <dsp:txXfrm>
        <a:off x="25587" y="7156642"/>
        <a:ext cx="6002281" cy="472986"/>
      </dsp:txXfrm>
    </dsp:sp>
    <dsp:sp modelId="{963A27C0-807A-FD40-91CA-795C66105D95}">
      <dsp:nvSpPr>
        <dsp:cNvPr id="0" name=""/>
        <dsp:cNvSpPr/>
      </dsp:nvSpPr>
      <dsp:spPr>
        <a:xfrm>
          <a:off x="0" y="7655215"/>
          <a:ext cx="6053455" cy="13041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2197" tIns="13970" rIns="78232" bIns="13970" numCol="1" spcCol="1270" anchor="t" anchorCtr="0">
          <a:noAutofit/>
        </a:bodyPr>
        <a:lstStyle/>
        <a:p>
          <a:pPr marL="57150" lvl="1" indent="-57150" algn="l" defTabSz="466725">
            <a:lnSpc>
              <a:spcPct val="90000"/>
            </a:lnSpc>
            <a:spcBef>
              <a:spcPct val="0"/>
            </a:spcBef>
            <a:spcAft>
              <a:spcPct val="20000"/>
            </a:spcAft>
            <a:buChar char="•"/>
          </a:pPr>
          <a:r>
            <a:rPr lang="en-GB" sz="1050" b="1" kern="1200"/>
            <a:t>Competition</a:t>
          </a:r>
        </a:p>
        <a:p>
          <a:pPr marL="114300" lvl="2" indent="-57150" algn="l" defTabSz="466725">
            <a:lnSpc>
              <a:spcPct val="90000"/>
            </a:lnSpc>
            <a:spcBef>
              <a:spcPct val="0"/>
            </a:spcBef>
            <a:spcAft>
              <a:spcPct val="20000"/>
            </a:spcAft>
            <a:buChar char="•"/>
          </a:pPr>
          <a:r>
            <a:rPr lang="en-GB" sz="1050" b="0" kern="1200"/>
            <a:t>Existing and emerging competitors taking advantage of shifting consumer habits and growth opportunities in non-traditional network payment models; Visa competes against </a:t>
          </a:r>
          <a:r>
            <a:rPr lang="en-GB" sz="1050" b="0" i="1" kern="1200"/>
            <a:t>all</a:t>
          </a:r>
          <a:r>
            <a:rPr lang="en-GB" sz="1050" b="0" kern="1200"/>
            <a:t> forms of payment from paper-based to all kinds of electronic ones.</a:t>
          </a:r>
        </a:p>
        <a:p>
          <a:pPr marL="57150" lvl="1" indent="-57150" algn="l" defTabSz="466725">
            <a:lnSpc>
              <a:spcPct val="90000"/>
            </a:lnSpc>
            <a:spcBef>
              <a:spcPct val="0"/>
            </a:spcBef>
            <a:spcAft>
              <a:spcPct val="20000"/>
            </a:spcAft>
            <a:buChar char="•"/>
          </a:pPr>
          <a:r>
            <a:rPr lang="en-GB" sz="1050" b="1" kern="1200"/>
            <a:t>Government Regulations</a:t>
          </a:r>
        </a:p>
        <a:p>
          <a:pPr marL="114300" lvl="2" indent="-57150" algn="l" defTabSz="466725">
            <a:lnSpc>
              <a:spcPct val="90000"/>
            </a:lnSpc>
            <a:spcBef>
              <a:spcPct val="0"/>
            </a:spcBef>
            <a:spcAft>
              <a:spcPct val="20000"/>
            </a:spcAft>
            <a:buChar char="•"/>
          </a:pPr>
          <a:r>
            <a:rPr lang="en-GB" sz="1050" kern="1200"/>
            <a:t>Subjection to complex and evolving global regulations in various jurisdictions is which products and services are used (i.e. China favouring the growth of national UnionPay (which is now also expanding globally) and BRICS countries lessening dependance on western payment systems).</a:t>
          </a:r>
        </a:p>
      </dsp:txBody>
      <dsp:txXfrm>
        <a:off x="0" y="7655215"/>
        <a:ext cx="6053455" cy="13041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B3B6D-7B01-8D44-8FD0-772A78B1524A}">
      <dsp:nvSpPr>
        <dsp:cNvPr id="0" name=""/>
        <dsp:cNvSpPr/>
      </dsp:nvSpPr>
      <dsp:spPr>
        <a:xfrm rot="5400000">
          <a:off x="3464131" y="-1782859"/>
          <a:ext cx="738266" cy="4491721"/>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Firms must operate in the regulatory framework imposed by the countries in which business is conducted. Government intervention might have a positive impact instilling public confidence in financial services but dysfunctional politics lead to output and revenue decline.</a:t>
          </a:r>
        </a:p>
      </dsp:txBody>
      <dsp:txXfrm rot="-5400000">
        <a:off x="1587404" y="129907"/>
        <a:ext cx="4455682" cy="666188"/>
      </dsp:txXfrm>
    </dsp:sp>
    <dsp:sp modelId="{9EE32112-279B-A143-A681-C2EED0702A5C}">
      <dsp:nvSpPr>
        <dsp:cNvPr id="0" name=""/>
        <dsp:cNvSpPr/>
      </dsp:nvSpPr>
      <dsp:spPr>
        <a:xfrm>
          <a:off x="127" y="1585"/>
          <a:ext cx="1587275" cy="922833"/>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Political</a:t>
          </a:r>
        </a:p>
      </dsp:txBody>
      <dsp:txXfrm>
        <a:off x="45176" y="46634"/>
        <a:ext cx="1497177" cy="832735"/>
      </dsp:txXfrm>
    </dsp:sp>
    <dsp:sp modelId="{A9C6576B-973D-724F-955E-A88ED1D8D9C1}">
      <dsp:nvSpPr>
        <dsp:cNvPr id="0" name=""/>
        <dsp:cNvSpPr/>
      </dsp:nvSpPr>
      <dsp:spPr>
        <a:xfrm rot="5400000">
          <a:off x="3464092" y="-813844"/>
          <a:ext cx="738266" cy="4491643"/>
        </a:xfrm>
        <a:prstGeom prst="round2SameRect">
          <a:avLst/>
        </a:prstGeom>
        <a:solidFill>
          <a:schemeClr val="accent4">
            <a:tint val="40000"/>
            <a:alpha val="90000"/>
            <a:hueOff val="2172385"/>
            <a:satOff val="-10249"/>
            <a:lumOff val="-370"/>
            <a:alphaOff val="0"/>
          </a:schemeClr>
        </a:solidFill>
        <a:ln w="12700" cap="flat" cmpd="sng" algn="ctr">
          <a:solidFill>
            <a:schemeClr val="accent4">
              <a:tint val="40000"/>
              <a:alpha val="90000"/>
              <a:hueOff val="2172385"/>
              <a:satOff val="-10249"/>
              <a:lumOff val="-37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Macroeconomic factors determine growth or decline of the industry. During recessions or periods of high inflation rates, profitability is affected negatively as less clients take on debt or are able to repay it, however in a growing economy demand for debt financing is most likely to go up driving revenue.</a:t>
          </a:r>
        </a:p>
      </dsp:txBody>
      <dsp:txXfrm rot="-5400000">
        <a:off x="1587404" y="1098883"/>
        <a:ext cx="4455604" cy="666188"/>
      </dsp:txXfrm>
    </dsp:sp>
    <dsp:sp modelId="{B93067D1-17B9-A646-81B9-0F98324E4DF8}">
      <dsp:nvSpPr>
        <dsp:cNvPr id="0" name=""/>
        <dsp:cNvSpPr/>
      </dsp:nvSpPr>
      <dsp:spPr>
        <a:xfrm>
          <a:off x="127" y="970560"/>
          <a:ext cx="1587275" cy="922833"/>
        </a:xfrm>
        <a:prstGeom prst="roundRect">
          <a:avLst/>
        </a:prstGeom>
        <a:solidFill>
          <a:schemeClr val="accent4">
            <a:hueOff val="1960178"/>
            <a:satOff val="-8155"/>
            <a:lumOff val="1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Economic</a:t>
          </a:r>
        </a:p>
      </dsp:txBody>
      <dsp:txXfrm>
        <a:off x="45176" y="1015609"/>
        <a:ext cx="1497177" cy="832735"/>
      </dsp:txXfrm>
    </dsp:sp>
    <dsp:sp modelId="{41698DC8-168E-A74B-818B-D5D1D840F486}">
      <dsp:nvSpPr>
        <dsp:cNvPr id="0" name=""/>
        <dsp:cNvSpPr/>
      </dsp:nvSpPr>
      <dsp:spPr>
        <a:xfrm rot="5400000">
          <a:off x="3462955" y="154738"/>
          <a:ext cx="738266" cy="4492427"/>
        </a:xfrm>
        <a:prstGeom prst="round2SameRect">
          <a:avLst/>
        </a:prstGeom>
        <a:solidFill>
          <a:schemeClr val="accent4">
            <a:tint val="40000"/>
            <a:alpha val="90000"/>
            <a:hueOff val="4344770"/>
            <a:satOff val="-20498"/>
            <a:lumOff val="-740"/>
            <a:alphaOff val="0"/>
          </a:schemeClr>
        </a:solidFill>
        <a:ln w="12700" cap="flat" cmpd="sng" algn="ctr">
          <a:solidFill>
            <a:schemeClr val="accent4">
              <a:tint val="40000"/>
              <a:alpha val="90000"/>
              <a:hueOff val="4344770"/>
              <a:satOff val="-20498"/>
              <a:lumOff val="-74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Changes in population and lifestyle are paramount. An aging population switches its interest towards retirement plans while younger customers are more prone to the usage of credit and debit cards and digital currencies. Morevoer, in some countries there is a lack of trust towards banks and a vast majority of the population relies on cash.</a:t>
          </a:r>
        </a:p>
      </dsp:txBody>
      <dsp:txXfrm rot="-5400000">
        <a:off x="1585875" y="2067858"/>
        <a:ext cx="4456388" cy="666188"/>
      </dsp:txXfrm>
    </dsp:sp>
    <dsp:sp modelId="{9BB4FA13-9BE2-4D45-B1BF-62F7AEFF6539}">
      <dsp:nvSpPr>
        <dsp:cNvPr id="0" name=""/>
        <dsp:cNvSpPr/>
      </dsp:nvSpPr>
      <dsp:spPr>
        <a:xfrm>
          <a:off x="127" y="1939535"/>
          <a:ext cx="1585747" cy="922833"/>
        </a:xfrm>
        <a:prstGeom prst="roundRect">
          <a:avLst/>
        </a:prstGeom>
        <a:solidFill>
          <a:schemeClr val="accent4">
            <a:hueOff val="3920356"/>
            <a:satOff val="-16311"/>
            <a:lumOff val="3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Social</a:t>
          </a:r>
        </a:p>
      </dsp:txBody>
      <dsp:txXfrm>
        <a:off x="45176" y="1984584"/>
        <a:ext cx="1495649" cy="832735"/>
      </dsp:txXfrm>
    </dsp:sp>
    <dsp:sp modelId="{0F4C059B-0073-3C4F-B8F7-3507829949D7}">
      <dsp:nvSpPr>
        <dsp:cNvPr id="0" name=""/>
        <dsp:cNvSpPr/>
      </dsp:nvSpPr>
      <dsp:spPr>
        <a:xfrm rot="5400000">
          <a:off x="3463588" y="1124630"/>
          <a:ext cx="738266" cy="4490593"/>
        </a:xfrm>
        <a:prstGeom prst="round2SameRect">
          <a:avLst/>
        </a:prstGeom>
        <a:solidFill>
          <a:schemeClr val="accent4">
            <a:tint val="40000"/>
            <a:alpha val="90000"/>
            <a:hueOff val="6517155"/>
            <a:satOff val="-30747"/>
            <a:lumOff val="-1111"/>
            <a:alphaOff val="0"/>
          </a:schemeClr>
        </a:solidFill>
        <a:ln w="12700" cap="flat" cmpd="sng" algn="ctr">
          <a:solidFill>
            <a:schemeClr val="accent4">
              <a:tint val="40000"/>
              <a:alpha val="90000"/>
              <a:hueOff val="6517155"/>
              <a:satOff val="-30747"/>
              <a:lumOff val="-111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Technological evolution in recent years led to the rise of FinTech. Financial institutions implemented technology-based processes in their systems and are exploring new possibilities with Blockchain and AI. Customers have access to a growing number of online medium. However glitches and hackers can disrupt the services provided.</a:t>
          </a:r>
        </a:p>
      </dsp:txBody>
      <dsp:txXfrm rot="-5400000">
        <a:off x="1587425" y="3036833"/>
        <a:ext cx="4454554" cy="666188"/>
      </dsp:txXfrm>
    </dsp:sp>
    <dsp:sp modelId="{6024DEE9-AA13-4C44-8CA6-F6A22165D875}">
      <dsp:nvSpPr>
        <dsp:cNvPr id="0" name=""/>
        <dsp:cNvSpPr/>
      </dsp:nvSpPr>
      <dsp:spPr>
        <a:xfrm>
          <a:off x="127" y="2908510"/>
          <a:ext cx="1587297" cy="922833"/>
        </a:xfrm>
        <a:prstGeom prst="roundRect">
          <a:avLst/>
        </a:prstGeom>
        <a:solidFill>
          <a:schemeClr val="accent4">
            <a:hueOff val="5880535"/>
            <a:satOff val="-24466"/>
            <a:lumOff val="5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Technological</a:t>
          </a:r>
        </a:p>
      </dsp:txBody>
      <dsp:txXfrm>
        <a:off x="45176" y="2953559"/>
        <a:ext cx="1497199" cy="832735"/>
      </dsp:txXfrm>
    </dsp:sp>
    <dsp:sp modelId="{B1105836-0589-BE41-B0F9-2D6C32071FC5}">
      <dsp:nvSpPr>
        <dsp:cNvPr id="0" name=""/>
        <dsp:cNvSpPr/>
      </dsp:nvSpPr>
      <dsp:spPr>
        <a:xfrm rot="5400000">
          <a:off x="3463566" y="2093606"/>
          <a:ext cx="738266" cy="4490593"/>
        </a:xfrm>
        <a:prstGeom prst="round2SameRect">
          <a:avLst/>
        </a:prstGeom>
        <a:solidFill>
          <a:schemeClr val="accent4">
            <a:tint val="40000"/>
            <a:alpha val="90000"/>
            <a:hueOff val="8689540"/>
            <a:satOff val="-40996"/>
            <a:lumOff val="-1481"/>
            <a:alphaOff val="0"/>
          </a:schemeClr>
        </a:solidFill>
        <a:ln w="12700" cap="flat" cmpd="sng" algn="ctr">
          <a:solidFill>
            <a:schemeClr val="accent4">
              <a:tint val="40000"/>
              <a:alpha val="90000"/>
              <a:hueOff val="8689540"/>
              <a:satOff val="-40996"/>
              <a:lumOff val="-148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ESG is now a predominant subject in many firms. Steps are being taken towards more sustainable business conduct including switching to paperless statements, cutting on emissions and aiming for net zero targets and promoting environment friendly practices such has recycling and recollection of discarded credit cards</a:t>
          </a:r>
        </a:p>
      </dsp:txBody>
      <dsp:txXfrm rot="-5400000">
        <a:off x="1587403" y="4005809"/>
        <a:ext cx="4454554" cy="666188"/>
      </dsp:txXfrm>
    </dsp:sp>
    <dsp:sp modelId="{D4E41273-D766-3348-B45A-19FD86BEB9E3}">
      <dsp:nvSpPr>
        <dsp:cNvPr id="0" name=""/>
        <dsp:cNvSpPr/>
      </dsp:nvSpPr>
      <dsp:spPr>
        <a:xfrm>
          <a:off x="127" y="3877486"/>
          <a:ext cx="1587275" cy="922833"/>
        </a:xfrm>
        <a:prstGeom prst="roundRect">
          <a:avLst/>
        </a:prstGeom>
        <a:solidFill>
          <a:schemeClr val="accent4">
            <a:hueOff val="7840713"/>
            <a:satOff val="-32622"/>
            <a:lumOff val="768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Environmental</a:t>
          </a:r>
        </a:p>
      </dsp:txBody>
      <dsp:txXfrm>
        <a:off x="45176" y="3922535"/>
        <a:ext cx="1497177" cy="832735"/>
      </dsp:txXfrm>
    </dsp:sp>
    <dsp:sp modelId="{AEB9A557-DDA3-E440-A2C9-094FC9F0B13A}">
      <dsp:nvSpPr>
        <dsp:cNvPr id="0" name=""/>
        <dsp:cNvSpPr/>
      </dsp:nvSpPr>
      <dsp:spPr>
        <a:xfrm rot="5400000">
          <a:off x="3462761" y="3061858"/>
          <a:ext cx="738266" cy="4492038"/>
        </a:xfrm>
        <a:prstGeom prst="round2SameRect">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GB" sz="900" kern="1200"/>
            <a:t>Firms must follow rules set by central banks and also comply with local laws and regulators to ensure consumer data protection, prevention of fraud and financial crimes and adherence to employment and labor laws.</a:t>
          </a:r>
        </a:p>
      </dsp:txBody>
      <dsp:txXfrm rot="-5400000">
        <a:off x="1585876" y="4974783"/>
        <a:ext cx="4455999" cy="666188"/>
      </dsp:txXfrm>
    </dsp:sp>
    <dsp:sp modelId="{571E8E2B-971E-BC4D-8A31-DECBD6734C70}">
      <dsp:nvSpPr>
        <dsp:cNvPr id="0" name=""/>
        <dsp:cNvSpPr/>
      </dsp:nvSpPr>
      <dsp:spPr>
        <a:xfrm>
          <a:off x="127" y="4846461"/>
          <a:ext cx="1585747" cy="922833"/>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GB" sz="1600" b="1" kern="1200"/>
            <a:t>Legal</a:t>
          </a:r>
        </a:p>
      </dsp:txBody>
      <dsp:txXfrm>
        <a:off x="45176" y="4891510"/>
        <a:ext cx="1495649" cy="83273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C4029-0994-4B82-AE40-27AF2EB7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6</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Rapicano</dc:creator>
  <cp:keywords/>
  <dc:description/>
  <cp:lastModifiedBy>David Rapicano</cp:lastModifiedBy>
  <cp:revision>8</cp:revision>
  <cp:lastPrinted>2023-07-02T12:00:00Z</cp:lastPrinted>
  <dcterms:created xsi:type="dcterms:W3CDTF">2023-07-04T15:39:00Z</dcterms:created>
  <dcterms:modified xsi:type="dcterms:W3CDTF">2023-07-05T15:10:00Z</dcterms:modified>
</cp:coreProperties>
</file>