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14CC" w:rsidP="286419BA" w:rsidRDefault="00FE14CC" w14:paraId="7F505185" w14:textId="2AE5392D">
      <w:p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Revenue drivers for </w:t>
      </w:r>
      <w:r w:rsidRPr="286419BA" w:rsidR="62BF73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Mariott</w:t>
      </w: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inc</w:t>
      </w:r>
      <w:r w:rsidRPr="286419BA" w:rsidR="386BCFC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</w:p>
    <w:p w:rsidR="00FE14CC" w:rsidP="286419BA" w:rsidRDefault="00FE14CC" w14:paraId="3659FABB" w14:textId="5A2E2CA3">
      <w:pPr>
        <w:pStyle w:val="Normal"/>
      </w:pPr>
      <w:r w:rsidRPr="21EC3314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Base Management and Incentive Management Fees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: For </w:t>
      </w:r>
      <w:r w:rsidRPr="21EC3314" w:rsidR="126FB9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Mariott's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managed hotels, the company has performance obligations to 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provide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hotel management services and a license to its intellectual property for the use of its brand names. As compensation for such services, the company receives base fees, which are a percentage of the revenues of hotels, and incentive management fees, which are 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generally based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on a measure of hotel profitability. Both the base and incentive management fees are variable consideration, as the transaction price is based on a percentage of revenue or profit, as defined in each contract. 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Mariott recognizes base management fees on a monthly basis over the term of the agreement as those amounts become payable.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3063C1C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Mariott recognize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incentive management fees </w:t>
      </w:r>
      <w:r w:rsidRPr="21EC3314" w:rsidR="4F62AD8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monthly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over the term of the agreement based on each property’s financial results, 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as long as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the company </w:t>
      </w:r>
      <w:r w:rsidRPr="21EC3314" w:rsidR="38BB36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does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not expect a significant reversal due to projected future hotel performance or cash flows in future periods. </w:t>
      </w:r>
    </w:p>
    <w:p w:rsidR="00FE14CC" w:rsidP="286419BA" w:rsidRDefault="00FE14CC" w14:paraId="547A30AB" w14:textId="4F141289">
      <w:pPr>
        <w:pStyle w:val="Normal"/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="00FE14CC" w:rsidP="286419BA" w:rsidRDefault="00FE14CC" w14:paraId="45919D5E" w14:textId="0EBFC7B2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72C538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Franchise Fee and Royalty Fee Revenue: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For Mariott franchised hotels, the company has a performance obligation to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provide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franchisees and </w:t>
      </w:r>
      <w:r w:rsidRPr="3572C538" w:rsidR="2067CBE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operators with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license to our intellectual property for use of certain of our brand names. As compensation for such services, </w:t>
      </w:r>
      <w:r w:rsidRPr="3572C538" w:rsidR="1AE644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Mariott is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entitled to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initial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application fees and ongoing royalty fees. The ongoing royalty fees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represent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variable consideration, as the transaction price is based on a percentage of certain revenues of the hotels, as defined in each contract.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Mariott </w:t>
      </w:r>
      <w:r w:rsidRPr="3572C538" w:rsidR="586148A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recognizes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royalty fees on a monthly basis over the term of the agreement as those amounts become payable.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Initial application and relicensing fees are fixed consideration payable upon submission of a franchise application or renewal and are recognized</w:t>
      </w:r>
      <w:r w:rsidRPr="3572C538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on a straight-line basis over the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initial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or renewal term of the franchise agreements. </w:t>
      </w:r>
    </w:p>
    <w:p w:rsidR="00FE14CC" w:rsidP="286419BA" w:rsidRDefault="00FE14CC" w14:paraId="273C72EA" w14:textId="301B873B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72C538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Owned and Leased Hotel Revenue: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For Mariott owned and leased hotels, the company has performance obligations to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provide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AA6A0F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accommodation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and other ancillary services to hotel guests. As compensation for such goods and services, the </w:t>
      </w:r>
      <w:r w:rsidRPr="3572C538" w:rsidR="65BB7CE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company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is typically entitled to a fixed nightly fee for an agreed upon period and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additional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fixed fees for any ancillary services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purchased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These fees are generally payable at the time the hotel guest checks out of the hotel.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Mariott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generally satisfy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the performance obligations over time, and it recognizes the revenue from room sales and from other ancillary guest services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on a daily basis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as the rooms are </w:t>
      </w:r>
      <w:r w:rsidRPr="3572C538" w:rsidR="4FD087E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occupied,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and it has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rendered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the services</w:t>
      </w:r>
    </w:p>
    <w:p w:rsidR="00FE14CC" w:rsidP="286419BA" w:rsidRDefault="00FE14CC" w14:paraId="2570CC0B" w14:textId="51B67BBE">
      <w:pPr>
        <w:pStyle w:val="Normal"/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="00FE14CC" w:rsidP="286419BA" w:rsidRDefault="00FE14CC" w14:paraId="63522532" w14:textId="2B275E46">
      <w:pPr>
        <w:pStyle w:val="Normal"/>
      </w:pPr>
      <w:r w:rsidRPr="21EC3314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$ in </w:t>
      </w:r>
      <w:r w:rsidRPr="21EC3314" w:rsidR="7F7751C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millions)  </w:t>
      </w:r>
      <w:r w:rsidRPr="21EC3314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2022                  2021                   Change 2022 vs. 2021</w:t>
      </w:r>
    </w:p>
    <w:p w:rsidR="00FE14CC" w:rsidP="286419BA" w:rsidRDefault="00FE14CC" w14:paraId="38296CE5" w14:textId="7E5DCE68">
      <w:pPr>
        <w:pStyle w:val="Normal"/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Base management fees               $ 1,044               $ 669                     $ 375                56 %</w:t>
      </w:r>
    </w:p>
    <w:p w:rsidR="00FE14CC" w:rsidP="286419BA" w:rsidRDefault="00FE14CC" w14:paraId="7366517F" w14:textId="4746A4CA">
      <w:pPr>
        <w:pStyle w:val="Normal"/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Franchise fees                              2,505                1,790                       715                40 %</w:t>
      </w:r>
    </w:p>
    <w:p w:rsidR="00FE14CC" w:rsidP="286419BA" w:rsidRDefault="00FE14CC" w14:paraId="12A2AD75" w14:textId="38B072C9">
      <w:pPr>
        <w:pStyle w:val="Normal"/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Incentive management fees         529                   235                          294               125 %</w:t>
      </w:r>
    </w:p>
    <w:p w:rsidR="00FE14CC" w:rsidP="286419BA" w:rsidRDefault="00FE14CC" w14:paraId="2FCC5979" w14:textId="2975F4C1">
      <w:pPr>
        <w:pStyle w:val="Normal"/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Gross fee revenues                    4,078                2,694                      1,384               51 %</w:t>
      </w:r>
    </w:p>
    <w:p w:rsidR="00FE14CC" w:rsidP="286419BA" w:rsidRDefault="00FE14CC" w14:paraId="7489B4D3" w14:textId="2F449386">
      <w:pPr>
        <w:pStyle w:val="Normal"/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Owned, leased, and other rev. $ 1,367             $ 796                       $ 571               72 %</w:t>
      </w:r>
    </w:p>
    <w:p w:rsidR="00FE14CC" w:rsidP="286419BA" w:rsidRDefault="00FE14CC" w14:paraId="38C545D5" w14:textId="503B7DB2">
      <w:pPr>
        <w:pStyle w:val="Normal"/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Cost reimbursement </w:t>
      </w:r>
      <w:r w:rsidRPr="286419BA" w:rsidR="6E4163F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revenue $</w:t>
      </w: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15,417         $ 10,442                   $ 4,975               48%</w:t>
      </w:r>
    </w:p>
    <w:p w:rsidR="00FE14CC" w:rsidP="286419BA" w:rsidRDefault="00FE14CC" w14:paraId="66117D99" w14:textId="35580A5E">
      <w:pPr>
        <w:pStyle w:val="Normal"/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="00FE14CC" w:rsidP="286419BA" w:rsidRDefault="00FE14CC" w14:paraId="6D9EAFED" w14:textId="0B43462E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86419BA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 increase in base management fees primarily reflected higher RevPAR and unit growth, partially offset by </w:t>
      </w:r>
      <w:r w:rsidRPr="286419BA" w:rsidR="7E6B844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net unfavorable</w:t>
      </w:r>
      <w:r w:rsidRPr="286419BA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foreign exchange rates ($25 million).</w:t>
      </w:r>
    </w:p>
    <w:p w:rsidR="00FE14CC" w:rsidP="286419BA" w:rsidRDefault="00FE14CC" w14:paraId="7421136D" w14:textId="5F3679B6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86419BA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 increase in franchise fees primarily reflected higher RevPAR, higher co-branded credit card fees ($119 million) </w:t>
      </w:r>
      <w:r w:rsidRPr="286419BA" w:rsidR="622DFE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 unit</w:t>
      </w:r>
      <w:r w:rsidRPr="286419BA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growth ($109 million), partially offset by net unfavorable foreign exchange rates ($17 million).</w:t>
      </w:r>
    </w:p>
    <w:p w:rsidR="00FE14CC" w:rsidP="286419BA" w:rsidRDefault="00FE14CC" w14:paraId="613F946C" w14:textId="082B3BAA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86419BA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 increase in incentive management fees primarily reflected higher profits at certain managed hotels and unit growth, partially offset by net unfavorable foreign exchange rates ($16 million). In 2022, Mariott earned incentive management fees from </w:t>
      </w:r>
      <w:r w:rsidRPr="286419BA" w:rsidR="1CD2475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61 percent</w:t>
      </w:r>
      <w:r w:rsidRPr="286419BA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of our managed properties worldwide, compared to 47 percent in 2021. We earned incentive management fees from </w:t>
      </w:r>
      <w:r w:rsidRPr="286419BA" w:rsidR="168CA92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29 percent</w:t>
      </w:r>
      <w:r w:rsidRPr="286419BA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of its U.S. &amp; Canada managed properties and 76 percent of its International managed properties in 2022, compared </w:t>
      </w:r>
      <w:r w:rsidRPr="286419BA" w:rsidR="3613C9C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 13</w:t>
      </w:r>
      <w:r w:rsidRPr="286419BA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percent in U.S. &amp; Canada and 63 percent in International in 2021. In addition, 58 percent of </w:t>
      </w:r>
      <w:r w:rsidRPr="286419BA" w:rsidR="2CF7254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Mariott's</w:t>
      </w:r>
      <w:r w:rsidRPr="286419BA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total incentive </w:t>
      </w:r>
      <w:r w:rsidRPr="286419BA" w:rsidR="2E36C1C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management fees</w:t>
      </w:r>
      <w:r w:rsidRPr="286419BA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2022 came from its International managed properties versus 71 percent in 2021.</w:t>
      </w:r>
    </w:p>
    <w:p w:rsidR="00FE14CC" w:rsidP="286419BA" w:rsidRDefault="00FE14CC" w14:paraId="0519863A" w14:textId="34A92B93">
      <w:pPr>
        <w:pStyle w:val="Normal"/>
      </w:pPr>
      <w:r w:rsidRPr="286419BA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increase in cost reimbursements, net primarily reflects higher revenues, net of expenses, for its centralized programs and services as well as its insurance progra</w:t>
      </w: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</w:t>
      </w:r>
    </w:p>
    <w:p w:rsidR="00FE14CC" w:rsidP="286419BA" w:rsidRDefault="00FE14CC" w14:paraId="73D4740F" w14:textId="4AA70375">
      <w:pPr>
        <w:pStyle w:val="Normal"/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="00FE14CC" w:rsidP="286419BA" w:rsidRDefault="00FE14CC" w14:paraId="23EECDA9" w14:textId="24B0EF41">
      <w:pPr>
        <w:pStyle w:val="Normal"/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Cost drivers for </w:t>
      </w:r>
      <w:r w:rsidRPr="286419BA" w:rsidR="4EE5212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Mariott</w:t>
      </w: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inc</w:t>
      </w:r>
      <w:r w:rsidRPr="286419BA" w:rsidR="485C626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</w:p>
    <w:p w:rsidR="00FE14CC" w:rsidP="286419BA" w:rsidRDefault="00FE14CC" w14:paraId="308293AB" w14:textId="416A5F39">
      <w:pPr>
        <w:pStyle w:val="Normal"/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Other Operating Expenses:</w:t>
      </w:r>
    </w:p>
    <w:p w:rsidR="00FE14CC" w:rsidP="286419BA" w:rsidRDefault="00FE14CC" w14:paraId="39210139" w14:textId="50387489">
      <w:pPr>
        <w:pStyle w:val="Normal"/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($ in </w:t>
      </w:r>
      <w:r w:rsidRPr="286419BA" w:rsidR="6015002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millions)  </w:t>
      </w: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                 2022            2021     Change 2022 vs. 2021</w:t>
      </w:r>
    </w:p>
    <w:p w:rsidR="00FE14CC" w:rsidP="286419BA" w:rsidRDefault="00FE14CC" w14:paraId="7765CA5E" w14:textId="150DF46C">
      <w:pPr>
        <w:pStyle w:val="Normal"/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Depreciation, amortization, and other             $ 193           $ 220     </w:t>
      </w:r>
      <w:r w:rsidRPr="286419BA" w:rsidR="53596E5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(</w:t>
      </w: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27)          </w:t>
      </w:r>
      <w:r w:rsidRPr="286419BA" w:rsidR="0A5AE45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(</w:t>
      </w: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12) %</w:t>
      </w:r>
    </w:p>
    <w:p w:rsidR="00FE14CC" w:rsidP="286419BA" w:rsidRDefault="00FE14CC" w14:paraId="049D3520" w14:textId="6FC1718D">
      <w:pPr>
        <w:pStyle w:val="Normal"/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General, administrative, and other                  891               823           68                     8 %</w:t>
      </w:r>
    </w:p>
    <w:p w:rsidR="00FE14CC" w:rsidP="286419BA" w:rsidRDefault="00FE14CC" w14:paraId="43D145AB" w14:textId="0F94B542">
      <w:pPr>
        <w:pStyle w:val="Normal"/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Restructuring, merger-related charges, and </w:t>
      </w:r>
    </w:p>
    <w:p w:rsidR="00FE14CC" w:rsidP="286419BA" w:rsidRDefault="00FE14CC" w14:paraId="2CED37D5" w14:textId="3A0FBF84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other                                                              </w:t>
      </w:r>
      <w:r w:rsidRPr="286419BA" w:rsidR="4BB06D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</w:t>
      </w: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12                 8                 4                    50 %</w:t>
      </w:r>
    </w:p>
    <w:p w:rsidR="00FE14CC" w:rsidP="286419BA" w:rsidRDefault="00FE14CC" w14:paraId="2FA92889" w14:textId="3ADE0EA7">
      <w:pPr>
        <w:pStyle w:val="Normal"/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Reimbursed expenses                                   15,141         10,322         4,819             47 %</w:t>
      </w:r>
    </w:p>
    <w:p w:rsidR="00FE14CC" w:rsidP="286419BA" w:rsidRDefault="00FE14CC" w14:paraId="2CAC3DE7" w14:textId="127E80EF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86419BA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Depreciation, amortization, and other expenses decreased primarily due to lower impairment charges.</w:t>
      </w:r>
    </w:p>
    <w:p w:rsidR="00FE14CC" w:rsidP="286419BA" w:rsidRDefault="00FE14CC" w14:paraId="4574340C" w14:textId="440A66BC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86419BA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General, administrative, and other expenses increased primarily due to higher administrative and compensation costs.</w:t>
      </w:r>
    </w:p>
    <w:p w:rsidR="00FE14CC" w:rsidP="286419BA" w:rsidRDefault="00FE14CC" w14:paraId="6259B990" w14:textId="45530E71">
      <w:pPr>
        <w:pStyle w:val="Normal"/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="00FE14CC" w:rsidP="286419BA" w:rsidRDefault="00FE14CC" w14:paraId="4E0D5226" w14:textId="29C8397D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572C538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Financial Performance of </w:t>
      </w:r>
      <w:r w:rsidRPr="3572C538" w:rsidR="13FA814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Mariott</w:t>
      </w:r>
      <w:r w:rsidRPr="3572C538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572C538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inc</w:t>
      </w:r>
      <w:r w:rsidRPr="3572C538" w:rsidR="3DC8B0F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</w:p>
    <w:p w:rsidR="00FE14CC" w:rsidP="286419BA" w:rsidRDefault="00FE14CC" w14:paraId="7EE3C5B6" w14:textId="172A94DC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Marriott's reported operating income totaled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$</w:t>
      </w:r>
      <w:r w:rsidRPr="3572C538" w:rsidR="0699E9A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3.4</w:t>
      </w:r>
      <w:r w:rsidRPr="3572C538" w:rsidR="1FD345B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illion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</w:t>
      </w:r>
      <w:r w:rsidRPr="3572C538" w:rsidR="3ED8387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2022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compared to 2021 reported operating income of $</w:t>
      </w:r>
      <w:r w:rsidRPr="3572C538" w:rsidR="79DD2AA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1.7b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illion</w:t>
      </w:r>
      <w:r w:rsidRPr="3572C538" w:rsidR="2B191FF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3572C538" w:rsidR="2B191FF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representing</w:t>
      </w:r>
      <w:r w:rsidRPr="3572C538" w:rsidR="2B191FF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100</w:t>
      </w:r>
      <w:r w:rsidRPr="3572C538" w:rsidR="18C4E1C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% increase. Reported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net income totaled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$</w:t>
      </w:r>
      <w:r w:rsidRPr="3572C538" w:rsidR="453ECED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2.5b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illion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</w:t>
      </w:r>
      <w:r w:rsidRPr="3572C538" w:rsidR="7D7D1DA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2022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compared to 2021 reported net income of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$</w:t>
      </w:r>
      <w:r w:rsidRPr="3572C538" w:rsidR="5CCF90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1.1b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illion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3572C538" w:rsidP="3572C538" w:rsidRDefault="3572C538" w14:paraId="6857481C" w14:textId="4AC69FDE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0FE14CC" w:rsidP="286419BA" w:rsidRDefault="00FE14CC" w14:paraId="1EE9312B" w14:textId="54AF2D1E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Base management and franchise fees totaled $</w:t>
      </w:r>
      <w:r w:rsidRPr="3572C538" w:rsidR="74EAFA5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1bn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the</w:t>
      </w:r>
      <w:r w:rsidRPr="3572C538" w:rsidR="13909D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year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3BAB779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2022,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compared to base management and franchise fees of $</w:t>
      </w:r>
      <w:r w:rsidRPr="3572C538" w:rsidR="2AE84EF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669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million in the year-ago</w:t>
      </w:r>
      <w:r w:rsidRPr="3572C538" w:rsidR="53997F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year-o</w:t>
      </w:r>
      <w:r w:rsidRPr="3572C538" w:rsidR="4B952D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-year increase in these fees is primarily attributable to RevPAR increases due to the continued recovery in lodging demand, as well as unit growth, partially offset by $16 million of unfavorable foreign exchange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Other non-RevPAR related franchise fees in the 2022 fourth quarter totaled $215 million, compared to $186 million in the year-ago quarter,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largely driven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by higher credit card branding fees.</w:t>
      </w:r>
    </w:p>
    <w:p w:rsidR="00FE14CC" w:rsidP="286419BA" w:rsidRDefault="00FE14CC" w14:paraId="6D532B83" w14:textId="0C68D0F8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86419BA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00FE14CC" w:rsidP="286419BA" w:rsidRDefault="00FE14CC" w14:paraId="20225938" w14:textId="4F1C46F1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Incentive management fees </w:t>
      </w:r>
      <w:r w:rsidRPr="21EC3314" w:rsidR="259491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total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$</w:t>
      </w:r>
      <w:r w:rsidRPr="21EC3314" w:rsidR="7D63D93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529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million in 2022, compared to $</w:t>
      </w:r>
      <w:r w:rsidRPr="21EC3314" w:rsidR="2A02A5D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235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million </w:t>
      </w:r>
      <w:r w:rsidRPr="21EC3314" w:rsidR="55A0D77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in </w:t>
      </w:r>
      <w:r w:rsidRPr="21EC3314" w:rsidR="3C3E1D9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2021.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Fees in the </w:t>
      </w:r>
      <w:r w:rsidRPr="21EC3314" w:rsidR="013B17C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year 2022 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surpassed 2019 levels, with 60 percent earned in 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international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markets.</w:t>
      </w:r>
    </w:p>
    <w:p w:rsidR="00FE14CC" w:rsidP="286419BA" w:rsidRDefault="00FE14CC" w14:paraId="4F9148D2" w14:textId="09594225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0FE14CC" w:rsidP="286419BA" w:rsidRDefault="00FE14CC" w14:paraId="6ACA637C" w14:textId="360FC4C7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Owned, leased, and other revenue, net of direct expenses, totaled $</w:t>
      </w:r>
      <w:r w:rsidRPr="3572C538" w:rsidR="56D3E79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295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million in </w:t>
      </w:r>
      <w:r w:rsidRPr="3572C538" w:rsidR="36265A2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2022,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compared to $</w:t>
      </w:r>
      <w:r w:rsidRPr="3572C538" w:rsidR="728B25A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62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million in the </w:t>
      </w:r>
      <w:r w:rsidRPr="3572C538" w:rsidR="40845F6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previous</w:t>
      </w:r>
      <w:r w:rsidRPr="3572C538" w:rsidR="40845F6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year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 year-over-year increase in revenue net of expenses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largely reflects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the continued recovery in lodging demand and $21 million of higher termination fees.</w:t>
      </w:r>
    </w:p>
    <w:p w:rsidR="00FE14CC" w:rsidP="286419BA" w:rsidRDefault="00FE14CC" w14:paraId="20FBC6C4" w14:textId="45F2C689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0FE14CC" w:rsidP="286419BA" w:rsidRDefault="00FE14CC" w14:paraId="4888298B" w14:textId="22EAE24A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General, administrative, and other expenses for </w:t>
      </w:r>
      <w:r w:rsidRPr="21EC3314" w:rsidR="3F34ED1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2022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totaled $</w:t>
      </w:r>
      <w:r w:rsidRPr="21EC3314" w:rsidR="123E650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891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million, compared to $</w:t>
      </w:r>
      <w:r w:rsidRPr="21EC3314" w:rsidR="55D003F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82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3 million in the </w:t>
      </w:r>
      <w:r w:rsidRPr="21EC3314" w:rsidR="4A1545E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last year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 </w:t>
      </w:r>
      <w:r w:rsidRPr="21EC3314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year-over-year change included an $18 million favorable litigation settlement in the 2021 fourth quarter.</w:t>
      </w:r>
    </w:p>
    <w:p w:rsidR="00FE14CC" w:rsidP="286419BA" w:rsidRDefault="00FE14CC" w14:paraId="588E22C8" w14:textId="365230BB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00FE14CC" w:rsidP="286419BA" w:rsidRDefault="00FE14CC" w14:paraId="51C54758" w14:textId="19868AF1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Overall, Mariott </w:t>
      </w:r>
      <w:r w:rsidRPr="3572C538" w:rsidR="3C5BAED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Inc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has been performing well in recent years with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strong growth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both revenue and earnings. The company has been successful in expanding its global footprint, with new hotel </w:t>
      </w:r>
      <w:r w:rsidRPr="3572C538" w:rsidR="1D302B2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openings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and strategic acquisitions. Additionally, Mariott has been investing in technology to enhance the guest experience which has helped to </w:t>
      </w:r>
      <w:r w:rsidRPr="3572C538" w:rsidR="71164C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drive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customer loyalty. In summary, Mariott strong financial performance and continued investments in innovation position the 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company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well for future growth</w:t>
      </w:r>
    </w:p>
    <w:p w:rsidR="00FE14CC" w:rsidP="286419BA" w:rsidRDefault="00FE14CC" w14:paraId="551026FA" w14:textId="28CCC268">
      <w:pPr>
        <w:pStyle w:val="Normal"/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="00FE14CC" w:rsidP="286419BA" w:rsidRDefault="00FE14CC" w14:paraId="59CB3150" w14:textId="764446A3">
      <w:pPr>
        <w:pStyle w:val="Normal"/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Revenue drivers for Johnson and Johnson</w:t>
      </w:r>
    </w:p>
    <w:p w:rsidR="00FE14CC" w:rsidP="3572C538" w:rsidRDefault="00FE14CC" w14:paraId="5736B733" w14:textId="054D3C7C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72C538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Consumer Health Segment:</w:t>
      </w:r>
    </w:p>
    <w:p w:rsidR="00FE14CC" w:rsidP="286419BA" w:rsidRDefault="00FE14CC" w14:paraId="57B81BB2" w14:textId="46AF1017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 Consumer Health segment includes a </w:t>
      </w:r>
      <w:r w:rsidRPr="21EC3314" w:rsidR="0B85436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broad range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of products focused on personal healthcare used in the Skin Health/</w:t>
      </w:r>
      <w:r w:rsidRPr="21EC3314" w:rsidR="14A20F6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Beauty, Over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-the-Counter medicines, </w:t>
      </w:r>
      <w:r w:rsidRPr="21EC3314" w:rsidR="48FB16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Baby Care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21EC3314" w:rsidR="4D273C6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Oral Care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Women’s 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Health</w:t>
      </w:r>
      <w:r w:rsidRPr="21EC3314" w:rsidR="70B76AC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21EC3314" w:rsidR="451B336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Wound</w:t>
      </w:r>
      <w:r w:rsidRPr="21EC3314" w:rsidR="67AB875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Care</w:t>
      </w:r>
      <w:r w:rsidRPr="21EC3314" w:rsidR="35E8603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5A042D2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markets. 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These</w:t>
      </w:r>
      <w:r w:rsidRPr="21EC3314" w:rsidR="7A5B185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products</w:t>
      </w:r>
      <w:r w:rsidRPr="21EC3314" w:rsidR="3679D4E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are</w:t>
      </w:r>
      <w:r w:rsidRPr="21EC3314" w:rsidR="4FA19F6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marketed</w:t>
      </w:r>
      <w:r w:rsidRPr="21EC3314" w:rsidR="420C832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21EC3314" w:rsidR="30E76AD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21EC3314" w:rsidR="7C5515C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280ABDD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general public</w:t>
      </w:r>
      <w:r w:rsidRPr="21EC3314" w:rsidR="15B2BBE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21EC3314" w:rsidR="325272D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sold</w:t>
      </w:r>
      <w:r w:rsidRPr="21EC3314" w:rsidR="2128DB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online(eCommerce)</w:t>
      </w:r>
      <w:r w:rsidRPr="21EC3314" w:rsidR="49DD3F7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nd</w:t>
      </w:r>
      <w:r w:rsidRPr="21EC3314" w:rsidR="50781FC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21EC3314" w:rsidR="1FDBE1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retail</w:t>
      </w:r>
      <w:r w:rsidRPr="21EC3314" w:rsidR="172DFD3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outlets and</w:t>
      </w:r>
      <w:r w:rsidRPr="21EC3314" w:rsidR="2D3AA5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distributors</w:t>
      </w:r>
      <w:r w:rsidRPr="21EC3314" w:rsidR="77AB3CC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throughout</w:t>
      </w:r>
      <w:r w:rsidRPr="21EC3314" w:rsidR="3824746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3824746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world</w:t>
      </w:r>
      <w:r w:rsidRPr="21EC3314" w:rsidR="501AC5E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00FE14CC" w:rsidP="286419BA" w:rsidRDefault="00FE14CC" w14:paraId="523B5EF8" w14:textId="4D64BD5B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0FE14CC" w:rsidP="286419BA" w:rsidRDefault="00FE14CC" w14:paraId="413779C7" w14:textId="4860FB8A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38"/>
        <w:gridCol w:w="1482"/>
        <w:gridCol w:w="1560"/>
        <w:gridCol w:w="1560"/>
        <w:gridCol w:w="1560"/>
        <w:gridCol w:w="1560"/>
      </w:tblGrid>
      <w:tr w:rsidR="286419BA" w:rsidTr="286419BA" w14:paraId="1D11960F">
        <w:trPr>
          <w:trHeight w:val="300"/>
        </w:trPr>
        <w:tc>
          <w:tcPr>
            <w:tcW w:w="1638" w:type="dxa"/>
            <w:tcMar/>
          </w:tcPr>
          <w:p w:rsidR="07302CAB" w:rsidP="286419BA" w:rsidRDefault="07302CAB" w14:paraId="6C222371" w14:textId="47601282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07302CA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Dollars in Million</w:t>
            </w:r>
          </w:p>
        </w:tc>
        <w:tc>
          <w:tcPr>
            <w:tcW w:w="1482" w:type="dxa"/>
            <w:tcMar/>
          </w:tcPr>
          <w:p w:rsidR="07302CAB" w:rsidP="286419BA" w:rsidRDefault="07302CAB" w14:paraId="44B28539" w14:textId="4F95D6E8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07302CA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2022</w:t>
            </w:r>
          </w:p>
        </w:tc>
        <w:tc>
          <w:tcPr>
            <w:tcW w:w="1560" w:type="dxa"/>
            <w:tcMar/>
          </w:tcPr>
          <w:p w:rsidR="07302CAB" w:rsidP="286419BA" w:rsidRDefault="07302CAB" w14:paraId="5142F89F" w14:textId="29BCA522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07302CA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 2021</w:t>
            </w:r>
          </w:p>
        </w:tc>
        <w:tc>
          <w:tcPr>
            <w:tcW w:w="1560" w:type="dxa"/>
            <w:tcMar/>
          </w:tcPr>
          <w:p w:rsidR="07302CAB" w:rsidP="286419BA" w:rsidRDefault="07302CAB" w14:paraId="625886DB" w14:textId="544010B8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07302CA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Total Change</w:t>
            </w:r>
          </w:p>
        </w:tc>
        <w:tc>
          <w:tcPr>
            <w:tcW w:w="1560" w:type="dxa"/>
            <w:tcMar/>
          </w:tcPr>
          <w:p w:rsidR="5B6A4D18" w:rsidP="286419BA" w:rsidRDefault="5B6A4D18" w14:paraId="014A2065" w14:textId="538D3F28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5B6A4D1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Operations Change</w:t>
            </w:r>
          </w:p>
        </w:tc>
        <w:tc>
          <w:tcPr>
            <w:tcW w:w="1560" w:type="dxa"/>
            <w:tcMar/>
          </w:tcPr>
          <w:p w:rsidR="07302CAB" w:rsidP="286419BA" w:rsidRDefault="07302CAB" w14:paraId="1B5B379C" w14:textId="3641327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07302CA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Currency Change</w:t>
            </w:r>
          </w:p>
        </w:tc>
      </w:tr>
      <w:tr w:rsidR="286419BA" w:rsidTr="286419BA" w14:paraId="17A5B694">
        <w:trPr>
          <w:trHeight w:val="300"/>
        </w:trPr>
        <w:tc>
          <w:tcPr>
            <w:tcW w:w="1638" w:type="dxa"/>
            <w:tcMar/>
          </w:tcPr>
          <w:p w:rsidR="07302CAB" w:rsidP="286419BA" w:rsidRDefault="07302CAB" w14:paraId="0CECF950" w14:textId="37E2E762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07302CA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OTC (</w:t>
            </w:r>
            <w:r w:rsidRPr="286419BA" w:rsidR="07302CA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1)</w:t>
            </w:r>
          </w:p>
        </w:tc>
        <w:tc>
          <w:tcPr>
            <w:tcW w:w="1482" w:type="dxa"/>
            <w:tcMar/>
          </w:tcPr>
          <w:p w:rsidR="07302CAB" w:rsidP="286419BA" w:rsidRDefault="07302CAB" w14:paraId="41108993" w14:textId="43DB7F41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07302CA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 $6,031  </w:t>
            </w:r>
          </w:p>
        </w:tc>
        <w:tc>
          <w:tcPr>
            <w:tcW w:w="1560" w:type="dxa"/>
            <w:tcMar/>
          </w:tcPr>
          <w:p w:rsidR="07302CAB" w:rsidP="286419BA" w:rsidRDefault="07302CAB" w14:paraId="4DF59EB1" w14:textId="3EF7F51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07302CA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5,627</w:t>
            </w:r>
          </w:p>
        </w:tc>
        <w:tc>
          <w:tcPr>
            <w:tcW w:w="1560" w:type="dxa"/>
            <w:tcMar/>
          </w:tcPr>
          <w:p w:rsidR="07302CAB" w:rsidP="286419BA" w:rsidRDefault="07302CAB" w14:paraId="278B0626" w14:textId="1B55CCA9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07302CA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7.2%</w:t>
            </w:r>
          </w:p>
        </w:tc>
        <w:tc>
          <w:tcPr>
            <w:tcW w:w="1560" w:type="dxa"/>
            <w:tcMar/>
          </w:tcPr>
          <w:p w:rsidR="07302CAB" w:rsidP="286419BA" w:rsidRDefault="07302CAB" w14:paraId="577C3862" w14:textId="0BFB1F98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07302CA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11.2%</w:t>
            </w:r>
          </w:p>
        </w:tc>
        <w:tc>
          <w:tcPr>
            <w:tcW w:w="1560" w:type="dxa"/>
            <w:tcMar/>
          </w:tcPr>
          <w:p w:rsidR="07302CAB" w:rsidP="286419BA" w:rsidRDefault="07302CAB" w14:paraId="22D2512B" w14:textId="3587781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07302CA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</w:t>
            </w:r>
            <w:r w:rsidRPr="286419BA" w:rsidR="0EA9C30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4.0) %</w:t>
            </w:r>
          </w:p>
        </w:tc>
      </w:tr>
      <w:tr w:rsidR="286419BA" w:rsidTr="286419BA" w14:paraId="60C1AE54">
        <w:trPr>
          <w:trHeight w:val="300"/>
        </w:trPr>
        <w:tc>
          <w:tcPr>
            <w:tcW w:w="1638" w:type="dxa"/>
            <w:tcMar/>
          </w:tcPr>
          <w:p w:rsidR="07302CAB" w:rsidP="286419BA" w:rsidRDefault="07302CAB" w14:paraId="3BE32F04" w14:textId="5ABD2C3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07302CA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Skin Health/Beauty</w:t>
            </w:r>
          </w:p>
        </w:tc>
        <w:tc>
          <w:tcPr>
            <w:tcW w:w="1482" w:type="dxa"/>
            <w:tcMar/>
          </w:tcPr>
          <w:p w:rsidR="07302CAB" w:rsidP="286419BA" w:rsidRDefault="07302CAB" w14:paraId="5BA6A79C" w14:textId="012EE36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07302CA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4,352  </w:t>
            </w:r>
          </w:p>
        </w:tc>
        <w:tc>
          <w:tcPr>
            <w:tcW w:w="1560" w:type="dxa"/>
            <w:tcMar/>
          </w:tcPr>
          <w:p w:rsidR="07302CAB" w:rsidP="286419BA" w:rsidRDefault="07302CAB" w14:paraId="7972290E" w14:textId="41947D63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07302CA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4,541</w:t>
            </w:r>
          </w:p>
        </w:tc>
        <w:tc>
          <w:tcPr>
            <w:tcW w:w="1560" w:type="dxa"/>
            <w:tcMar/>
          </w:tcPr>
          <w:p w:rsidR="07302CAB" w:rsidP="286419BA" w:rsidRDefault="07302CAB" w14:paraId="65110F56" w14:textId="5D8C3EA0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07302CA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(4.2)</w:t>
            </w:r>
          </w:p>
        </w:tc>
        <w:tc>
          <w:tcPr>
            <w:tcW w:w="1560" w:type="dxa"/>
            <w:tcMar/>
          </w:tcPr>
          <w:p w:rsidR="07302CAB" w:rsidP="286419BA" w:rsidRDefault="07302CAB" w14:paraId="0B1A88D5" w14:textId="3EDC3BF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07302CA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(0.4)</w:t>
            </w:r>
          </w:p>
        </w:tc>
        <w:tc>
          <w:tcPr>
            <w:tcW w:w="1560" w:type="dxa"/>
            <w:tcMar/>
          </w:tcPr>
          <w:p w:rsidR="07302CAB" w:rsidP="286419BA" w:rsidRDefault="07302CAB" w14:paraId="5098E004" w14:textId="5D7D8EE3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07302CA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(3.8)</w:t>
            </w:r>
          </w:p>
        </w:tc>
      </w:tr>
      <w:tr w:rsidR="286419BA" w:rsidTr="286419BA" w14:paraId="4925F43E">
        <w:trPr>
          <w:trHeight w:val="300"/>
        </w:trPr>
        <w:tc>
          <w:tcPr>
            <w:tcW w:w="1638" w:type="dxa"/>
            <w:tcMar/>
          </w:tcPr>
          <w:p w:rsidR="22714ED8" w:rsidP="286419BA" w:rsidRDefault="22714ED8" w14:paraId="5DD9C99C" w14:textId="4631D2F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2714ED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Oral Care</w:t>
            </w:r>
          </w:p>
        </w:tc>
        <w:tc>
          <w:tcPr>
            <w:tcW w:w="1482" w:type="dxa"/>
            <w:tcMar/>
          </w:tcPr>
          <w:p w:rsidR="07302CAB" w:rsidP="286419BA" w:rsidRDefault="07302CAB" w14:paraId="2B188E30" w14:textId="26552BD0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07302CA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1,505</w:t>
            </w:r>
          </w:p>
        </w:tc>
        <w:tc>
          <w:tcPr>
            <w:tcW w:w="1560" w:type="dxa"/>
            <w:tcMar/>
          </w:tcPr>
          <w:p w:rsidR="07302CAB" w:rsidP="286419BA" w:rsidRDefault="07302CAB" w14:paraId="154415D4" w14:textId="273458C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07302CA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1,645</w:t>
            </w:r>
          </w:p>
        </w:tc>
        <w:tc>
          <w:tcPr>
            <w:tcW w:w="1560" w:type="dxa"/>
            <w:tcMar/>
          </w:tcPr>
          <w:p w:rsidR="44D3DDF6" w:rsidP="286419BA" w:rsidRDefault="44D3DDF6" w14:paraId="6B8AA967" w14:textId="49FD090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44D3DDF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(8.5)</w:t>
            </w:r>
          </w:p>
        </w:tc>
        <w:tc>
          <w:tcPr>
            <w:tcW w:w="1560" w:type="dxa"/>
            <w:tcMar/>
          </w:tcPr>
          <w:p w:rsidR="44D3DDF6" w:rsidP="286419BA" w:rsidRDefault="44D3DDF6" w14:paraId="71FA6B7C" w14:textId="570B07D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44D3DDF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    (4.7)  </w:t>
            </w:r>
          </w:p>
        </w:tc>
        <w:tc>
          <w:tcPr>
            <w:tcW w:w="1560" w:type="dxa"/>
            <w:tcMar/>
          </w:tcPr>
          <w:p w:rsidR="44D3DDF6" w:rsidP="286419BA" w:rsidRDefault="44D3DDF6" w14:paraId="7B66D661" w14:textId="57FE6BA9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44D3DDF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 (3.8)    </w:t>
            </w:r>
          </w:p>
        </w:tc>
      </w:tr>
      <w:tr w:rsidR="286419BA" w:rsidTr="286419BA" w14:paraId="4C07E1EC">
        <w:trPr>
          <w:trHeight w:val="300"/>
        </w:trPr>
        <w:tc>
          <w:tcPr>
            <w:tcW w:w="1638" w:type="dxa"/>
            <w:tcMar/>
          </w:tcPr>
          <w:p w:rsidR="5CF215F9" w:rsidP="286419BA" w:rsidRDefault="5CF215F9" w14:paraId="3E559286" w14:textId="14850B6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5CF215F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Baby Care</w:t>
            </w:r>
          </w:p>
        </w:tc>
        <w:tc>
          <w:tcPr>
            <w:tcW w:w="1482" w:type="dxa"/>
            <w:tcMar/>
          </w:tcPr>
          <w:p w:rsidR="44D3DDF6" w:rsidP="286419BA" w:rsidRDefault="44D3DDF6" w14:paraId="651256BA" w14:textId="4F16466A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44D3DDF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 1,461</w:t>
            </w:r>
          </w:p>
        </w:tc>
        <w:tc>
          <w:tcPr>
            <w:tcW w:w="1560" w:type="dxa"/>
            <w:tcMar/>
          </w:tcPr>
          <w:p w:rsidR="44D3DDF6" w:rsidP="286419BA" w:rsidRDefault="44D3DDF6" w14:paraId="07867113" w14:textId="06DB620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44D3DDF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1,566</w:t>
            </w:r>
          </w:p>
        </w:tc>
        <w:tc>
          <w:tcPr>
            <w:tcW w:w="1560" w:type="dxa"/>
            <w:tcMar/>
          </w:tcPr>
          <w:p w:rsidR="44D3DDF6" w:rsidP="286419BA" w:rsidRDefault="44D3DDF6" w14:paraId="76B878D2" w14:textId="250CCB4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44D3DDF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(6.7)</w:t>
            </w:r>
          </w:p>
        </w:tc>
        <w:tc>
          <w:tcPr>
            <w:tcW w:w="1560" w:type="dxa"/>
            <w:tcMar/>
          </w:tcPr>
          <w:p w:rsidR="44D3DDF6" w:rsidP="286419BA" w:rsidRDefault="44D3DDF6" w14:paraId="6065FB82" w14:textId="24D9FEA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44D3DDF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(2.4)</w:t>
            </w:r>
          </w:p>
        </w:tc>
        <w:tc>
          <w:tcPr>
            <w:tcW w:w="1560" w:type="dxa"/>
            <w:tcMar/>
          </w:tcPr>
          <w:p w:rsidR="44D3DDF6" w:rsidP="286419BA" w:rsidRDefault="44D3DDF6" w14:paraId="0937A810" w14:textId="4E02E9E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44D3DDF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(4.3)    </w:t>
            </w:r>
          </w:p>
        </w:tc>
      </w:tr>
      <w:tr w:rsidR="286419BA" w:rsidTr="286419BA" w14:paraId="225B09A3">
        <w:trPr>
          <w:trHeight w:val="300"/>
        </w:trPr>
        <w:tc>
          <w:tcPr>
            <w:tcW w:w="1638" w:type="dxa"/>
            <w:tcMar/>
          </w:tcPr>
          <w:p w:rsidR="03E37D67" w:rsidP="286419BA" w:rsidRDefault="03E37D67" w14:paraId="07F35A59" w14:textId="1CE1247B">
            <w:pPr>
              <w:pStyle w:val="Normal"/>
            </w:pPr>
            <w:r w:rsidRPr="286419BA" w:rsidR="03E37D6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Wound Care</w:t>
            </w:r>
            <w:r w:rsidRPr="286419BA" w:rsidR="44D3DDF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/Other     </w:t>
            </w:r>
          </w:p>
        </w:tc>
        <w:tc>
          <w:tcPr>
            <w:tcW w:w="1482" w:type="dxa"/>
            <w:tcMar/>
          </w:tcPr>
          <w:p w:rsidR="35F2A6C1" w:rsidP="286419BA" w:rsidRDefault="35F2A6C1" w14:paraId="04334A50" w14:textId="1FF36045">
            <w:pPr>
              <w:pStyle w:val="Normal"/>
            </w:pPr>
            <w:r w:rsidRPr="286419BA" w:rsidR="35F2A6C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700</w:t>
            </w:r>
          </w:p>
        </w:tc>
        <w:tc>
          <w:tcPr>
            <w:tcW w:w="1560" w:type="dxa"/>
            <w:tcMar/>
          </w:tcPr>
          <w:p w:rsidR="35F2A6C1" w:rsidP="286419BA" w:rsidRDefault="35F2A6C1" w14:paraId="1315C1DC" w14:textId="1793478F">
            <w:pPr>
              <w:pStyle w:val="Normal"/>
            </w:pPr>
            <w:r w:rsidRPr="286419BA" w:rsidR="35F2A6C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739</w:t>
            </w:r>
          </w:p>
        </w:tc>
        <w:tc>
          <w:tcPr>
            <w:tcW w:w="1560" w:type="dxa"/>
            <w:tcMar/>
          </w:tcPr>
          <w:p w:rsidR="35F2A6C1" w:rsidP="286419BA" w:rsidRDefault="35F2A6C1" w14:paraId="317D5876" w14:textId="540E63D0">
            <w:pPr>
              <w:pStyle w:val="Normal"/>
            </w:pPr>
            <w:r w:rsidRPr="286419BA" w:rsidR="35F2A6C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(5.3)</w:t>
            </w:r>
          </w:p>
        </w:tc>
        <w:tc>
          <w:tcPr>
            <w:tcW w:w="1560" w:type="dxa"/>
            <w:tcMar/>
          </w:tcPr>
          <w:p w:rsidR="35F2A6C1" w:rsidP="286419BA" w:rsidRDefault="35F2A6C1" w14:paraId="57B25AB5" w14:textId="72FB49C0">
            <w:pPr>
              <w:pStyle w:val="Normal"/>
            </w:pPr>
            <w:r w:rsidRPr="286419BA" w:rsidR="35F2A6C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 (3.8)</w:t>
            </w:r>
          </w:p>
        </w:tc>
        <w:tc>
          <w:tcPr>
            <w:tcW w:w="1560" w:type="dxa"/>
            <w:tcMar/>
          </w:tcPr>
          <w:p w:rsidR="35F2A6C1" w:rsidP="286419BA" w:rsidRDefault="35F2A6C1" w14:paraId="19F16529" w14:textId="3F30CA85">
            <w:pPr>
              <w:pStyle w:val="Normal"/>
            </w:pPr>
            <w:r w:rsidRPr="286419BA" w:rsidR="35F2A6C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(1.5)</w:t>
            </w:r>
          </w:p>
        </w:tc>
      </w:tr>
      <w:tr w:rsidR="286419BA" w:rsidTr="286419BA" w14:paraId="710B0D0F">
        <w:trPr>
          <w:trHeight w:val="300"/>
        </w:trPr>
        <w:tc>
          <w:tcPr>
            <w:tcW w:w="1638" w:type="dxa"/>
            <w:tcMar/>
          </w:tcPr>
          <w:p w:rsidR="35F2A6C1" w:rsidP="286419BA" w:rsidRDefault="35F2A6C1" w14:paraId="47A7B839" w14:textId="1E231592">
            <w:pPr>
              <w:pStyle w:val="Normal"/>
            </w:pPr>
            <w:r w:rsidRPr="286419BA" w:rsidR="35F2A6C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Total Consumer Health Sales</w:t>
            </w:r>
          </w:p>
        </w:tc>
        <w:tc>
          <w:tcPr>
            <w:tcW w:w="1482" w:type="dxa"/>
            <w:tcMar/>
          </w:tcPr>
          <w:p w:rsidR="35F2A6C1" w:rsidP="286419BA" w:rsidRDefault="35F2A6C1" w14:paraId="0D1DB5FB" w14:textId="74F1839A">
            <w:pPr>
              <w:pStyle w:val="Normal"/>
            </w:pPr>
            <w:r w:rsidRPr="286419BA" w:rsidR="35F2A6C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$14,953</w:t>
            </w:r>
          </w:p>
        </w:tc>
        <w:tc>
          <w:tcPr>
            <w:tcW w:w="1560" w:type="dxa"/>
            <w:tcMar/>
          </w:tcPr>
          <w:p w:rsidR="35F2A6C1" w:rsidP="286419BA" w:rsidRDefault="35F2A6C1" w14:paraId="794D89D5" w14:textId="7FFEA7D7">
            <w:pPr>
              <w:pStyle w:val="Normal"/>
            </w:pPr>
            <w:r w:rsidRPr="286419BA" w:rsidR="35F2A6C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15,035</w:t>
            </w:r>
          </w:p>
        </w:tc>
        <w:tc>
          <w:tcPr>
            <w:tcW w:w="1560" w:type="dxa"/>
            <w:tcMar/>
          </w:tcPr>
          <w:p w:rsidR="35F2A6C1" w:rsidP="286419BA" w:rsidRDefault="35F2A6C1" w14:paraId="10B17845" w14:textId="33D2F1AA">
            <w:pPr>
              <w:pStyle w:val="Normal"/>
            </w:pPr>
            <w:r w:rsidRPr="286419BA" w:rsidR="35F2A6C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(3.6%)</w:t>
            </w:r>
          </w:p>
        </w:tc>
        <w:tc>
          <w:tcPr>
            <w:tcW w:w="1560" w:type="dxa"/>
            <w:tcMar/>
          </w:tcPr>
          <w:p w:rsidR="35F2A6C1" w:rsidP="286419BA" w:rsidRDefault="35F2A6C1" w14:paraId="2D8128C4" w14:textId="79CF5DA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35F2A6C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</w:t>
            </w:r>
            <w:r w:rsidRPr="286419BA" w:rsidR="35F2A6C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4.1) %</w:t>
            </w:r>
          </w:p>
        </w:tc>
        <w:tc>
          <w:tcPr>
            <w:tcW w:w="1560" w:type="dxa"/>
            <w:tcMar/>
          </w:tcPr>
          <w:p w:rsidR="35F2A6C1" w:rsidP="286419BA" w:rsidRDefault="35F2A6C1" w14:paraId="5FA8DEE8" w14:textId="61738CB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35F2A6C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(0.5)</w:t>
            </w:r>
          </w:p>
        </w:tc>
      </w:tr>
    </w:tbl>
    <w:p w:rsidR="00FE14CC" w:rsidP="286419BA" w:rsidRDefault="00FE14CC" w14:paraId="649F5691" w14:textId="528A38CC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%</w:t>
      </w:r>
    </w:p>
    <w:p w:rsidR="00FE14CC" w:rsidP="286419BA" w:rsidRDefault="00FE14CC" w14:paraId="48136B7E" w14:textId="225EEEE9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86419BA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="00FE14CC" w:rsidP="3572C538" w:rsidRDefault="00FE14CC" w14:paraId="03E20E7F" w14:textId="5AF3E874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72C538" w:rsidR="3329DC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Pharmaceutical Segment</w:t>
      </w:r>
      <w:r w:rsidRPr="3572C538" w:rsidR="66DAC2E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3572C538" w:rsidR="66DAC2E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00FE14CC" w:rsidP="3572C538" w:rsidRDefault="00FE14CC" w14:paraId="28F1F54E" w14:textId="44DABFBD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Pharmaceutical segment is focused on the following therapeutic areas: Immunology (e.g. Rheumatoid arthritis, psoriatic arthritis, Inflammatory bowel disease and psoriasis),</w:t>
      </w:r>
      <w:r w:rsidRPr="21EC3314" w:rsidR="4773F2F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infectious</w:t>
      </w:r>
      <w:r w:rsidRPr="21EC3314" w:rsidR="4447C4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Diseases</w:t>
      </w:r>
      <w:r w:rsidRPr="21EC3314" w:rsidR="0276C51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(</w:t>
      </w:r>
      <w:r w:rsidRPr="21EC3314" w:rsidR="250A0FA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e.g. HIV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/AIDS),Neuroscience</w:t>
      </w:r>
      <w:r w:rsidRPr="21EC3314" w:rsidR="3B258AF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(e.g., mood</w:t>
      </w:r>
      <w:r w:rsidRPr="21EC3314" w:rsidR="7619DE0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disorders,</w:t>
      </w:r>
      <w:r w:rsidRPr="21EC3314" w:rsidR="56F7555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neuro</w:t>
      </w:r>
      <w:r w:rsidRPr="21EC3314" w:rsidR="030839C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degenerative</w:t>
      </w:r>
      <w:r w:rsidRPr="21EC3314" w:rsidR="1AA781E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disorders</w:t>
      </w:r>
      <w:r w:rsidRPr="21EC3314" w:rsidR="54FCA39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21EC3314" w:rsidR="78C14AD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schizophrenia),Oncology(</w:t>
      </w:r>
      <w:r w:rsidRPr="21EC3314" w:rsidR="27CA669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e.g. Prostate cancer, hematologic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malignancies,</w:t>
      </w:r>
      <w:r w:rsidRPr="21EC3314" w:rsidR="0A23BAE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lung</w:t>
      </w:r>
      <w:r w:rsidRPr="21EC3314" w:rsidR="7B23C92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cancer</w:t>
      </w:r>
      <w:r w:rsidRPr="21EC3314" w:rsidR="47413EA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21EC3314" w:rsidR="54CB07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bladder</w:t>
      </w:r>
      <w:r w:rsidRPr="21EC3314" w:rsidR="21B3269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cancer),Cardiovascular</w:t>
      </w:r>
      <w:r w:rsidRPr="21EC3314" w:rsidR="4E0736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21EC3314" w:rsidR="486A2F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Metabolism(</w:t>
      </w:r>
      <w:r w:rsidRPr="21EC3314" w:rsidR="3649C7F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e.g. Thrombosis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</w:t>
      </w:r>
      <w:r w:rsidRPr="21EC3314" w:rsidR="2928D29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diabetes</w:t>
      </w:r>
      <w:r w:rsidRPr="21EC3314" w:rsidR="458B1AB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nd</w:t>
      </w:r>
      <w:r w:rsidRPr="21EC3314" w:rsidR="76757BF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macular degeneration)</w:t>
      </w:r>
      <w:r w:rsidRPr="21EC3314" w:rsidR="0BF976E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21EC3314" w:rsidR="6D8677A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Pulmonary</w:t>
      </w:r>
      <w:r w:rsidRPr="21EC3314" w:rsidR="4A15105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Hypertension</w:t>
      </w:r>
      <w:r w:rsidRPr="21EC3314" w:rsidR="3A48300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(</w:t>
      </w:r>
      <w:r w:rsidRPr="21EC3314" w:rsidR="371C03A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e.g. Pulmonary</w:t>
      </w:r>
      <w:r w:rsidRPr="21EC3314" w:rsidR="50A55A3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Arterial</w:t>
      </w:r>
      <w:r w:rsidRPr="21EC3314" w:rsidR="4CDFF24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Hypertension).</w:t>
      </w:r>
      <w:r w:rsidRPr="21EC3314" w:rsidR="71189D5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Medicines</w:t>
      </w:r>
      <w:r w:rsidRPr="21EC3314" w:rsidR="6BA8BC9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</w:t>
      </w:r>
      <w:r w:rsidRPr="21EC3314" w:rsidR="537312B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this</w:t>
      </w:r>
      <w:r w:rsidRPr="21EC3314" w:rsidR="6364B5C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segment</w:t>
      </w:r>
      <w:r w:rsidRPr="21EC3314" w:rsidR="191CA9B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are distributed</w:t>
      </w:r>
      <w:r w:rsidRPr="21EC3314" w:rsidR="78B42C6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directly</w:t>
      </w:r>
      <w:r w:rsidRPr="21EC3314" w:rsidR="0D991F9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21EC3314" w:rsidR="7DE4FDE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retailers,</w:t>
      </w:r>
      <w:r w:rsidRPr="21EC3314" w:rsidR="3C86988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wholesalers, </w:t>
      </w:r>
      <w:r w:rsidRPr="21EC3314" w:rsidR="7C3F669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distributors, </w:t>
      </w:r>
      <w:r w:rsidRPr="21EC3314" w:rsidR="7C3F669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hospitals</w:t>
      </w:r>
      <w:r w:rsidRPr="21EC3314" w:rsidR="5DC7E8A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21EC3314" w:rsidR="179D3A0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7152DE9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health care</w:t>
      </w:r>
      <w:r w:rsidRPr="21EC3314" w:rsidR="20E548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professionals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for</w:t>
      </w:r>
      <w:r w:rsidRPr="21EC3314" w:rsidR="38E632E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prescription</w:t>
      </w:r>
      <w:r w:rsidRPr="21EC3314" w:rsidR="570C25E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11EBD9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use.</w:t>
      </w:r>
    </w:p>
    <w:p w:rsidR="00FE14CC" w:rsidP="286419BA" w:rsidRDefault="00FE14CC" w14:paraId="798418B0" w14:textId="7898A4FC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286419BA" w:rsidTr="286419BA" w14:paraId="772CB0A5">
        <w:trPr>
          <w:trHeight w:val="300"/>
        </w:trPr>
        <w:tc>
          <w:tcPr>
            <w:tcW w:w="1560" w:type="dxa"/>
            <w:tcMar/>
          </w:tcPr>
          <w:p w:rsidR="3495A504" w:rsidP="286419BA" w:rsidRDefault="3495A504" w14:paraId="7CE5DA2D" w14:textId="47601282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3495A50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Dollars in Million</w:t>
            </w:r>
          </w:p>
          <w:p w:rsidR="286419BA" w:rsidP="286419BA" w:rsidRDefault="286419BA" w14:paraId="3C2F06F3" w14:textId="06BEA48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3495A504" w:rsidP="286419BA" w:rsidRDefault="3495A504" w14:paraId="4DCEEB64" w14:textId="66933FB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3495A50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2022</w:t>
            </w:r>
          </w:p>
        </w:tc>
        <w:tc>
          <w:tcPr>
            <w:tcW w:w="1560" w:type="dxa"/>
            <w:tcMar/>
          </w:tcPr>
          <w:p w:rsidR="3495A504" w:rsidP="286419BA" w:rsidRDefault="3495A504" w14:paraId="05E50AE2" w14:textId="29BCA522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3495A50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 2021</w:t>
            </w:r>
          </w:p>
          <w:p w:rsidR="286419BA" w:rsidP="286419BA" w:rsidRDefault="286419BA" w14:paraId="0B1E776D" w14:textId="146981C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3495A504" w:rsidP="286419BA" w:rsidRDefault="3495A504" w14:paraId="7B6E4630" w14:textId="544010B8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3495A50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Total Change</w:t>
            </w:r>
          </w:p>
          <w:p w:rsidR="286419BA" w:rsidP="286419BA" w:rsidRDefault="286419BA" w14:paraId="506C956C" w14:textId="5937232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3495A504" w:rsidP="286419BA" w:rsidRDefault="3495A504" w14:paraId="0C04B67F" w14:textId="538D3F28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3495A50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Operations Change</w:t>
            </w:r>
          </w:p>
          <w:p w:rsidR="286419BA" w:rsidP="286419BA" w:rsidRDefault="286419BA" w14:paraId="294FD6E5" w14:textId="5EC0FD0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3495A504" w:rsidP="286419BA" w:rsidRDefault="3495A504" w14:paraId="24EE8234" w14:textId="3641327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3495A50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Currency Change</w:t>
            </w:r>
          </w:p>
          <w:p w:rsidR="286419BA" w:rsidP="286419BA" w:rsidRDefault="286419BA" w14:paraId="226433B7" w14:textId="41FCDDB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286419BA" w:rsidTr="286419BA" w14:paraId="79C50E72">
        <w:trPr>
          <w:trHeight w:val="300"/>
        </w:trPr>
        <w:tc>
          <w:tcPr>
            <w:tcW w:w="1560" w:type="dxa"/>
            <w:tcMar/>
          </w:tcPr>
          <w:p w:rsidR="3495A504" w:rsidP="286419BA" w:rsidRDefault="3495A504" w14:paraId="5811F64C" w14:textId="50316A6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3495A50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Total Immunology</w:t>
            </w:r>
          </w:p>
        </w:tc>
        <w:tc>
          <w:tcPr>
            <w:tcW w:w="1560" w:type="dxa"/>
            <w:tcMar/>
          </w:tcPr>
          <w:p w:rsidR="3495A504" w:rsidP="286419BA" w:rsidRDefault="3495A504" w14:paraId="223B3B05" w14:textId="3849346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3495A50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$16,935</w:t>
            </w:r>
          </w:p>
        </w:tc>
        <w:tc>
          <w:tcPr>
            <w:tcW w:w="1560" w:type="dxa"/>
            <w:tcMar/>
          </w:tcPr>
          <w:p w:rsidR="3495A504" w:rsidP="286419BA" w:rsidRDefault="3495A504" w14:paraId="67E35FC4" w14:textId="1EFD2A75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3495A50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16,750</w:t>
            </w:r>
          </w:p>
        </w:tc>
        <w:tc>
          <w:tcPr>
            <w:tcW w:w="1560" w:type="dxa"/>
            <w:tcMar/>
          </w:tcPr>
          <w:p w:rsidR="3495A504" w:rsidP="286419BA" w:rsidRDefault="3495A504" w14:paraId="02B6D031" w14:textId="12BCBD72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3495A50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1.1%</w:t>
            </w:r>
          </w:p>
        </w:tc>
        <w:tc>
          <w:tcPr>
            <w:tcW w:w="1560" w:type="dxa"/>
            <w:tcMar/>
          </w:tcPr>
          <w:p w:rsidR="3495A504" w:rsidP="286419BA" w:rsidRDefault="3495A504" w14:paraId="294B1DDE" w14:textId="02D828F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3495A50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4.8%</w:t>
            </w:r>
          </w:p>
        </w:tc>
        <w:tc>
          <w:tcPr>
            <w:tcW w:w="1560" w:type="dxa"/>
            <w:tcMar/>
          </w:tcPr>
          <w:p w:rsidR="3495A504" w:rsidP="286419BA" w:rsidRDefault="3495A504" w14:paraId="5252BCE7" w14:textId="209E1593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3495A50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(3.7)</w:t>
            </w:r>
          </w:p>
        </w:tc>
      </w:tr>
      <w:tr w:rsidR="286419BA" w:rsidTr="286419BA" w14:paraId="7499C5E1">
        <w:trPr>
          <w:trHeight w:val="300"/>
        </w:trPr>
        <w:tc>
          <w:tcPr>
            <w:tcW w:w="1560" w:type="dxa"/>
            <w:tcMar/>
          </w:tcPr>
          <w:p w:rsidR="130BBD58" w:rsidP="286419BA" w:rsidRDefault="130BBD58" w14:paraId="12F83647" w14:textId="7415510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130BBD5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Total Infectious Diseases</w:t>
            </w:r>
          </w:p>
        </w:tc>
        <w:tc>
          <w:tcPr>
            <w:tcW w:w="1560" w:type="dxa"/>
            <w:tcMar/>
          </w:tcPr>
          <w:p w:rsidR="130BBD58" w:rsidP="286419BA" w:rsidRDefault="130BBD58" w14:paraId="71905F61" w14:textId="79881C9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130BBD5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5,449</w:t>
            </w:r>
          </w:p>
        </w:tc>
        <w:tc>
          <w:tcPr>
            <w:tcW w:w="1560" w:type="dxa"/>
            <w:tcMar/>
          </w:tcPr>
          <w:p w:rsidR="130BBD58" w:rsidP="286419BA" w:rsidRDefault="130BBD58" w14:paraId="4A9E7485" w14:textId="4287D20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130BBD5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5,825</w:t>
            </w:r>
          </w:p>
        </w:tc>
        <w:tc>
          <w:tcPr>
            <w:tcW w:w="1560" w:type="dxa"/>
            <w:tcMar/>
          </w:tcPr>
          <w:p w:rsidR="130BBD58" w:rsidP="286419BA" w:rsidRDefault="130BBD58" w14:paraId="67D62BB0" w14:textId="40A1C1A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130BBD5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(6.5)</w:t>
            </w:r>
          </w:p>
        </w:tc>
        <w:tc>
          <w:tcPr>
            <w:tcW w:w="1560" w:type="dxa"/>
            <w:tcMar/>
          </w:tcPr>
          <w:p w:rsidR="130BBD58" w:rsidP="286419BA" w:rsidRDefault="130BBD58" w14:paraId="26978F1C" w14:textId="3DD985D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130BBD5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0.8</w:t>
            </w:r>
          </w:p>
        </w:tc>
        <w:tc>
          <w:tcPr>
            <w:tcW w:w="1560" w:type="dxa"/>
            <w:tcMar/>
          </w:tcPr>
          <w:p w:rsidR="130BBD58" w:rsidP="286419BA" w:rsidRDefault="130BBD58" w14:paraId="1D47D4B2" w14:textId="6BC1A0C1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130BBD5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(7.3)</w:t>
            </w:r>
          </w:p>
        </w:tc>
      </w:tr>
      <w:tr w:rsidR="286419BA" w:rsidTr="286419BA" w14:paraId="2EE75016">
        <w:trPr>
          <w:trHeight w:val="300"/>
        </w:trPr>
        <w:tc>
          <w:tcPr>
            <w:tcW w:w="1560" w:type="dxa"/>
            <w:tcMar/>
          </w:tcPr>
          <w:p w:rsidR="130BBD58" w:rsidP="286419BA" w:rsidRDefault="130BBD58" w14:paraId="4BF7B322" w14:textId="412D5F2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130BBD5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Total Neuroscience</w:t>
            </w:r>
          </w:p>
        </w:tc>
        <w:tc>
          <w:tcPr>
            <w:tcW w:w="1560" w:type="dxa"/>
            <w:tcMar/>
          </w:tcPr>
          <w:p w:rsidR="130BBD58" w:rsidP="286419BA" w:rsidRDefault="130BBD58" w14:paraId="7FE31A38" w14:textId="5F5770D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130BBD5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6,893</w:t>
            </w:r>
          </w:p>
        </w:tc>
        <w:tc>
          <w:tcPr>
            <w:tcW w:w="1560" w:type="dxa"/>
            <w:tcMar/>
          </w:tcPr>
          <w:p w:rsidR="130BBD58" w:rsidP="286419BA" w:rsidRDefault="130BBD58" w14:paraId="33F93C8D" w14:textId="10CB5C00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130BBD5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6,988</w:t>
            </w:r>
          </w:p>
        </w:tc>
        <w:tc>
          <w:tcPr>
            <w:tcW w:w="1560" w:type="dxa"/>
            <w:tcMar/>
          </w:tcPr>
          <w:p w:rsidR="130BBD58" w:rsidP="286419BA" w:rsidRDefault="130BBD58" w14:paraId="38BE7B38" w14:textId="40AAF37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130BBD5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(1.4)</w:t>
            </w:r>
          </w:p>
        </w:tc>
        <w:tc>
          <w:tcPr>
            <w:tcW w:w="1560" w:type="dxa"/>
            <w:tcMar/>
          </w:tcPr>
          <w:p w:rsidR="130BBD58" w:rsidP="286419BA" w:rsidRDefault="130BBD58" w14:paraId="219A7C68" w14:textId="4DA6FF9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130BBD5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3.4</w:t>
            </w:r>
          </w:p>
        </w:tc>
        <w:tc>
          <w:tcPr>
            <w:tcW w:w="1560" w:type="dxa"/>
            <w:tcMar/>
          </w:tcPr>
          <w:p w:rsidR="130BBD58" w:rsidP="286419BA" w:rsidRDefault="130BBD58" w14:paraId="26368FAA" w14:textId="0F27D8B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130BBD5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(4.8)</w:t>
            </w:r>
          </w:p>
        </w:tc>
      </w:tr>
      <w:tr w:rsidR="286419BA" w:rsidTr="286419BA" w14:paraId="37E8CE9E">
        <w:trPr>
          <w:trHeight w:val="300"/>
        </w:trPr>
        <w:tc>
          <w:tcPr>
            <w:tcW w:w="1560" w:type="dxa"/>
            <w:tcMar/>
          </w:tcPr>
          <w:p w:rsidR="2D0D7397" w:rsidP="286419BA" w:rsidRDefault="2D0D7397" w14:paraId="40D23F68" w14:textId="718A11AA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Total Oncology</w:t>
            </w:r>
          </w:p>
        </w:tc>
        <w:tc>
          <w:tcPr>
            <w:tcW w:w="1560" w:type="dxa"/>
            <w:tcMar/>
          </w:tcPr>
          <w:p w:rsidR="2D0D7397" w:rsidP="286419BA" w:rsidRDefault="2D0D7397" w14:paraId="30844D9B" w14:textId="0B585398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15,983</w:t>
            </w:r>
          </w:p>
        </w:tc>
        <w:tc>
          <w:tcPr>
            <w:tcW w:w="1560" w:type="dxa"/>
            <w:tcMar/>
          </w:tcPr>
          <w:p w:rsidR="2D0D7397" w:rsidP="286419BA" w:rsidRDefault="2D0D7397" w14:paraId="447AB205" w14:textId="2CC7559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14,548</w:t>
            </w:r>
          </w:p>
        </w:tc>
        <w:tc>
          <w:tcPr>
            <w:tcW w:w="1560" w:type="dxa"/>
            <w:tcMar/>
          </w:tcPr>
          <w:p w:rsidR="2D0D7397" w:rsidP="286419BA" w:rsidRDefault="2D0D7397" w14:paraId="563D1320" w14:textId="0E30E212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9.9</w:t>
            </w:r>
          </w:p>
        </w:tc>
        <w:tc>
          <w:tcPr>
            <w:tcW w:w="1560" w:type="dxa"/>
            <w:tcMar/>
          </w:tcPr>
          <w:p w:rsidR="2D0D7397" w:rsidP="286419BA" w:rsidRDefault="2D0D7397" w14:paraId="0DA012B9" w14:textId="10D061D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16.9</w:t>
            </w:r>
          </w:p>
        </w:tc>
        <w:tc>
          <w:tcPr>
            <w:tcW w:w="1560" w:type="dxa"/>
            <w:tcMar/>
          </w:tcPr>
          <w:p w:rsidR="2D0D7397" w:rsidP="286419BA" w:rsidRDefault="2D0D7397" w14:paraId="0EDE423F" w14:textId="4D150F03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(7.0)</w:t>
            </w:r>
          </w:p>
        </w:tc>
      </w:tr>
      <w:tr w:rsidR="286419BA" w:rsidTr="286419BA" w14:paraId="6EF74781">
        <w:trPr>
          <w:trHeight w:val="300"/>
        </w:trPr>
        <w:tc>
          <w:tcPr>
            <w:tcW w:w="1560" w:type="dxa"/>
            <w:tcMar/>
          </w:tcPr>
          <w:p w:rsidR="2D0D7397" w:rsidP="286419BA" w:rsidRDefault="2D0D7397" w14:paraId="33F7A06D" w14:textId="0F7BBF4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Total Pulmonary Hypertensio</w:t>
            </w: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</w:t>
            </w:r>
          </w:p>
        </w:tc>
        <w:tc>
          <w:tcPr>
            <w:tcW w:w="1560" w:type="dxa"/>
            <w:tcMar/>
          </w:tcPr>
          <w:p w:rsidR="2D0D7397" w:rsidP="286419BA" w:rsidRDefault="2D0D7397" w14:paraId="43686A54" w14:textId="48F6E2F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3.417</w:t>
            </w:r>
          </w:p>
        </w:tc>
        <w:tc>
          <w:tcPr>
            <w:tcW w:w="1560" w:type="dxa"/>
            <w:tcMar/>
          </w:tcPr>
          <w:p w:rsidR="2D0D7397" w:rsidP="286419BA" w:rsidRDefault="2D0D7397" w14:paraId="101920D4" w14:textId="366008B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3,450</w:t>
            </w:r>
          </w:p>
        </w:tc>
        <w:tc>
          <w:tcPr>
            <w:tcW w:w="1560" w:type="dxa"/>
            <w:tcMar/>
          </w:tcPr>
          <w:p w:rsidR="2D0D7397" w:rsidP="286419BA" w:rsidRDefault="2D0D7397" w14:paraId="467AF1F9" w14:textId="6E1EF050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(1.0)</w:t>
            </w:r>
          </w:p>
        </w:tc>
        <w:tc>
          <w:tcPr>
            <w:tcW w:w="1560" w:type="dxa"/>
            <w:tcMar/>
          </w:tcPr>
          <w:p w:rsidR="2D0D7397" w:rsidP="286419BA" w:rsidRDefault="2D0D7397" w14:paraId="6682CDB4" w14:textId="7339528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3.0</w:t>
            </w:r>
          </w:p>
        </w:tc>
        <w:tc>
          <w:tcPr>
            <w:tcW w:w="1560" w:type="dxa"/>
            <w:tcMar/>
          </w:tcPr>
          <w:p w:rsidR="2D0D7397" w:rsidP="286419BA" w:rsidRDefault="2D0D7397" w14:paraId="1D2C5746" w14:textId="37A489A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(4.0)</w:t>
            </w:r>
          </w:p>
        </w:tc>
      </w:tr>
      <w:tr w:rsidR="286419BA" w:rsidTr="286419BA" w14:paraId="72B1229B">
        <w:trPr>
          <w:trHeight w:val="300"/>
        </w:trPr>
        <w:tc>
          <w:tcPr>
            <w:tcW w:w="1560" w:type="dxa"/>
            <w:tcMar/>
          </w:tcPr>
          <w:p w:rsidR="2D0D7397" w:rsidP="286419BA" w:rsidRDefault="2D0D7397" w14:paraId="31BB5709" w14:textId="53AF5A9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Total Cardiovascular/ Metabolism /Other</w:t>
            </w:r>
          </w:p>
        </w:tc>
        <w:tc>
          <w:tcPr>
            <w:tcW w:w="1560" w:type="dxa"/>
            <w:tcMar/>
          </w:tcPr>
          <w:p w:rsidR="2D0D7397" w:rsidP="286419BA" w:rsidRDefault="2D0D7397" w14:paraId="745E1E6C" w14:textId="0F4A48D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3,887</w:t>
            </w:r>
          </w:p>
        </w:tc>
        <w:tc>
          <w:tcPr>
            <w:tcW w:w="1560" w:type="dxa"/>
            <w:tcMar/>
          </w:tcPr>
          <w:p w:rsidR="2D0D7397" w:rsidP="286419BA" w:rsidRDefault="2D0D7397" w14:paraId="0A219E08" w14:textId="6A3E430A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4,119</w:t>
            </w:r>
          </w:p>
        </w:tc>
        <w:tc>
          <w:tcPr>
            <w:tcW w:w="1560" w:type="dxa"/>
            <w:tcMar/>
          </w:tcPr>
          <w:p w:rsidR="2D0D7397" w:rsidP="286419BA" w:rsidRDefault="2D0D7397" w14:paraId="07817187" w14:textId="47D4459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(5.6)</w:t>
            </w:r>
          </w:p>
        </w:tc>
        <w:tc>
          <w:tcPr>
            <w:tcW w:w="1560" w:type="dxa"/>
            <w:tcMar/>
          </w:tcPr>
          <w:p w:rsidR="2D0D7397" w:rsidP="286419BA" w:rsidRDefault="2D0D7397" w14:paraId="4E72A3B9" w14:textId="43EBA6B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(4.0)</w:t>
            </w:r>
          </w:p>
        </w:tc>
        <w:tc>
          <w:tcPr>
            <w:tcW w:w="1560" w:type="dxa"/>
            <w:tcMar/>
          </w:tcPr>
          <w:p w:rsidR="2D0D7397" w:rsidP="286419BA" w:rsidRDefault="2D0D7397" w14:paraId="690E97BE" w14:textId="13DDC7B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(1.6)</w:t>
            </w:r>
          </w:p>
        </w:tc>
      </w:tr>
      <w:tr w:rsidR="286419BA" w:rsidTr="286419BA" w14:paraId="69A53673">
        <w:trPr>
          <w:trHeight w:val="300"/>
        </w:trPr>
        <w:tc>
          <w:tcPr>
            <w:tcW w:w="1560" w:type="dxa"/>
            <w:tcMar/>
          </w:tcPr>
          <w:p w:rsidR="2D0D7397" w:rsidP="286419BA" w:rsidRDefault="2D0D7397" w14:paraId="59C7B5A4" w14:textId="39C11329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Total Pharmaceutical Sales</w:t>
            </w:r>
          </w:p>
        </w:tc>
        <w:tc>
          <w:tcPr>
            <w:tcW w:w="1560" w:type="dxa"/>
            <w:tcMar/>
          </w:tcPr>
          <w:p w:rsidR="2D0D7397" w:rsidP="286419BA" w:rsidRDefault="2D0D7397" w14:paraId="0180FCC1" w14:textId="4B83980F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$52,563</w:t>
            </w:r>
          </w:p>
        </w:tc>
        <w:tc>
          <w:tcPr>
            <w:tcW w:w="1560" w:type="dxa"/>
            <w:tcMar/>
          </w:tcPr>
          <w:p w:rsidR="2D0D7397" w:rsidP="286419BA" w:rsidRDefault="2D0D7397" w14:paraId="2DBEBAE7" w14:textId="31ADEE0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51,680</w:t>
            </w:r>
          </w:p>
        </w:tc>
        <w:tc>
          <w:tcPr>
            <w:tcW w:w="1560" w:type="dxa"/>
            <w:tcMar/>
          </w:tcPr>
          <w:p w:rsidR="2D0D7397" w:rsidP="286419BA" w:rsidRDefault="2D0D7397" w14:paraId="6069544D" w14:textId="2EE1AA0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1.7%</w:t>
            </w:r>
          </w:p>
        </w:tc>
        <w:tc>
          <w:tcPr>
            <w:tcW w:w="1560" w:type="dxa"/>
            <w:tcMar/>
          </w:tcPr>
          <w:p w:rsidR="2D0D7397" w:rsidP="286419BA" w:rsidRDefault="2D0D7397" w14:paraId="1936DA0D" w14:textId="3997CE95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6.7%</w:t>
            </w:r>
          </w:p>
        </w:tc>
        <w:tc>
          <w:tcPr>
            <w:tcW w:w="1560" w:type="dxa"/>
            <w:tcMar/>
          </w:tcPr>
          <w:p w:rsidR="2D0D7397" w:rsidP="286419BA" w:rsidRDefault="2D0D7397" w14:paraId="54732ABC" w14:textId="73BFDF55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2D0D739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(5.0)%</w:t>
            </w:r>
          </w:p>
        </w:tc>
      </w:tr>
    </w:tbl>
    <w:p w:rsidR="00FE14CC" w:rsidP="286419BA" w:rsidRDefault="00FE14CC" w14:paraId="251D8D64" w14:textId="2806297C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26C3182" w:rsidP="286419BA" w:rsidRDefault="426C3182" w14:paraId="5FBFA728" w14:textId="763C9050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572C538" w:rsidR="426C318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MEDtech Segment</w:t>
      </w:r>
      <w:r w:rsidRPr="3572C538" w:rsidR="426C318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</w:p>
    <w:p w:rsidR="2AF3C81A" w:rsidP="3572C538" w:rsidRDefault="2AF3C81A" w14:paraId="6E0A639E" w14:textId="627FE0F2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 MedTech segment includes a broad portfolio of products used in the Interventional Solutions, </w:t>
      </w:r>
      <w:r w:rsidRPr="21EC3314" w:rsidR="5D4FB2A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Orthopedics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</w:t>
      </w:r>
      <w:r w:rsidRPr="21EC3314" w:rsidR="6C52B6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Surgery and Vision </w:t>
      </w:r>
      <w:r w:rsidRPr="21EC3314" w:rsidR="49A09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categories.</w:t>
      </w:r>
      <w:r w:rsidRPr="21EC3314" w:rsidR="75566D1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These</w:t>
      </w:r>
      <w:r w:rsidRPr="21EC3314" w:rsidR="30CF23A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product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</w:t>
      </w:r>
      <w:r w:rsidRPr="21EC3314" w:rsidR="17F0C2A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are</w:t>
      </w:r>
      <w:r w:rsidRPr="21EC3314" w:rsidR="5D31F58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distributed</w:t>
      </w:r>
      <w:r w:rsidRPr="21EC3314" w:rsidR="2BBB837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21EC3314" w:rsidR="6C04E88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wholesalers,</w:t>
      </w:r>
      <w:r w:rsidRPr="21EC3314" w:rsidR="2C8316F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hospitals</w:t>
      </w:r>
      <w:r w:rsidRPr="21EC3314" w:rsidR="47903F4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21EC3314" w:rsidR="3D128A3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7EDBB8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retailers, and</w:t>
      </w:r>
      <w:r w:rsidRPr="21EC3314" w:rsidR="6A28998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used</w:t>
      </w:r>
      <w:r w:rsidRPr="21EC3314" w:rsidR="565014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predominantly in</w:t>
      </w:r>
      <w:r w:rsidRPr="21EC3314" w:rsidR="3E2021C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21EC3314" w:rsidR="33F1411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professional</w:t>
      </w:r>
      <w:r w:rsidRPr="21EC3314" w:rsidR="0DF9D0E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fields</w:t>
      </w:r>
      <w:r w:rsidRPr="21EC3314" w:rsidR="52ACF9B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by</w:t>
      </w:r>
      <w:r w:rsidRPr="21EC3314" w:rsidR="4053BC9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physicians,</w:t>
      </w:r>
      <w:r w:rsidRPr="21EC3314" w:rsidR="165D54F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nurses,</w:t>
      </w:r>
      <w:r w:rsidRPr="21EC3314" w:rsidR="3424CFF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hospitals,</w:t>
      </w:r>
      <w:r w:rsidRPr="21EC3314" w:rsidR="2B14E36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eyecare</w:t>
      </w:r>
      <w:r w:rsidRPr="21EC3314" w:rsidR="58EC0B7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professionals</w:t>
      </w:r>
      <w:r w:rsidRPr="21EC3314" w:rsidR="174827B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21EC3314" w:rsidR="22D1274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clinics</w:t>
      </w:r>
      <w:r w:rsidRPr="21EC3314" w:rsidR="2AF3C8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286419BA" w:rsidP="286419BA" w:rsidRDefault="286419BA" w14:paraId="75DE139D" w14:textId="1A6CFF89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286419BA" w:rsidTr="3572C538" w14:paraId="0297D1EA">
        <w:trPr>
          <w:trHeight w:val="300"/>
        </w:trPr>
        <w:tc>
          <w:tcPr>
            <w:tcW w:w="1560" w:type="dxa"/>
            <w:tcMar/>
          </w:tcPr>
          <w:p w:rsidR="40E61F4C" w:rsidP="286419BA" w:rsidRDefault="40E61F4C" w14:paraId="183FB90F" w14:textId="47601282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40E61F4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Dollars in Million</w:t>
            </w:r>
          </w:p>
          <w:p w:rsidR="286419BA" w:rsidP="286419BA" w:rsidRDefault="286419BA" w14:paraId="5D1DD8CA" w14:textId="710F5F7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40E61F4C" w:rsidP="286419BA" w:rsidRDefault="40E61F4C" w14:paraId="44A9287D" w14:textId="1279E572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40E61F4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2022</w:t>
            </w:r>
          </w:p>
        </w:tc>
        <w:tc>
          <w:tcPr>
            <w:tcW w:w="1560" w:type="dxa"/>
            <w:tcMar/>
          </w:tcPr>
          <w:p w:rsidR="40E61F4C" w:rsidP="286419BA" w:rsidRDefault="40E61F4C" w14:paraId="7C323474" w14:textId="1CF5A4E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40E61F4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2021</w:t>
            </w:r>
          </w:p>
        </w:tc>
        <w:tc>
          <w:tcPr>
            <w:tcW w:w="1560" w:type="dxa"/>
            <w:tcMar/>
          </w:tcPr>
          <w:p w:rsidR="40E61F4C" w:rsidP="286419BA" w:rsidRDefault="40E61F4C" w14:paraId="6E741C03" w14:textId="544010B8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40E61F4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Total Change</w:t>
            </w:r>
          </w:p>
          <w:p w:rsidR="286419BA" w:rsidP="286419BA" w:rsidRDefault="286419BA" w14:paraId="04E003F9" w14:textId="33152CA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40E61F4C" w:rsidP="286419BA" w:rsidRDefault="40E61F4C" w14:paraId="318E45A6" w14:textId="538D3F28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40E61F4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Operations Change</w:t>
            </w:r>
          </w:p>
          <w:p w:rsidR="286419BA" w:rsidP="286419BA" w:rsidRDefault="286419BA" w14:paraId="37DF0E9E" w14:textId="471DA70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0" w:type="dxa"/>
            <w:tcMar/>
          </w:tcPr>
          <w:p w:rsidR="40E61F4C" w:rsidP="286419BA" w:rsidRDefault="40E61F4C" w14:paraId="0EC59F00" w14:textId="3641327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86419BA" w:rsidR="40E61F4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Currency Change</w:t>
            </w:r>
          </w:p>
          <w:p w:rsidR="286419BA" w:rsidP="286419BA" w:rsidRDefault="286419BA" w14:paraId="6208F8A2" w14:textId="7163BCD8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3572C538" w:rsidTr="3572C538" w14:paraId="425BABE3">
        <w:trPr>
          <w:trHeight w:val="300"/>
        </w:trPr>
        <w:tc>
          <w:tcPr>
            <w:tcW w:w="1560" w:type="dxa"/>
            <w:tcMar/>
          </w:tcPr>
          <w:p w:rsidR="554D1A34" w:rsidP="3572C538" w:rsidRDefault="554D1A34" w14:paraId="3FF1AEEF" w14:textId="609FCFE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554D1A3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Surgery</w:t>
            </w:r>
          </w:p>
        </w:tc>
        <w:tc>
          <w:tcPr>
            <w:tcW w:w="1560" w:type="dxa"/>
            <w:tcMar/>
          </w:tcPr>
          <w:p w:rsidR="59C16770" w:rsidP="3572C538" w:rsidRDefault="59C16770" w14:paraId="45F79832" w14:textId="680A7D79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59C1677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$9,690</w:t>
            </w:r>
          </w:p>
        </w:tc>
        <w:tc>
          <w:tcPr>
            <w:tcW w:w="1560" w:type="dxa"/>
            <w:tcMar/>
          </w:tcPr>
          <w:p w:rsidR="59C16770" w:rsidP="3572C538" w:rsidRDefault="59C16770" w14:paraId="58255661" w14:textId="751C17D0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59C1677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9,812</w:t>
            </w:r>
          </w:p>
        </w:tc>
        <w:tc>
          <w:tcPr>
            <w:tcW w:w="1560" w:type="dxa"/>
            <w:tcMar/>
          </w:tcPr>
          <w:p w:rsidR="166FF97F" w:rsidP="3572C538" w:rsidRDefault="166FF97F" w14:paraId="16681280" w14:textId="077BC280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166FF97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</w:t>
            </w:r>
            <w:r w:rsidRPr="3572C538" w:rsidR="166FF97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1.2) %</w:t>
            </w:r>
          </w:p>
        </w:tc>
        <w:tc>
          <w:tcPr>
            <w:tcW w:w="1560" w:type="dxa"/>
            <w:tcMar/>
          </w:tcPr>
          <w:p w:rsidR="166FF97F" w:rsidP="3572C538" w:rsidRDefault="166FF97F" w14:paraId="72F39C55" w14:textId="6B9CE432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166FF97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3.8%</w:t>
            </w:r>
          </w:p>
        </w:tc>
        <w:tc>
          <w:tcPr>
            <w:tcW w:w="1560" w:type="dxa"/>
            <w:tcMar/>
          </w:tcPr>
          <w:p w:rsidR="166FF97F" w:rsidP="3572C538" w:rsidRDefault="166FF97F" w14:paraId="4C4B1808" w14:textId="3AF4FDD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166FF97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</w:t>
            </w:r>
            <w:r w:rsidRPr="3572C538" w:rsidR="166FF97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5.0) %</w:t>
            </w:r>
          </w:p>
        </w:tc>
      </w:tr>
      <w:tr w:rsidR="3572C538" w:rsidTr="3572C538" w14:paraId="5F6DB55A">
        <w:trPr>
          <w:trHeight w:val="300"/>
        </w:trPr>
        <w:tc>
          <w:tcPr>
            <w:tcW w:w="1560" w:type="dxa"/>
            <w:tcMar/>
          </w:tcPr>
          <w:p w:rsidR="59C16770" w:rsidP="3572C538" w:rsidRDefault="59C16770" w14:paraId="4C044252" w14:textId="2B4F8489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59C1677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Orthopedic</w:t>
            </w:r>
          </w:p>
        </w:tc>
        <w:tc>
          <w:tcPr>
            <w:tcW w:w="1560" w:type="dxa"/>
            <w:tcMar/>
          </w:tcPr>
          <w:p w:rsidR="59C16770" w:rsidP="3572C538" w:rsidRDefault="59C16770" w14:paraId="3A168669" w14:textId="45AA8BF2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59C1677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8,587</w:t>
            </w:r>
          </w:p>
        </w:tc>
        <w:tc>
          <w:tcPr>
            <w:tcW w:w="1560" w:type="dxa"/>
            <w:tcMar/>
          </w:tcPr>
          <w:p w:rsidR="03C06875" w:rsidP="3572C538" w:rsidRDefault="03C06875" w14:paraId="015CAAE1" w14:textId="1948AE25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03C0687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8,588</w:t>
            </w:r>
          </w:p>
        </w:tc>
        <w:tc>
          <w:tcPr>
            <w:tcW w:w="1560" w:type="dxa"/>
            <w:tcMar/>
          </w:tcPr>
          <w:p w:rsidR="2E00BAE5" w:rsidP="3572C538" w:rsidRDefault="2E00BAE5" w14:paraId="706B3009" w14:textId="040C2A73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2E00BAE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0</w:t>
            </w:r>
          </w:p>
        </w:tc>
        <w:tc>
          <w:tcPr>
            <w:tcW w:w="1560" w:type="dxa"/>
            <w:tcMar/>
          </w:tcPr>
          <w:p w:rsidR="2E00BAE5" w:rsidP="3572C538" w:rsidRDefault="2E00BAE5" w14:paraId="3AA9F6A8" w14:textId="5D25DAF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2E00BAE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3.7%</w:t>
            </w:r>
          </w:p>
        </w:tc>
        <w:tc>
          <w:tcPr>
            <w:tcW w:w="1560" w:type="dxa"/>
            <w:tcMar/>
          </w:tcPr>
          <w:p w:rsidR="2E00BAE5" w:rsidP="3572C538" w:rsidRDefault="2E00BAE5" w14:paraId="125430C4" w14:textId="1801611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2E00BAE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</w:t>
            </w:r>
            <w:r w:rsidRPr="3572C538" w:rsidR="4BF812A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3.7) %</w:t>
            </w:r>
          </w:p>
        </w:tc>
      </w:tr>
      <w:tr w:rsidR="3572C538" w:rsidTr="3572C538" w14:paraId="31B53841">
        <w:trPr>
          <w:trHeight w:val="300"/>
        </w:trPr>
        <w:tc>
          <w:tcPr>
            <w:tcW w:w="1560" w:type="dxa"/>
            <w:tcMar/>
          </w:tcPr>
          <w:p w:rsidR="59C16770" w:rsidP="3572C538" w:rsidRDefault="59C16770" w14:paraId="531CFB8A" w14:textId="071B1DF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59C1677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Vision</w:t>
            </w:r>
          </w:p>
        </w:tc>
        <w:tc>
          <w:tcPr>
            <w:tcW w:w="1560" w:type="dxa"/>
            <w:tcMar/>
          </w:tcPr>
          <w:p w:rsidR="59C16770" w:rsidP="3572C538" w:rsidRDefault="59C16770" w14:paraId="4B09C63B" w14:textId="1792ACD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59C1677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4,849</w:t>
            </w:r>
          </w:p>
        </w:tc>
        <w:tc>
          <w:tcPr>
            <w:tcW w:w="1560" w:type="dxa"/>
            <w:tcMar/>
          </w:tcPr>
          <w:p w:rsidR="12A8EBB8" w:rsidP="3572C538" w:rsidRDefault="12A8EBB8" w14:paraId="393600F7" w14:textId="6327F81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12A8EBB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4,688</w:t>
            </w:r>
          </w:p>
        </w:tc>
        <w:tc>
          <w:tcPr>
            <w:tcW w:w="1560" w:type="dxa"/>
            <w:tcMar/>
          </w:tcPr>
          <w:p w:rsidR="010A32D8" w:rsidP="3572C538" w:rsidRDefault="010A32D8" w14:paraId="1A45C03D" w14:textId="7427D6B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010A32D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3.4</w:t>
            </w:r>
          </w:p>
        </w:tc>
        <w:tc>
          <w:tcPr>
            <w:tcW w:w="1560" w:type="dxa"/>
            <w:tcMar/>
          </w:tcPr>
          <w:p w:rsidR="010A32D8" w:rsidP="3572C538" w:rsidRDefault="010A32D8" w14:paraId="1502E153" w14:textId="6AAA55D3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010A32D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9.5</w:t>
            </w:r>
          </w:p>
        </w:tc>
        <w:tc>
          <w:tcPr>
            <w:tcW w:w="1560" w:type="dxa"/>
            <w:tcMar/>
          </w:tcPr>
          <w:p w:rsidR="010A32D8" w:rsidP="3572C538" w:rsidRDefault="010A32D8" w14:paraId="0A156903" w14:textId="01167210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010A32D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(6.1)</w:t>
            </w:r>
          </w:p>
        </w:tc>
      </w:tr>
      <w:tr w:rsidR="3572C538" w:rsidTr="3572C538" w14:paraId="31A5D5BF">
        <w:trPr>
          <w:trHeight w:val="300"/>
        </w:trPr>
        <w:tc>
          <w:tcPr>
            <w:tcW w:w="1560" w:type="dxa"/>
            <w:tcMar/>
          </w:tcPr>
          <w:p w:rsidR="59C16770" w:rsidP="3572C538" w:rsidRDefault="59C16770" w14:paraId="0981934B" w14:textId="5BFBFB7A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59C1677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Interventional Solutions</w:t>
            </w:r>
          </w:p>
        </w:tc>
        <w:tc>
          <w:tcPr>
            <w:tcW w:w="1560" w:type="dxa"/>
            <w:tcMar/>
          </w:tcPr>
          <w:p w:rsidR="59C16770" w:rsidP="3572C538" w:rsidRDefault="59C16770" w14:paraId="494CD3AA" w14:textId="6C611D15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59C1677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4,300</w:t>
            </w:r>
          </w:p>
        </w:tc>
        <w:tc>
          <w:tcPr>
            <w:tcW w:w="1560" w:type="dxa"/>
            <w:tcMar/>
          </w:tcPr>
          <w:p w:rsidR="52288B7A" w:rsidP="3572C538" w:rsidRDefault="52288B7A" w14:paraId="686553FC" w14:textId="078A4442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52288B7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3,971</w:t>
            </w:r>
          </w:p>
        </w:tc>
        <w:tc>
          <w:tcPr>
            <w:tcW w:w="1560" w:type="dxa"/>
            <w:tcMar/>
          </w:tcPr>
          <w:p w:rsidR="45917C4B" w:rsidP="3572C538" w:rsidRDefault="45917C4B" w14:paraId="19E1EEBA" w14:textId="2230D3F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45917C4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8.3</w:t>
            </w:r>
          </w:p>
        </w:tc>
        <w:tc>
          <w:tcPr>
            <w:tcW w:w="1560" w:type="dxa"/>
            <w:tcMar/>
          </w:tcPr>
          <w:p w:rsidR="45917C4B" w:rsidP="3572C538" w:rsidRDefault="45917C4B" w14:paraId="7FA8A8C6" w14:textId="16D0508D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45917C4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13.7</w:t>
            </w:r>
          </w:p>
        </w:tc>
        <w:tc>
          <w:tcPr>
            <w:tcW w:w="1560" w:type="dxa"/>
            <w:tcMar/>
          </w:tcPr>
          <w:p w:rsidR="76BE5482" w:rsidP="3572C538" w:rsidRDefault="76BE5482" w14:paraId="6B16563E" w14:textId="32AB3B31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76BE548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(5.4)</w:t>
            </w:r>
          </w:p>
        </w:tc>
      </w:tr>
      <w:tr w:rsidR="3572C538" w:rsidTr="3572C538" w14:paraId="3948880F">
        <w:trPr>
          <w:trHeight w:val="300"/>
        </w:trPr>
        <w:tc>
          <w:tcPr>
            <w:tcW w:w="1560" w:type="dxa"/>
            <w:tcMar/>
          </w:tcPr>
          <w:p w:rsidR="59C16770" w:rsidP="3572C538" w:rsidRDefault="59C16770" w14:paraId="1D7A113B" w14:textId="0BF95E2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59C1677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Total Medtech sales</w:t>
            </w:r>
          </w:p>
        </w:tc>
        <w:tc>
          <w:tcPr>
            <w:tcW w:w="1560" w:type="dxa"/>
            <w:tcMar/>
          </w:tcPr>
          <w:p w:rsidR="59C16770" w:rsidP="3572C538" w:rsidRDefault="59C16770" w14:paraId="55E98913" w14:textId="49320BD4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59C1677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$27,427</w:t>
            </w:r>
          </w:p>
        </w:tc>
        <w:tc>
          <w:tcPr>
            <w:tcW w:w="1560" w:type="dxa"/>
            <w:tcMar/>
          </w:tcPr>
          <w:p w:rsidR="43A3F061" w:rsidP="3572C538" w:rsidRDefault="43A3F061" w14:paraId="41219135" w14:textId="5DDF0389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43A3F06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27,060</w:t>
            </w:r>
          </w:p>
        </w:tc>
        <w:tc>
          <w:tcPr>
            <w:tcW w:w="1560" w:type="dxa"/>
            <w:tcMar/>
          </w:tcPr>
          <w:p w:rsidR="43DC7A94" w:rsidP="3572C538" w:rsidRDefault="43DC7A94" w14:paraId="4EEB466C" w14:textId="07EA7786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43DC7A9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1.4%</w:t>
            </w:r>
          </w:p>
        </w:tc>
        <w:tc>
          <w:tcPr>
            <w:tcW w:w="1560" w:type="dxa"/>
            <w:tcMar/>
          </w:tcPr>
          <w:p w:rsidR="43DC7A94" w:rsidP="3572C538" w:rsidRDefault="43DC7A94" w14:paraId="11D21283" w14:textId="525B8EE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43DC7A9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6.2%</w:t>
            </w:r>
          </w:p>
        </w:tc>
        <w:tc>
          <w:tcPr>
            <w:tcW w:w="1560" w:type="dxa"/>
            <w:tcMar/>
          </w:tcPr>
          <w:p w:rsidR="43DC7A94" w:rsidP="3572C538" w:rsidRDefault="43DC7A94" w14:paraId="26F0C0EC" w14:textId="7299573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572C538" w:rsidR="43DC7A9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(4.8)%</w:t>
            </w:r>
          </w:p>
        </w:tc>
      </w:tr>
    </w:tbl>
    <w:p w:rsidR="286419BA" w:rsidP="286419BA" w:rsidRDefault="286419BA" w14:paraId="2C6C0476" w14:textId="3AC95BEB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572C538" w:rsidP="3572C538" w:rsidRDefault="3572C538" w14:paraId="3952275C" w14:textId="6CF000ED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62A12479" w:rsidP="3572C538" w:rsidRDefault="62A12479" w14:paraId="51B3F201" w14:textId="77C34FF8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572C538" w:rsidR="62A1247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Cost drivers for Johnson and Johnson:</w:t>
      </w:r>
    </w:p>
    <w:p w:rsidR="7ED7617B" w:rsidP="3572C538" w:rsidRDefault="7ED7617B" w14:paraId="4C9BD19D" w14:textId="48943F33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72C538" w:rsidR="7ED7617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Research and developmen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</w:t>
      </w:r>
      <w:r w:rsidRPr="3572C538" w:rsidR="3639AC1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: Research and development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activities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represent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significant part of the Company’s business.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These expenditures relate to the processes of discovering, testing and developing</w:t>
      </w:r>
      <w:r w:rsidRPr="3572C538" w:rsidR="1C4A872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new</w:t>
      </w:r>
      <w:r w:rsidRPr="3572C538" w:rsidR="2826D6F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products, up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front</w:t>
      </w:r>
      <w:r w:rsidRPr="3572C538" w:rsidR="2EB0360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payments</w:t>
      </w:r>
      <w:r w:rsidRPr="3572C538" w:rsidR="32E624D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3572C538" w:rsidR="5408B8B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developmental</w:t>
      </w:r>
      <w:r w:rsidRPr="3572C538" w:rsidR="3D7C46A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milestones, improving</w:t>
      </w:r>
      <w:r w:rsidRPr="3572C538" w:rsidR="6606184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existing</w:t>
      </w:r>
      <w:r w:rsidRPr="3572C538" w:rsidR="514A045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products,</w:t>
      </w:r>
      <w:r w:rsidRPr="3572C538" w:rsidR="311B082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as</w:t>
      </w:r>
      <w:r w:rsidRPr="3572C538" w:rsidR="41B13F3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well</w:t>
      </w:r>
      <w:r w:rsidRPr="3572C538" w:rsidR="1DC0062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as</w:t>
      </w:r>
      <w:r w:rsidRPr="3572C538" w:rsidR="74EFEFA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ensuring</w:t>
      </w:r>
      <w:r w:rsidRPr="3572C538" w:rsidR="64FAE5D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product</w:t>
      </w:r>
      <w:r w:rsidRPr="3572C538" w:rsidR="3D3F13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efficacy</w:t>
      </w:r>
      <w:r w:rsidRPr="3572C538" w:rsidR="40549EC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3572C538" w:rsidR="7A0325D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regulatory</w:t>
      </w:r>
      <w:r w:rsidRPr="3572C538" w:rsidR="300381D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compliance</w:t>
      </w:r>
      <w:r w:rsidRPr="3572C538" w:rsidR="4646A4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prior</w:t>
      </w:r>
      <w:r w:rsidRPr="3572C538" w:rsidR="69D8CC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3572C538" w:rsidR="69D8CC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67BC99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launch.</w:t>
      </w:r>
      <w:r w:rsidRPr="3572C538" w:rsidR="67BC99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67BC991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3572C538" w:rsidR="6B0BDA3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Company </w:t>
      </w:r>
      <w:r w:rsidRPr="3572C538" w:rsidR="1CCEB94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remains committed</w:t>
      </w:r>
      <w:r w:rsidRPr="3572C538" w:rsidR="2888F93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3572C538" w:rsidR="2D17FE7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investing</w:t>
      </w:r>
      <w:r w:rsidRPr="3572C538" w:rsidR="6817DB7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36766BF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 research</w:t>
      </w:r>
      <w:r w:rsidRPr="3572C538" w:rsidR="400AAFE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3572C538" w:rsidR="251464C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development</w:t>
      </w:r>
      <w:r w:rsidRPr="3572C538" w:rsidR="3A7C76E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with</w:t>
      </w:r>
      <w:r w:rsidRPr="3572C538" w:rsidR="42DDC6B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3572C538" w:rsidR="5CA2342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aim</w:t>
      </w:r>
      <w:r w:rsidRPr="3572C538" w:rsidR="43F8BBD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of</w:t>
      </w:r>
      <w:r w:rsidRPr="3572C538" w:rsidR="356F5E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delivering</w:t>
      </w:r>
      <w:r w:rsidRPr="3572C538" w:rsidR="61412A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high</w:t>
      </w:r>
      <w:r w:rsidRPr="3572C538" w:rsidR="59CCA3A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quality</w:t>
      </w:r>
      <w:r w:rsidRPr="3572C538" w:rsidR="6B8247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3572C538" w:rsidR="0DBAF34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innovative</w:t>
      </w:r>
      <w:r w:rsidRPr="3572C538" w:rsidR="070B60D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products.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Research</w:t>
      </w:r>
      <w:r w:rsidRPr="3572C538" w:rsidR="08E5F89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3572C538" w:rsidR="1F14AEB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Development</w:t>
      </w:r>
      <w:r w:rsidRPr="3572C538" w:rsidR="2B3B98C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decreased</w:t>
      </w:r>
      <w:r w:rsidRPr="3572C538" w:rsidR="625559A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as</w:t>
      </w:r>
      <w:r w:rsidRPr="3572C538" w:rsidR="5538D9E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</w:t>
      </w:r>
      <w:r w:rsidRPr="3572C538" w:rsidR="0FFE07F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percent</w:t>
      </w:r>
      <w:r w:rsidRPr="3572C538" w:rsidR="487C7A5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3572C538" w:rsidR="032452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sales</w:t>
      </w:r>
      <w:r w:rsidRPr="3572C538" w:rsidR="33A4FC0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primarily</w:t>
      </w:r>
      <w:r w:rsidRPr="3572C538" w:rsidR="5590559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driven</w:t>
      </w:r>
      <w:r w:rsidRPr="3572C538" w:rsidR="2BA127B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7ED761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by: </w:t>
      </w:r>
    </w:p>
    <w:p w:rsidR="158C1EB4" w:rsidP="3572C538" w:rsidRDefault="158C1EB4" w14:paraId="52FF100B" w14:textId="557DA28E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72C538" w:rsidR="158C1E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• Lower milestone payments in the </w:t>
      </w:r>
      <w:r w:rsidRPr="3572C538" w:rsidR="158C1E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pharmaceutical</w:t>
      </w:r>
      <w:r w:rsidRPr="3572C538" w:rsidR="158C1E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business</w:t>
      </w:r>
    </w:p>
    <w:p w:rsidR="158C1EB4" w:rsidP="3572C538" w:rsidRDefault="158C1EB4" w14:paraId="51856A02" w14:textId="79B42E3A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572C538" w:rsidR="158C1EB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Cost of Products Sold and Selling, Marketing and Administrative Expenses:</w:t>
      </w:r>
    </w:p>
    <w:p w:rsidR="158C1EB4" w:rsidP="3572C538" w:rsidRDefault="158C1EB4" w14:paraId="03064091" w14:textId="17D0002C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72C538" w:rsidR="158C1E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cost of goods sold increased as a percentage of sales driven by</w:t>
      </w:r>
    </w:p>
    <w:p w:rsidR="1F1EE3BD" w:rsidP="3572C538" w:rsidRDefault="1F1EE3BD" w14:paraId="36A59ECB" w14:textId="2A120F05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•One-time COVID-19 vaccine manufacturing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exit related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costs </w:t>
      </w:r>
    </w:p>
    <w:p w:rsidR="1F1EE3BD" w:rsidP="3572C538" w:rsidRDefault="1F1EE3BD" w14:paraId="770EDF06" w14:textId="39102BEC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•Currency impacts in the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pharmaceutical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segment </w:t>
      </w:r>
    </w:p>
    <w:p w:rsidR="1F1EE3BD" w:rsidP="3572C538" w:rsidRDefault="1F1EE3BD" w14:paraId="3CEE80D5" w14:textId="27047862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•Commodity inflation in</w:t>
      </w:r>
      <w:r w:rsidRPr="3572C538" w:rsidR="1FA315D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3572C538" w:rsidR="403A04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MedTech</w:t>
      </w:r>
      <w:r w:rsidRPr="3572C538" w:rsidR="043E9ED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3572C538" w:rsidR="622BBB7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0BA2D62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Consumer Health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segments partially</w:t>
      </w:r>
      <w:r w:rsidRPr="3572C538" w:rsidR="2E0BAE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offset</w:t>
      </w:r>
      <w:r w:rsidRPr="3572C538" w:rsidR="293BD35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by</w:t>
      </w:r>
    </w:p>
    <w:p w:rsidR="1F1EE3BD" w:rsidP="3572C538" w:rsidRDefault="1F1EE3BD" w14:paraId="3A85A161" w14:textId="2AB9F799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•Supply</w:t>
      </w:r>
      <w:r w:rsidRPr="3572C538" w:rsidR="3ADD07A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chain</w:t>
      </w:r>
      <w:r w:rsidRPr="3572C538" w:rsidR="1FA84FF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benefits</w:t>
      </w:r>
      <w:r w:rsidRPr="3572C538" w:rsidR="3B3571D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</w:t>
      </w:r>
      <w:r w:rsidRPr="3572C538" w:rsidR="6D11879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3572C538" w:rsidR="2823F1A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Consumer</w:t>
      </w:r>
      <w:r w:rsidRPr="3572C538" w:rsidR="58C0E77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Health</w:t>
      </w:r>
      <w:r w:rsidRPr="3572C538" w:rsidR="7E75BD2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segmen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</w:t>
      </w:r>
    </w:p>
    <w:p w:rsidR="1F1EE3BD" w:rsidP="3572C538" w:rsidRDefault="1F1EE3BD" w14:paraId="0EB9CB84" w14:textId="544C5632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The</w:t>
      </w:r>
      <w:r w:rsidRPr="3572C538" w:rsidR="731B56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intangible</w:t>
      </w:r>
      <w:r w:rsidRPr="3572C538" w:rsidR="79B234E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asset</w:t>
      </w:r>
      <w:r w:rsidRPr="3572C538" w:rsidR="4C24FD2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amortization</w:t>
      </w:r>
      <w:r w:rsidRPr="3572C538" w:rsidR="40B2E91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expense</w:t>
      </w:r>
      <w:r w:rsidRPr="3572C538" w:rsidR="1AA7409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included</w:t>
      </w:r>
      <w:r w:rsidRPr="3572C538" w:rsidR="10AA51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</w:t>
      </w:r>
      <w:r w:rsidRPr="3572C538" w:rsidR="320D4F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cost</w:t>
      </w:r>
      <w:r w:rsidRPr="3572C538" w:rsidR="12F85E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of</w:t>
      </w:r>
      <w:r w:rsidRPr="3572C538" w:rsidR="10A2FB3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products</w:t>
      </w:r>
      <w:r w:rsidRPr="3572C538" w:rsidR="27ECF5F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sold</w:t>
      </w:r>
      <w:r w:rsidRPr="3572C538" w:rsidR="0E7610F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was</w:t>
      </w:r>
      <w:r w:rsidRPr="3572C538" w:rsidR="6C1E4A8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$4.3billion</w:t>
      </w:r>
      <w:r w:rsidRPr="3572C538" w:rsidR="4735804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3572C538" w:rsidR="3139A6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$4.7billion</w:t>
      </w:r>
      <w:r w:rsidRPr="3572C538" w:rsidR="1768DD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for</w:t>
      </w:r>
      <w:r w:rsidRPr="3572C538" w:rsidR="586C412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3572C538" w:rsidR="31E2CBA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fiscal years</w:t>
      </w:r>
      <w:r w:rsidRPr="3572C538" w:rsidR="60EFF79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2022</w:t>
      </w:r>
      <w:r w:rsidRPr="3572C538" w:rsidR="7982E27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3572C538" w:rsidR="54EF536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2021, respectively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1F1EE3BD" w:rsidP="3572C538" w:rsidRDefault="1F1EE3BD" w14:paraId="0EC77860" w14:textId="00226FFF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5C0D871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Selling, Marketing and Administrative Expenses decreased as a percent to sales driven by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:</w:t>
      </w:r>
    </w:p>
    <w:p w:rsidR="1F1EE3BD" w:rsidP="3572C538" w:rsidRDefault="1F1EE3BD" w14:paraId="30420F33" w14:textId="18F9DA16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•Reduction</w:t>
      </w:r>
      <w:r w:rsidRPr="3572C538" w:rsidR="40426A2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of</w:t>
      </w:r>
      <w:r w:rsidRPr="3572C538" w:rsidR="3C05C37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brand</w:t>
      </w:r>
      <w:r w:rsidRPr="3572C538" w:rsidR="30BD4D7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marketing</w:t>
      </w:r>
      <w:r w:rsidRPr="3572C538" w:rsidR="130A5A6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expenses</w:t>
      </w:r>
      <w:r w:rsidRPr="3572C538" w:rsidR="6F32B3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</w:t>
      </w:r>
      <w:r w:rsidRPr="3572C538" w:rsidR="6F32B3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</w:t>
      </w:r>
      <w:r w:rsidRPr="3572C538" w:rsidR="5BD9BCE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Pharmaceutical</w:t>
      </w:r>
      <w:r w:rsidRPr="3572C538" w:rsidR="01850D4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</w:t>
      </w:r>
      <w:r w:rsidRPr="3572C538" w:rsidR="6ACB7E7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Consumer</w:t>
      </w:r>
      <w:r w:rsidRPr="3572C538" w:rsidR="3A43FAA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3572C538" w:rsidR="1F1EE3B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He</w:t>
      </w:r>
      <w:r w:rsidRPr="3572C538" w:rsidR="25039FE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alth </w:t>
      </w:r>
      <w:r w:rsidRPr="3572C538" w:rsidR="3D2F1BB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segment</w:t>
      </w:r>
    </w:p>
    <w:p w:rsidR="3572C538" w:rsidP="3572C538" w:rsidRDefault="3572C538" w14:paraId="6A86714B" w14:textId="59230F13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D2F1BB7" w:rsidP="3572C538" w:rsidRDefault="3D2F1BB7" w14:paraId="082F2976" w14:textId="23E480B8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572C538" w:rsidR="3D2F1BB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Financial Performance </w:t>
      </w:r>
      <w:r w:rsidRPr="3572C538" w:rsidR="0C02238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Johnson and Johnson.</w:t>
      </w:r>
    </w:p>
    <w:p w:rsidR="0C02238E" w:rsidP="15DD90F3" w:rsidRDefault="0C02238E" w14:paraId="5BCAE8A4" w14:textId="21B3ABCE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1EC3314" w:rsidR="1607F4B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Johnson and Johnson</w:t>
      </w: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38394A4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total revenue for 2022 was $95bn, a </w:t>
      </w:r>
      <w:r w:rsidRPr="21EC3314" w:rsidR="3659B1E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</w:t>
      </w:r>
      <w:r w:rsidRPr="21EC3314" w:rsidR="38394A4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%</w:t>
      </w:r>
      <w:r w:rsidRPr="21EC3314" w:rsidR="7A0B341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increase from 2021 </w:t>
      </w:r>
      <w:r w:rsidRPr="21EC3314" w:rsidR="2784BD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revenue</w:t>
      </w:r>
      <w:r w:rsidRPr="21EC3314" w:rsidR="7A0B341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0F500CD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figure of </w:t>
      </w:r>
      <w:r w:rsidRPr="21EC3314" w:rsidR="3EA6B67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2021 which was $94bn. Despite the revenue increase, reported</w:t>
      </w: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78563B6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net earnings </w:t>
      </w: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income </w:t>
      </w:r>
      <w:r w:rsidRPr="21EC3314" w:rsidR="7B8DDC2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totaling</w:t>
      </w: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$</w:t>
      </w:r>
      <w:r w:rsidRPr="21EC3314" w:rsidR="2EAE1DA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17.9</w:t>
      </w: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billion</w:t>
      </w: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2022</w:t>
      </w:r>
      <w:r w:rsidRPr="21EC3314" w:rsidR="29B7095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fell by 11%</w:t>
      </w: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compared to 2021 reported </w:t>
      </w:r>
      <w:r w:rsidRPr="21EC3314" w:rsidR="4C04B90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net earnings</w:t>
      </w: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of </w:t>
      </w:r>
      <w:bookmarkStart w:name="_Int_gErxqFPD" w:id="662118781"/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$</w:t>
      </w:r>
      <w:r w:rsidRPr="21EC3314" w:rsidR="32E8F6A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20</w:t>
      </w: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billion</w:t>
      </w:r>
      <w:bookmarkEnd w:id="662118781"/>
      <w:r w:rsidRPr="21EC3314" w:rsidR="6B88F33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0C02238E" w:rsidP="15DD90F3" w:rsidRDefault="0C02238E" w14:paraId="2F4C743A" w14:textId="2A447698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Consumer Health segment sales in 2022 were </w:t>
      </w:r>
      <w:bookmarkStart w:name="_Int_BnhgAnCo" w:id="1328663607"/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$15 billion</w:t>
      </w:r>
      <w:bookmarkEnd w:id="1328663607"/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a decrease of 0.5% from 2021, which included 3.6% operational growth and a negative currency impact of 4.1%. U.S. Consumer Health segment sales were </w:t>
      </w:r>
      <w:bookmarkStart w:name="_Int_lVJnjdMJ" w:id="1029749602"/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$6.6billion</w:t>
      </w:r>
      <w:bookmarkEnd w:id="1029749602"/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an increase of 1.3%. International sales were </w:t>
      </w:r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$8.4billion</w:t>
      </w:r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a decrease of 1.9%, which included 5.3% operational growth and a negative currency impact of 7.2%. In2022, acquisitions and divestitures had a net negative impact of 0.3% on the operational sales growth of the worldwide Consumer Health segment.</w:t>
      </w:r>
    </w:p>
    <w:p w:rsidR="0C02238E" w:rsidP="15DD90F3" w:rsidRDefault="0C02238E" w14:paraId="6D89B7C3" w14:textId="401E3119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Pharmaceutical segment sales in 2022 were </w:t>
      </w:r>
      <w:bookmarkStart w:name="_Int_0VOCkulr" w:id="1555494295"/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$52.6billion</w:t>
      </w:r>
      <w:bookmarkEnd w:id="1555494295"/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an increase of 1.7% from2021, which included operational growth of6.7%and a negative currency impact of 5.0%. U.S. sales were </w:t>
      </w:r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$28.6billion</w:t>
      </w:r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an increase of 2.3%. International sales were </w:t>
      </w:r>
      <w:bookmarkStart w:name="_Int_jTE4mwhx" w:id="1383460326"/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$24.0billion</w:t>
      </w:r>
      <w:bookmarkEnd w:id="1383460326"/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an increase of 1.0%, which included 11.9%operational growth and a negative currency impact of 10.9%. In 2022, acquisitions and divestitures had a net negative impact of 0.1%on the operational sales growth of the worldwide pharmaceutical segment. Adjustments to </w:t>
      </w:r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previous</w:t>
      </w:r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sales reserve estimates were </w:t>
      </w:r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approximately $0</w:t>
      </w:r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.1billion and $0.7billion in fiscal years2022 and 2021, respectively.</w:t>
      </w:r>
    </w:p>
    <w:p w:rsidR="0C02238E" w:rsidP="15DD90F3" w:rsidRDefault="0C02238E" w14:paraId="2953E45A" w14:textId="4367DD6B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1EC3314" w:rsidR="71FCA48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</w:t>
      </w:r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he MedTech segment sales in 2022 were </w:t>
      </w:r>
      <w:bookmarkStart w:name="_Int_dUOQpgIW" w:id="1517238223"/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$27.4billion</w:t>
      </w:r>
      <w:bookmarkEnd w:id="1517238223"/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an increase of 1.4% from 2021, which included operational growth of 6.2% and a negative currency impact of 4.8%. U.S. sales were </w:t>
      </w:r>
      <w:bookmarkStart w:name="_Int_QQPp7dTW" w:id="1413314979"/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$13.4billion</w:t>
      </w:r>
      <w:bookmarkEnd w:id="1413314979"/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(about $41 per person in the US), an increase of 5.4% as compared to the prior year. International sales were </w:t>
      </w:r>
      <w:bookmarkStart w:name="_Int_7YfNrHAV" w:id="1109210079"/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$14.1billion</w:t>
      </w:r>
      <w:bookmarkEnd w:id="1109210079"/>
      <w:r w:rsidRPr="21EC3314" w:rsidR="71FCA48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(about $43 per person in the US), a decrease of 2.3% as compared to the prior year, which included operational growth of 6.9% and a negative currency impact of 9.2%. In 2022, the net impact of acquisitions and divestitures on the MedTech segment worldwide operational sales growth was a positive 0.1%.</w:t>
      </w:r>
    </w:p>
    <w:p w:rsidR="0C02238E" w:rsidP="15DD90F3" w:rsidRDefault="0C02238E" w14:paraId="50585038" w14:textId="4D64BD5B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C02238E" w:rsidP="3572C538" w:rsidRDefault="0C02238E" w14:paraId="7CB026AA" w14:textId="52F4BC3E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5DD90F3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0C02238E" w:rsidP="3572C538" w:rsidRDefault="0C02238E" w14:paraId="1FFEFF71" w14:textId="6663E944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3572C538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0C02238E" w:rsidP="3572C538" w:rsidRDefault="0C02238E" w14:paraId="2F8704FB" w14:textId="6453F652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General, administrative, and other </w:t>
      </w:r>
      <w:r w:rsidRPr="21EC3314" w:rsidR="1CBCBA3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expenses were </w:t>
      </w:r>
      <w:r w:rsidRPr="21EC3314" w:rsidR="1CBCBA3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relatively fixed</w:t>
      </w:r>
      <w:r w:rsidRPr="21EC3314" w:rsidR="1CBCBA3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over the year </w:t>
      </w: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for 2022 totaled </w:t>
      </w:r>
      <w:bookmarkStart w:name="_Int_fCHeMOsP" w:id="1081638261"/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$</w:t>
      </w:r>
      <w:r w:rsidRPr="21EC3314" w:rsidR="65FEDA6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24.8b</w:t>
      </w: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illion</w:t>
      </w:r>
      <w:bookmarkEnd w:id="1081638261"/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compared to </w:t>
      </w:r>
      <w:bookmarkStart w:name="_Int_v83yAtLo" w:id="1620573783"/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$</w:t>
      </w:r>
      <w:r w:rsidRPr="21EC3314" w:rsidR="7A718FD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24.7</w:t>
      </w: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45514D0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</w:t>
      </w: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illion</w:t>
      </w:r>
      <w:bookmarkEnd w:id="1620573783"/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</w:t>
      </w:r>
      <w:r w:rsidRPr="21EC3314" w:rsidR="3CF470C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the previous year</w:t>
      </w:r>
      <w:r w:rsidRPr="21EC3314" w:rsidR="2323509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So </w:t>
      </w:r>
      <w:r w:rsidRPr="21EC3314" w:rsidR="37FDDC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also,</w:t>
      </w:r>
      <w:r w:rsidRPr="21EC3314" w:rsidR="2323509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were </w:t>
      </w:r>
      <w:r w:rsidRPr="21EC3314" w:rsidR="29CBCB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</w:t>
      </w:r>
      <w:r w:rsidRPr="21EC3314" w:rsidR="2323509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esearch and development costs $14.6bn</w:t>
      </w: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0275C33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 2022 and 14.7bn in 2022</w:t>
      </w:r>
    </w:p>
    <w:p w:rsidR="0C02238E" w:rsidP="21EC3314" w:rsidRDefault="0C02238E" w14:paraId="7AE47402" w14:textId="42F953DB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1EC3314" w:rsidR="02E48BE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Despite the slow revenue growth in</w:t>
      </w:r>
      <w:r w:rsidRPr="21EC3314" w:rsidR="329879E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2022, </w:t>
      </w:r>
      <w:r w:rsidRPr="21EC3314" w:rsidR="4BE9CB0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and a</w:t>
      </w:r>
      <w:r w:rsidRPr="21EC3314" w:rsidR="7FBF8D9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drop in net earnings</w:t>
      </w:r>
      <w:r w:rsidRPr="21EC3314" w:rsidR="7FBF8D9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</w:t>
      </w:r>
      <w:r w:rsidRPr="21EC3314" w:rsidR="3547A6C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comparison with</w:t>
      </w:r>
      <w:r w:rsidRPr="21EC3314" w:rsidR="7FBF8D9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the previous year,</w:t>
      </w:r>
      <w:r w:rsidRPr="21EC3314" w:rsidR="329879E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21EC3314" w:rsidR="5DA8F1F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Johnson &amp; Johnson has been</w:t>
      </w: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performing well in recent years with </w:t>
      </w: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strong growth</w:t>
      </w: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both revenue and earnings. </w:t>
      </w: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The company has been successful in expanding its global footprint, with </w:t>
      </w:r>
      <w:r w:rsidRPr="21EC3314" w:rsidR="1DB6E56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investments in research and development in order to create more products across the product </w:t>
      </w:r>
      <w:r w:rsidRPr="21EC3314" w:rsidR="33D74F8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segments.</w:t>
      </w: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summary, </w:t>
      </w:r>
      <w:r w:rsidRPr="21EC3314" w:rsidR="3B21B37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Johnson &amp; Johnson</w:t>
      </w:r>
      <w:r w:rsidRPr="21EC3314" w:rsidR="0C02238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strong financial performance and continued investments in innovation position the company well for future growth</w:t>
      </w:r>
      <w:r w:rsidRPr="21EC3314" w:rsidR="7C80154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3572C538" w:rsidP="3572C538" w:rsidRDefault="3572C538" w14:paraId="5210D9BB" w14:textId="645DB9FE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1EC3314" w:rsidR="47F737D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="21EC3314" w:rsidP="21EC3314" w:rsidRDefault="21EC3314" w14:paraId="43DBCADB" w14:textId="5A2F584E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7F737D3" w:rsidP="21EC3314" w:rsidRDefault="47F737D3" w14:paraId="33EDC2EE" w14:textId="46939A4F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1EC3314" w:rsidR="47F737D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Financial performance of</w:t>
      </w:r>
      <w:r w:rsidRPr="21EC3314" w:rsidR="68C2C5F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Mariott </w:t>
      </w:r>
      <w:r w:rsidRPr="21EC3314" w:rsidR="68C2C5F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inc</w:t>
      </w:r>
      <w:r w:rsidRPr="21EC3314" w:rsidR="03F047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  <w:r w:rsidRPr="21EC3314" w:rsidR="47F737D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Peers</w:t>
      </w:r>
    </w:p>
    <w:p w:rsidR="21EC3314" w:rsidP="21EC3314" w:rsidRDefault="21EC3314" w14:paraId="4B97DABB" w14:textId="246748D7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337"/>
        <w:gridCol w:w="1337"/>
        <w:gridCol w:w="1337"/>
        <w:gridCol w:w="1337"/>
        <w:gridCol w:w="1337"/>
        <w:gridCol w:w="1337"/>
        <w:gridCol w:w="1337"/>
      </w:tblGrid>
      <w:tr w:rsidR="21EC3314" w:rsidTr="21EC3314" w14:paraId="5A53639F">
        <w:trPr>
          <w:trHeight w:val="300"/>
        </w:trPr>
        <w:tc>
          <w:tcPr>
            <w:tcW w:w="1337" w:type="dxa"/>
            <w:tcMar/>
          </w:tcPr>
          <w:p w:rsidR="1B3B7202" w:rsidP="21EC3314" w:rsidRDefault="1B3B7202" w14:paraId="2ED23928" w14:textId="5F85DA22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1B3B720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Metrics 2022 ($Billion)</w:t>
            </w:r>
          </w:p>
        </w:tc>
        <w:tc>
          <w:tcPr>
            <w:tcW w:w="1337" w:type="dxa"/>
            <w:tcMar/>
          </w:tcPr>
          <w:p w:rsidR="1B3B7202" w:rsidP="21EC3314" w:rsidRDefault="1B3B7202" w14:paraId="4D77B738" w14:textId="70C4841F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1B3B720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Marriott</w:t>
            </w:r>
          </w:p>
        </w:tc>
        <w:tc>
          <w:tcPr>
            <w:tcW w:w="1337" w:type="dxa"/>
            <w:tcMar/>
          </w:tcPr>
          <w:p w:rsidR="69C470CA" w:rsidP="21EC3314" w:rsidRDefault="69C470CA" w14:paraId="546FE610" w14:textId="7273EAD6">
            <w:pPr>
              <w:pStyle w:val="Normal"/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9C470C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% Change from 2021</w:t>
            </w:r>
          </w:p>
        </w:tc>
        <w:tc>
          <w:tcPr>
            <w:tcW w:w="1337" w:type="dxa"/>
            <w:tcMar/>
          </w:tcPr>
          <w:p w:rsidR="1B3B7202" w:rsidP="21EC3314" w:rsidRDefault="1B3B7202" w14:paraId="4085FDC8" w14:textId="065CC879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1B3B720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IHG Holdings</w:t>
            </w:r>
          </w:p>
        </w:tc>
        <w:tc>
          <w:tcPr>
            <w:tcW w:w="1337" w:type="dxa"/>
            <w:tcMar/>
          </w:tcPr>
          <w:p w:rsidR="36EB847B" w:rsidP="21EC3314" w:rsidRDefault="36EB847B" w14:paraId="27689544" w14:textId="41091D13">
            <w:pPr>
              <w:pStyle w:val="Normal"/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36EB847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% Change from 2021</w:t>
            </w:r>
          </w:p>
        </w:tc>
        <w:tc>
          <w:tcPr>
            <w:tcW w:w="1337" w:type="dxa"/>
            <w:tcMar/>
          </w:tcPr>
          <w:p w:rsidR="1B3B7202" w:rsidP="21EC3314" w:rsidRDefault="1B3B7202" w14:paraId="4CD8667E" w14:textId="7672B691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1B3B720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Hilton Worldwide</w:t>
            </w:r>
          </w:p>
        </w:tc>
        <w:tc>
          <w:tcPr>
            <w:tcW w:w="1337" w:type="dxa"/>
            <w:tcMar/>
          </w:tcPr>
          <w:p w:rsidR="13742A1E" w:rsidP="21EC3314" w:rsidRDefault="13742A1E" w14:paraId="1FAF3B7C" w14:textId="3F0A61B3">
            <w:pPr>
              <w:pStyle w:val="Normal"/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13742A1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% Change from 2021</w:t>
            </w:r>
          </w:p>
        </w:tc>
      </w:tr>
      <w:tr w:rsidR="21EC3314" w:rsidTr="21EC3314" w14:paraId="1607A8C0">
        <w:trPr>
          <w:trHeight w:val="300"/>
        </w:trPr>
        <w:tc>
          <w:tcPr>
            <w:tcW w:w="1337" w:type="dxa"/>
            <w:tcMar/>
          </w:tcPr>
          <w:p w:rsidR="1B3B7202" w:rsidP="21EC3314" w:rsidRDefault="1B3B7202" w14:paraId="27614D55" w14:textId="67BCDD90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1B3B720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Revenue</w:t>
            </w:r>
          </w:p>
        </w:tc>
        <w:tc>
          <w:tcPr>
            <w:tcW w:w="1337" w:type="dxa"/>
            <w:tcMar/>
          </w:tcPr>
          <w:p w:rsidR="1B3B7202" w:rsidP="21EC3314" w:rsidRDefault="1B3B7202" w14:paraId="6665C112" w14:textId="2DE8554E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1B3B720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20.77</w:t>
            </w:r>
          </w:p>
        </w:tc>
        <w:tc>
          <w:tcPr>
            <w:tcW w:w="1337" w:type="dxa"/>
            <w:tcMar/>
          </w:tcPr>
          <w:p w:rsidR="63E20C88" w:rsidP="21EC3314" w:rsidRDefault="63E20C88" w14:paraId="612F3207" w14:textId="432BFB7A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3E20C8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49.91</w:t>
            </w:r>
            <w:r w:rsidRPr="21EC3314" w:rsidR="5B78DAC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%</w:t>
            </w:r>
          </w:p>
        </w:tc>
        <w:tc>
          <w:tcPr>
            <w:tcW w:w="1337" w:type="dxa"/>
            <w:tcMar/>
          </w:tcPr>
          <w:p w:rsidR="63E20C88" w:rsidP="21EC3314" w:rsidRDefault="63E20C88" w14:paraId="5DC37FC9" w14:textId="50B6C3F1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3E20C8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3.89</w:t>
            </w:r>
          </w:p>
        </w:tc>
        <w:tc>
          <w:tcPr>
            <w:tcW w:w="1337" w:type="dxa"/>
            <w:tcMar/>
          </w:tcPr>
          <w:p w:rsidR="2E688998" w:rsidP="21EC3314" w:rsidRDefault="2E688998" w14:paraId="3755A776" w14:textId="75CD75D3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2E68899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33.88%</w:t>
            </w:r>
          </w:p>
        </w:tc>
        <w:tc>
          <w:tcPr>
            <w:tcW w:w="1337" w:type="dxa"/>
            <w:tcMar/>
          </w:tcPr>
          <w:p w:rsidR="2286F1BA" w:rsidP="21EC3314" w:rsidRDefault="2286F1BA" w14:paraId="6A18FEDB" w14:textId="49A55324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2286F1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8.77</w:t>
            </w:r>
          </w:p>
        </w:tc>
        <w:tc>
          <w:tcPr>
            <w:tcW w:w="1337" w:type="dxa"/>
            <w:tcMar/>
          </w:tcPr>
          <w:p w:rsidR="2286F1BA" w:rsidP="21EC3314" w:rsidRDefault="2286F1BA" w14:paraId="1E848CDC" w14:textId="7B5C698C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2286F1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51.57%</w:t>
            </w:r>
          </w:p>
        </w:tc>
      </w:tr>
      <w:tr w:rsidR="21EC3314" w:rsidTr="21EC3314" w14:paraId="763E7FBB">
        <w:trPr>
          <w:trHeight w:val="300"/>
        </w:trPr>
        <w:tc>
          <w:tcPr>
            <w:tcW w:w="1337" w:type="dxa"/>
            <w:tcMar/>
          </w:tcPr>
          <w:p w:rsidR="2286F1BA" w:rsidP="21EC3314" w:rsidRDefault="2286F1BA" w14:paraId="78717BA9" w14:textId="47187D44">
            <w:pPr>
              <w:pStyle w:val="Normal"/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2286F1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Gross profit</w:t>
            </w:r>
          </w:p>
        </w:tc>
        <w:tc>
          <w:tcPr>
            <w:tcW w:w="1337" w:type="dxa"/>
            <w:tcMar/>
          </w:tcPr>
          <w:p w:rsidR="2286F1BA" w:rsidP="21EC3314" w:rsidRDefault="2286F1BA" w14:paraId="6CDE9DC1" w14:textId="37A3447F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2286F1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4.56</w:t>
            </w:r>
          </w:p>
        </w:tc>
        <w:tc>
          <w:tcPr>
            <w:tcW w:w="1337" w:type="dxa"/>
            <w:tcMar/>
          </w:tcPr>
          <w:p w:rsidR="2286F1BA" w:rsidP="21EC3314" w:rsidRDefault="2286F1BA" w14:paraId="39245E61" w14:textId="2C6DE547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2286F1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62.73%</w:t>
            </w:r>
          </w:p>
        </w:tc>
        <w:tc>
          <w:tcPr>
            <w:tcW w:w="1337" w:type="dxa"/>
            <w:tcMar/>
          </w:tcPr>
          <w:p w:rsidR="2286F1BA" w:rsidP="21EC3314" w:rsidRDefault="2286F1BA" w14:paraId="5CAE83C4" w14:textId="2982D245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2286F1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3.24</w:t>
            </w:r>
          </w:p>
        </w:tc>
        <w:tc>
          <w:tcPr>
            <w:tcW w:w="1337" w:type="dxa"/>
            <w:tcMar/>
          </w:tcPr>
          <w:p w:rsidR="2286F1BA" w:rsidP="21EC3314" w:rsidRDefault="2286F1BA" w14:paraId="4EE2BA2F" w14:textId="01B6CA98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2286F1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34%</w:t>
            </w:r>
          </w:p>
        </w:tc>
        <w:tc>
          <w:tcPr>
            <w:tcW w:w="1337" w:type="dxa"/>
            <w:tcMar/>
          </w:tcPr>
          <w:p w:rsidR="6D30F651" w:rsidP="21EC3314" w:rsidRDefault="6D30F651" w14:paraId="4B937974" w14:textId="63F52974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7.74</w:t>
            </w:r>
          </w:p>
        </w:tc>
        <w:tc>
          <w:tcPr>
            <w:tcW w:w="1337" w:type="dxa"/>
            <w:tcMar/>
          </w:tcPr>
          <w:p w:rsidR="6D30F651" w:rsidP="21EC3314" w:rsidRDefault="6D30F651" w14:paraId="0459C7A6" w14:textId="2BFA23C3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52.16%</w:t>
            </w:r>
          </w:p>
        </w:tc>
      </w:tr>
      <w:tr w:rsidR="21EC3314" w:rsidTr="21EC3314" w14:paraId="379600C3">
        <w:trPr>
          <w:trHeight w:val="300"/>
        </w:trPr>
        <w:tc>
          <w:tcPr>
            <w:tcW w:w="1337" w:type="dxa"/>
            <w:tcMar/>
          </w:tcPr>
          <w:p w:rsidR="6D30F651" w:rsidP="21EC3314" w:rsidRDefault="6D30F651" w14:paraId="04295738" w14:textId="3B1B1136">
            <w:pPr>
              <w:pStyle w:val="Normal"/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Operating income</w:t>
            </w:r>
          </w:p>
        </w:tc>
        <w:tc>
          <w:tcPr>
            <w:tcW w:w="1337" w:type="dxa"/>
            <w:tcMar/>
          </w:tcPr>
          <w:p w:rsidR="6D30F651" w:rsidP="21EC3314" w:rsidRDefault="6D30F651" w14:paraId="36A5FB76" w14:textId="24A8D969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3.46</w:t>
            </w:r>
          </w:p>
        </w:tc>
        <w:tc>
          <w:tcPr>
            <w:tcW w:w="1337" w:type="dxa"/>
            <w:tcMar/>
          </w:tcPr>
          <w:p w:rsidR="6D30F651" w:rsidP="21EC3314" w:rsidRDefault="6D30F651" w14:paraId="47479E91" w14:textId="01285CC0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97.83%</w:t>
            </w:r>
          </w:p>
        </w:tc>
        <w:tc>
          <w:tcPr>
            <w:tcW w:w="1337" w:type="dxa"/>
            <w:tcMar/>
          </w:tcPr>
          <w:p w:rsidR="6D30F651" w:rsidP="21EC3314" w:rsidRDefault="6D30F651" w14:paraId="52409C7D" w14:textId="6412C459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0.624</w:t>
            </w:r>
          </w:p>
        </w:tc>
        <w:tc>
          <w:tcPr>
            <w:tcW w:w="1337" w:type="dxa"/>
            <w:tcMar/>
          </w:tcPr>
          <w:p w:rsidR="6D30F651" w:rsidP="21EC3314" w:rsidRDefault="6D30F651" w14:paraId="749223B2" w14:textId="0A9D43F2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27.13%</w:t>
            </w:r>
          </w:p>
        </w:tc>
        <w:tc>
          <w:tcPr>
            <w:tcW w:w="1337" w:type="dxa"/>
            <w:tcMar/>
          </w:tcPr>
          <w:p w:rsidR="6D30F651" w:rsidP="21EC3314" w:rsidRDefault="6D30F651" w14:paraId="4506E403" w14:textId="51026A5A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2.1</w:t>
            </w:r>
          </w:p>
        </w:tc>
        <w:tc>
          <w:tcPr>
            <w:tcW w:w="1337" w:type="dxa"/>
            <w:tcMar/>
          </w:tcPr>
          <w:p w:rsidR="6D30F651" w:rsidP="21EC3314" w:rsidRDefault="6D30F651" w14:paraId="1070E6E7" w14:textId="410AD404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107%</w:t>
            </w:r>
          </w:p>
        </w:tc>
      </w:tr>
      <w:tr w:rsidR="21EC3314" w:rsidTr="21EC3314" w14:paraId="3D7AD54D">
        <w:trPr>
          <w:trHeight w:val="300"/>
        </w:trPr>
        <w:tc>
          <w:tcPr>
            <w:tcW w:w="1337" w:type="dxa"/>
            <w:tcMar/>
          </w:tcPr>
          <w:p w:rsidR="6D30F651" w:rsidP="21EC3314" w:rsidRDefault="6D30F651" w14:paraId="019D6129" w14:textId="52771247">
            <w:pPr>
              <w:pStyle w:val="Normal"/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EBITDA</w:t>
            </w:r>
          </w:p>
        </w:tc>
        <w:tc>
          <w:tcPr>
            <w:tcW w:w="1337" w:type="dxa"/>
            <w:tcMar/>
          </w:tcPr>
          <w:p w:rsidR="6D30F651" w:rsidP="21EC3314" w:rsidRDefault="6D30F651" w14:paraId="68FB3658" w14:textId="076587FF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3.74</w:t>
            </w:r>
          </w:p>
        </w:tc>
        <w:tc>
          <w:tcPr>
            <w:tcW w:w="1337" w:type="dxa"/>
            <w:tcMar/>
          </w:tcPr>
          <w:p w:rsidR="6D30F651" w:rsidP="21EC3314" w:rsidRDefault="6D30F651" w14:paraId="356FC250" w14:textId="51F8EF6F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83.08%</w:t>
            </w:r>
          </w:p>
        </w:tc>
        <w:tc>
          <w:tcPr>
            <w:tcW w:w="1337" w:type="dxa"/>
            <w:tcMar/>
          </w:tcPr>
          <w:p w:rsidR="6D30F651" w:rsidP="21EC3314" w:rsidRDefault="6D30F651" w14:paraId="6EE58536" w14:textId="714F9712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0.728</w:t>
            </w:r>
          </w:p>
        </w:tc>
        <w:tc>
          <w:tcPr>
            <w:tcW w:w="1337" w:type="dxa"/>
            <w:tcMar/>
          </w:tcPr>
          <w:p w:rsidR="6D30F651" w:rsidP="21EC3314" w:rsidRDefault="6D30F651" w14:paraId="1DD8A4E4" w14:textId="599C7D34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13.99%</w:t>
            </w:r>
          </w:p>
        </w:tc>
        <w:tc>
          <w:tcPr>
            <w:tcW w:w="1337" w:type="dxa"/>
            <w:tcMar/>
          </w:tcPr>
          <w:p w:rsidR="6D30F651" w:rsidP="21EC3314" w:rsidRDefault="6D30F651" w14:paraId="7713B1AE" w14:textId="5821D978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2.31%</w:t>
            </w:r>
          </w:p>
        </w:tc>
        <w:tc>
          <w:tcPr>
            <w:tcW w:w="1337" w:type="dxa"/>
            <w:tcMar/>
          </w:tcPr>
          <w:p w:rsidR="6D30F651" w:rsidP="21EC3314" w:rsidRDefault="6D30F651" w14:paraId="5DBF04DE" w14:textId="307E2BE9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85.39%</w:t>
            </w:r>
          </w:p>
        </w:tc>
      </w:tr>
      <w:tr w:rsidR="21EC3314" w:rsidTr="21EC3314" w14:paraId="3EB50EF5">
        <w:trPr>
          <w:trHeight w:val="300"/>
        </w:trPr>
        <w:tc>
          <w:tcPr>
            <w:tcW w:w="1337" w:type="dxa"/>
            <w:tcMar/>
          </w:tcPr>
          <w:p w:rsidR="6D30F651" w:rsidP="21EC3314" w:rsidRDefault="6D30F651" w14:paraId="5EA3CE65" w14:textId="683AE425">
            <w:pPr>
              <w:pStyle w:val="Normal"/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Net income</w:t>
            </w:r>
          </w:p>
        </w:tc>
        <w:tc>
          <w:tcPr>
            <w:tcW w:w="1337" w:type="dxa"/>
            <w:tcMar/>
          </w:tcPr>
          <w:p w:rsidR="6D30F651" w:rsidP="21EC3314" w:rsidRDefault="6D30F651" w14:paraId="7F4A2E81" w14:textId="6D677D9E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2.358</w:t>
            </w:r>
          </w:p>
        </w:tc>
        <w:tc>
          <w:tcPr>
            <w:tcW w:w="1337" w:type="dxa"/>
            <w:tcMar/>
          </w:tcPr>
          <w:p w:rsidR="6D30F651" w:rsidP="21EC3314" w:rsidRDefault="6D30F651" w14:paraId="01A81925" w14:textId="4577F234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114.56%</w:t>
            </w:r>
          </w:p>
        </w:tc>
        <w:tc>
          <w:tcPr>
            <w:tcW w:w="1337" w:type="dxa"/>
            <w:tcMar/>
          </w:tcPr>
          <w:p w:rsidR="6D30F651" w:rsidP="21EC3314" w:rsidRDefault="6D30F651" w14:paraId="48D51A3E" w14:textId="50C87063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0.375</w:t>
            </w:r>
          </w:p>
        </w:tc>
        <w:tc>
          <w:tcPr>
            <w:tcW w:w="1337" w:type="dxa"/>
            <w:tcMar/>
          </w:tcPr>
          <w:p w:rsidR="6D30F651" w:rsidP="21EC3314" w:rsidRDefault="6D30F651" w14:paraId="5E105CEA" w14:textId="6D43E32C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40.98%</w:t>
            </w:r>
          </w:p>
        </w:tc>
        <w:tc>
          <w:tcPr>
            <w:tcW w:w="1337" w:type="dxa"/>
            <w:tcMar/>
          </w:tcPr>
          <w:p w:rsidR="6D30F651" w:rsidP="21EC3314" w:rsidRDefault="6D30F651" w14:paraId="031659AC" w14:textId="76C04DAA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1.255</w:t>
            </w:r>
          </w:p>
        </w:tc>
        <w:tc>
          <w:tcPr>
            <w:tcW w:w="1337" w:type="dxa"/>
            <w:tcMar/>
          </w:tcPr>
          <w:p w:rsidR="6D30F651" w:rsidP="21EC3314" w:rsidRDefault="6D30F651" w14:paraId="1240A9C1" w14:textId="23CA504A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206%</w:t>
            </w:r>
          </w:p>
        </w:tc>
      </w:tr>
      <w:tr w:rsidR="21EC3314" w:rsidTr="21EC3314" w14:paraId="2DBAF225">
        <w:trPr>
          <w:trHeight w:val="300"/>
        </w:trPr>
        <w:tc>
          <w:tcPr>
            <w:tcW w:w="1337" w:type="dxa"/>
            <w:tcMar/>
          </w:tcPr>
          <w:p w:rsidR="6D30F651" w:rsidP="21EC3314" w:rsidRDefault="6D30F651" w14:paraId="3CD0B4E9" w14:textId="39E525FB">
            <w:pPr>
              <w:pStyle w:val="Normal"/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EPS</w:t>
            </w:r>
          </w:p>
        </w:tc>
        <w:tc>
          <w:tcPr>
            <w:tcW w:w="1337" w:type="dxa"/>
            <w:tcMar/>
          </w:tcPr>
          <w:p w:rsidR="6D30F651" w:rsidP="21EC3314" w:rsidRDefault="6D30F651" w14:paraId="432D29BC" w14:textId="3593750C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7.24</w:t>
            </w:r>
          </w:p>
        </w:tc>
        <w:tc>
          <w:tcPr>
            <w:tcW w:w="1337" w:type="dxa"/>
            <w:tcMar/>
          </w:tcPr>
          <w:p w:rsidR="6D30F651" w:rsidP="21EC3314" w:rsidRDefault="6D30F651" w14:paraId="19DE68C6" w14:textId="58C71391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116%</w:t>
            </w:r>
          </w:p>
        </w:tc>
        <w:tc>
          <w:tcPr>
            <w:tcW w:w="1337" w:type="dxa"/>
            <w:tcMar/>
          </w:tcPr>
          <w:p w:rsidR="6D30F651" w:rsidP="21EC3314" w:rsidRDefault="6D30F651" w14:paraId="69D799E5" w14:textId="51D70227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2.06</w:t>
            </w:r>
          </w:p>
        </w:tc>
        <w:tc>
          <w:tcPr>
            <w:tcW w:w="1337" w:type="dxa"/>
            <w:tcMar/>
          </w:tcPr>
          <w:p w:rsidR="6D30F651" w:rsidP="21EC3314" w:rsidRDefault="6D30F651" w14:paraId="73572561" w14:textId="2DB21153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42.46%</w:t>
            </w:r>
          </w:p>
        </w:tc>
        <w:tc>
          <w:tcPr>
            <w:tcW w:w="1337" w:type="dxa"/>
            <w:tcMar/>
          </w:tcPr>
          <w:p w:rsidR="6D30F651" w:rsidP="21EC3314" w:rsidRDefault="6D30F651" w14:paraId="40555FAE" w14:textId="4EFC128C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4.53</w:t>
            </w:r>
          </w:p>
        </w:tc>
        <w:tc>
          <w:tcPr>
            <w:tcW w:w="1337" w:type="dxa"/>
            <w:tcMar/>
          </w:tcPr>
          <w:p w:rsidR="6D30F651" w:rsidP="21EC3314" w:rsidRDefault="6D30F651" w14:paraId="1CE452BD" w14:textId="3457E105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D30F65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210%</w:t>
            </w:r>
          </w:p>
        </w:tc>
      </w:tr>
    </w:tbl>
    <w:p w:rsidR="21EC3314" w:rsidP="21EC3314" w:rsidRDefault="21EC3314" w14:paraId="4FBBD063" w14:textId="728A69F9">
      <w:pPr>
        <w:pStyle w:val="Normal"/>
        <w:bidi w:val="0"/>
        <w:ind w:lef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1EC3314" w:rsidP="21EC3314" w:rsidRDefault="21EC3314" w14:paraId="39678D02" w14:textId="27E8213E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B3B7202" w:rsidP="21EC3314" w:rsidRDefault="1B3B7202" w14:paraId="6000448E" w14:textId="0B86BD69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1EC3314" w:rsidR="1B3B720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Financial performance of Johnson and Johnson</w:t>
      </w:r>
      <w:r w:rsidRPr="21EC3314" w:rsidR="7A741C2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Peers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1337"/>
        <w:gridCol w:w="1337"/>
        <w:gridCol w:w="1337"/>
        <w:gridCol w:w="1337"/>
        <w:gridCol w:w="1337"/>
        <w:gridCol w:w="1337"/>
        <w:gridCol w:w="1337"/>
      </w:tblGrid>
      <w:tr w:rsidR="21EC3314" w:rsidTr="21EC3314" w14:paraId="4590D12F">
        <w:trPr>
          <w:trHeight w:val="300"/>
        </w:trPr>
        <w:tc>
          <w:tcPr>
            <w:tcW w:w="1337" w:type="dxa"/>
            <w:tcMar/>
          </w:tcPr>
          <w:p w:rsidR="21EC3314" w:rsidP="21EC3314" w:rsidRDefault="21EC3314" w14:paraId="6E7D90F9" w14:textId="5F85DA22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21EC331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Metrics 2022 ($Billion)</w:t>
            </w:r>
          </w:p>
        </w:tc>
        <w:tc>
          <w:tcPr>
            <w:tcW w:w="1337" w:type="dxa"/>
            <w:tcMar/>
          </w:tcPr>
          <w:p w:rsidR="46BC868D" w:rsidP="21EC3314" w:rsidRDefault="46BC868D" w14:paraId="4B3FE279" w14:textId="350DD8E3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46BC868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J&amp;J</w:t>
            </w:r>
          </w:p>
        </w:tc>
        <w:tc>
          <w:tcPr>
            <w:tcW w:w="1337" w:type="dxa"/>
            <w:tcMar/>
          </w:tcPr>
          <w:p w:rsidR="21EC3314" w:rsidP="21EC3314" w:rsidRDefault="21EC3314" w14:paraId="48DBE62A" w14:textId="7273EAD6">
            <w:pPr>
              <w:pStyle w:val="Normal"/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21EC331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% Change from 2021</w:t>
            </w:r>
          </w:p>
        </w:tc>
        <w:tc>
          <w:tcPr>
            <w:tcW w:w="1337" w:type="dxa"/>
            <w:tcMar/>
          </w:tcPr>
          <w:p w:rsidR="70D31DFE" w:rsidP="21EC3314" w:rsidRDefault="70D31DFE" w14:paraId="3448BA26" w14:textId="34B88554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70D31DF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GSK</w:t>
            </w:r>
          </w:p>
        </w:tc>
        <w:tc>
          <w:tcPr>
            <w:tcW w:w="1337" w:type="dxa"/>
            <w:tcMar/>
          </w:tcPr>
          <w:p w:rsidR="21EC3314" w:rsidP="21EC3314" w:rsidRDefault="21EC3314" w14:paraId="1F5536A7" w14:textId="41091D13">
            <w:pPr>
              <w:pStyle w:val="Normal"/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21EC331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% Change from 2021</w:t>
            </w:r>
          </w:p>
        </w:tc>
        <w:tc>
          <w:tcPr>
            <w:tcW w:w="1337" w:type="dxa"/>
            <w:tcMar/>
          </w:tcPr>
          <w:p w:rsidR="256A0B33" w:rsidP="21EC3314" w:rsidRDefault="256A0B33" w14:paraId="6E6F0717" w14:textId="672092C0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256A0B3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Pfizer</w:t>
            </w:r>
          </w:p>
        </w:tc>
        <w:tc>
          <w:tcPr>
            <w:tcW w:w="1337" w:type="dxa"/>
            <w:tcMar/>
          </w:tcPr>
          <w:p w:rsidR="21EC3314" w:rsidP="21EC3314" w:rsidRDefault="21EC3314" w14:paraId="1905DE2A" w14:textId="3F0A61B3">
            <w:pPr>
              <w:pStyle w:val="Normal"/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21EC331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% Change from 2021</w:t>
            </w:r>
          </w:p>
        </w:tc>
      </w:tr>
      <w:tr w:rsidR="21EC3314" w:rsidTr="21EC3314" w14:paraId="708B03D5">
        <w:trPr>
          <w:trHeight w:val="300"/>
        </w:trPr>
        <w:tc>
          <w:tcPr>
            <w:tcW w:w="1337" w:type="dxa"/>
            <w:tcMar/>
          </w:tcPr>
          <w:p w:rsidR="21EC3314" w:rsidP="21EC3314" w:rsidRDefault="21EC3314" w14:paraId="242F30D5" w14:textId="67BCDD90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21EC331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Revenue</w:t>
            </w:r>
          </w:p>
        </w:tc>
        <w:tc>
          <w:tcPr>
            <w:tcW w:w="1337" w:type="dxa"/>
            <w:tcMar/>
          </w:tcPr>
          <w:p w:rsidR="60BFDCAF" w:rsidP="21EC3314" w:rsidRDefault="60BFDCAF" w14:paraId="54A9ADAE" w14:textId="01191214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60BFDCA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94.94</w:t>
            </w:r>
          </w:p>
        </w:tc>
        <w:tc>
          <w:tcPr>
            <w:tcW w:w="1337" w:type="dxa"/>
            <w:tcMar/>
          </w:tcPr>
          <w:p w:rsidR="60BFDCAF" w:rsidP="21EC3314" w:rsidRDefault="60BFDCAF" w14:paraId="0DA4D415" w14:textId="5BD81F10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60BFDCA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1.25%</w:t>
            </w:r>
          </w:p>
        </w:tc>
        <w:tc>
          <w:tcPr>
            <w:tcW w:w="1337" w:type="dxa"/>
            <w:tcMar/>
          </w:tcPr>
          <w:p w:rsidR="60BFDCAF" w:rsidP="21EC3314" w:rsidRDefault="60BFDCAF" w14:paraId="229A50EC" w14:textId="443BDB8D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60BFDCA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36.27</w:t>
            </w:r>
          </w:p>
        </w:tc>
        <w:tc>
          <w:tcPr>
            <w:tcW w:w="1337" w:type="dxa"/>
            <w:tcMar/>
          </w:tcPr>
          <w:p w:rsidR="60BFDCAF" w:rsidP="21EC3314" w:rsidRDefault="60BFDCAF" w14:paraId="31B5353C" w14:textId="16E01CBC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0BFDCA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</w:t>
            </w:r>
            <w:r w:rsidRPr="21EC3314" w:rsidR="60BFDCA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22.68) %</w:t>
            </w:r>
          </w:p>
        </w:tc>
        <w:tc>
          <w:tcPr>
            <w:tcW w:w="1337" w:type="dxa"/>
            <w:tcMar/>
          </w:tcPr>
          <w:p w:rsidR="60BFDCAF" w:rsidP="21EC3314" w:rsidRDefault="60BFDCAF" w14:paraId="604DB750" w14:textId="147A74E1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60BFDCA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100.3</w:t>
            </w:r>
          </w:p>
        </w:tc>
        <w:tc>
          <w:tcPr>
            <w:tcW w:w="1337" w:type="dxa"/>
            <w:tcMar/>
          </w:tcPr>
          <w:p w:rsidR="60BFDCAF" w:rsidP="21EC3314" w:rsidRDefault="60BFDCAF" w14:paraId="6C969D33" w14:textId="337360D9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0BFDCA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23.43</w:t>
            </w:r>
            <w:r w:rsidRPr="21EC3314" w:rsidR="21EC331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%</w:t>
            </w:r>
          </w:p>
        </w:tc>
      </w:tr>
      <w:tr w:rsidR="21EC3314" w:rsidTr="21EC3314" w14:paraId="3D171C18">
        <w:trPr>
          <w:trHeight w:val="300"/>
        </w:trPr>
        <w:tc>
          <w:tcPr>
            <w:tcW w:w="1337" w:type="dxa"/>
            <w:tcMar/>
          </w:tcPr>
          <w:p w:rsidR="21EC3314" w:rsidP="21EC3314" w:rsidRDefault="21EC3314" w14:paraId="52652E0E" w14:textId="47187D44">
            <w:pPr>
              <w:pStyle w:val="Normal"/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21EC331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Gross profit</w:t>
            </w:r>
          </w:p>
        </w:tc>
        <w:tc>
          <w:tcPr>
            <w:tcW w:w="1337" w:type="dxa"/>
            <w:tcMar/>
          </w:tcPr>
          <w:p w:rsidR="61786FAF" w:rsidP="21EC3314" w:rsidRDefault="61786FAF" w14:paraId="1EDA4C1A" w14:textId="0012DC81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61786FA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63.85</w:t>
            </w:r>
          </w:p>
        </w:tc>
        <w:tc>
          <w:tcPr>
            <w:tcW w:w="1337" w:type="dxa"/>
            <w:tcMar/>
          </w:tcPr>
          <w:p w:rsidR="61786FAF" w:rsidP="21EC3314" w:rsidRDefault="61786FAF" w14:paraId="2C69E9CA" w14:textId="565F5B9A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1786FA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</w:t>
            </w:r>
            <w:r w:rsidRPr="21EC3314" w:rsidR="61786FA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0.1) %</w:t>
            </w:r>
          </w:p>
        </w:tc>
        <w:tc>
          <w:tcPr>
            <w:tcW w:w="1337" w:type="dxa"/>
            <w:tcMar/>
          </w:tcPr>
          <w:p w:rsidR="61786FAF" w:rsidP="21EC3314" w:rsidRDefault="61786FAF" w14:paraId="56186CBA" w14:textId="3A566E2D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61786FA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24.54</w:t>
            </w:r>
          </w:p>
        </w:tc>
        <w:tc>
          <w:tcPr>
            <w:tcW w:w="1337" w:type="dxa"/>
            <w:tcMar/>
          </w:tcPr>
          <w:p w:rsidR="61786FAF" w:rsidP="21EC3314" w:rsidRDefault="61786FAF" w14:paraId="1FA8D166" w14:textId="3CFF3721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61786FA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</w:t>
            </w:r>
            <w:r w:rsidRPr="21EC3314" w:rsidR="61786FA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21) %</w:t>
            </w:r>
          </w:p>
        </w:tc>
        <w:tc>
          <w:tcPr>
            <w:tcW w:w="1337" w:type="dxa"/>
            <w:tcMar/>
          </w:tcPr>
          <w:p w:rsidR="61786FAF" w:rsidP="21EC3314" w:rsidRDefault="61786FAF" w14:paraId="7A6C68B9" w14:textId="58C4CD57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61786FA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65.98</w:t>
            </w:r>
          </w:p>
        </w:tc>
        <w:tc>
          <w:tcPr>
            <w:tcW w:w="1337" w:type="dxa"/>
            <w:tcMar/>
          </w:tcPr>
          <w:p w:rsidR="61786FAF" w:rsidP="21EC3314" w:rsidRDefault="61786FAF" w14:paraId="4C777716" w14:textId="55F2874F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61786FA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30.75%</w:t>
            </w:r>
          </w:p>
        </w:tc>
      </w:tr>
      <w:tr w:rsidR="21EC3314" w:rsidTr="21EC3314" w14:paraId="37F2F984">
        <w:trPr>
          <w:trHeight w:val="300"/>
        </w:trPr>
        <w:tc>
          <w:tcPr>
            <w:tcW w:w="1337" w:type="dxa"/>
            <w:tcMar/>
          </w:tcPr>
          <w:p w:rsidR="21EC3314" w:rsidP="21EC3314" w:rsidRDefault="21EC3314" w14:paraId="76A4B632" w14:textId="3B1B1136">
            <w:pPr>
              <w:pStyle w:val="Normal"/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21EC331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Operating income</w:t>
            </w:r>
          </w:p>
        </w:tc>
        <w:tc>
          <w:tcPr>
            <w:tcW w:w="1337" w:type="dxa"/>
            <w:tcMar/>
          </w:tcPr>
          <w:p w:rsidR="537A7352" w:rsidP="21EC3314" w:rsidRDefault="537A7352" w14:paraId="03A5D3C5" w14:textId="29EB78D6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537A735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21.72</w:t>
            </w:r>
          </w:p>
        </w:tc>
        <w:tc>
          <w:tcPr>
            <w:tcW w:w="1337" w:type="dxa"/>
            <w:tcMar/>
          </w:tcPr>
          <w:p w:rsidR="537A7352" w:rsidP="21EC3314" w:rsidRDefault="537A7352" w14:paraId="5FDA6EBD" w14:textId="11608FC2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537A735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</w:t>
            </w:r>
            <w:r w:rsidRPr="21EC3314" w:rsidR="537A735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4.61) %</w:t>
            </w:r>
          </w:p>
        </w:tc>
        <w:tc>
          <w:tcPr>
            <w:tcW w:w="1337" w:type="dxa"/>
            <w:tcMar/>
          </w:tcPr>
          <w:p w:rsidR="537A7352" w:rsidP="21EC3314" w:rsidRDefault="537A7352" w14:paraId="378B1C5D" w14:textId="3743EFF8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537A735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7.95</w:t>
            </w:r>
          </w:p>
        </w:tc>
        <w:tc>
          <w:tcPr>
            <w:tcW w:w="1337" w:type="dxa"/>
            <w:tcMar/>
          </w:tcPr>
          <w:p w:rsidR="537A7352" w:rsidP="21EC3314" w:rsidRDefault="537A7352" w14:paraId="59DCC21A" w14:textId="2A6806E9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537A735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</w:t>
            </w:r>
            <w:r w:rsidRPr="21EC3314" w:rsidR="3B5E770E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6.68) %</w:t>
            </w:r>
          </w:p>
        </w:tc>
        <w:tc>
          <w:tcPr>
            <w:tcW w:w="1337" w:type="dxa"/>
            <w:tcMar/>
          </w:tcPr>
          <w:p w:rsidR="537A7352" w:rsidP="21EC3314" w:rsidRDefault="537A7352" w14:paraId="65654DF5" w14:textId="1531E758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537A735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34.94</w:t>
            </w:r>
          </w:p>
        </w:tc>
        <w:tc>
          <w:tcPr>
            <w:tcW w:w="1337" w:type="dxa"/>
            <w:tcMar/>
          </w:tcPr>
          <w:p w:rsidR="537A7352" w:rsidP="21EC3314" w:rsidRDefault="537A7352" w14:paraId="13EEAB14" w14:textId="3A6262F7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537A735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79.82%</w:t>
            </w:r>
          </w:p>
        </w:tc>
      </w:tr>
      <w:tr w:rsidR="21EC3314" w:rsidTr="21EC3314" w14:paraId="4FE78058">
        <w:trPr>
          <w:trHeight w:val="300"/>
        </w:trPr>
        <w:tc>
          <w:tcPr>
            <w:tcW w:w="1337" w:type="dxa"/>
            <w:tcMar/>
          </w:tcPr>
          <w:p w:rsidR="21EC3314" w:rsidP="21EC3314" w:rsidRDefault="21EC3314" w14:paraId="3D202EE0" w14:textId="52771247">
            <w:pPr>
              <w:pStyle w:val="Normal"/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21EC331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EBITDA</w:t>
            </w:r>
          </w:p>
        </w:tc>
        <w:tc>
          <w:tcPr>
            <w:tcW w:w="1337" w:type="dxa"/>
            <w:tcMar/>
          </w:tcPr>
          <w:p w:rsidR="31CBB205" w:rsidP="21EC3314" w:rsidRDefault="31CBB205" w14:paraId="7448949F" w14:textId="51D8EC13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31CBB20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29.46</w:t>
            </w:r>
          </w:p>
        </w:tc>
        <w:tc>
          <w:tcPr>
            <w:tcW w:w="1337" w:type="dxa"/>
            <w:tcMar/>
          </w:tcPr>
          <w:p w:rsidR="31CBB205" w:rsidP="21EC3314" w:rsidRDefault="31CBB205" w14:paraId="3A54960D" w14:textId="03055DD3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31CBB20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(3.1) </w:t>
            </w:r>
            <w:r w:rsidRPr="21EC3314" w:rsidR="21EC331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%</w:t>
            </w:r>
          </w:p>
        </w:tc>
        <w:tc>
          <w:tcPr>
            <w:tcW w:w="1337" w:type="dxa"/>
            <w:tcMar/>
          </w:tcPr>
          <w:p w:rsidR="029BF61F" w:rsidP="21EC3314" w:rsidRDefault="029BF61F" w14:paraId="1E4055A1" w14:textId="306D79B1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029BF61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10.61</w:t>
            </w:r>
          </w:p>
        </w:tc>
        <w:tc>
          <w:tcPr>
            <w:tcW w:w="1337" w:type="dxa"/>
            <w:tcMar/>
          </w:tcPr>
          <w:p w:rsidR="029BF61F" w:rsidP="21EC3314" w:rsidRDefault="029BF61F" w14:paraId="5CD7A76D" w14:textId="16A4513F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029BF61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24.46%</w:t>
            </w:r>
          </w:p>
        </w:tc>
        <w:tc>
          <w:tcPr>
            <w:tcW w:w="1337" w:type="dxa"/>
            <w:tcMar/>
          </w:tcPr>
          <w:p w:rsidR="23CDB5A8" w:rsidP="21EC3314" w:rsidRDefault="23CDB5A8" w14:paraId="28924624" w14:textId="336B7ADA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23CDB5A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40.08</w:t>
            </w:r>
          </w:p>
        </w:tc>
        <w:tc>
          <w:tcPr>
            <w:tcW w:w="1337" w:type="dxa"/>
            <w:tcMar/>
          </w:tcPr>
          <w:p w:rsidR="23CDB5A8" w:rsidP="21EC3314" w:rsidRDefault="23CDB5A8" w14:paraId="0E528474" w14:textId="145124D5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23CDB5A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62.48</w:t>
            </w:r>
            <w:r w:rsidRPr="21EC3314" w:rsidR="21EC331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%</w:t>
            </w:r>
          </w:p>
        </w:tc>
      </w:tr>
      <w:tr w:rsidR="21EC3314" w:rsidTr="21EC3314" w14:paraId="47C2BDE6">
        <w:trPr>
          <w:trHeight w:val="300"/>
        </w:trPr>
        <w:tc>
          <w:tcPr>
            <w:tcW w:w="1337" w:type="dxa"/>
            <w:tcMar/>
          </w:tcPr>
          <w:p w:rsidR="21EC3314" w:rsidP="21EC3314" w:rsidRDefault="21EC3314" w14:paraId="2AEC69D8" w14:textId="683AE425">
            <w:pPr>
              <w:pStyle w:val="Normal"/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21EC331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Net income</w:t>
            </w:r>
          </w:p>
        </w:tc>
        <w:tc>
          <w:tcPr>
            <w:tcW w:w="1337" w:type="dxa"/>
            <w:tcMar/>
          </w:tcPr>
          <w:p w:rsidR="5C0C0475" w:rsidP="21EC3314" w:rsidRDefault="5C0C0475" w14:paraId="75335E4E" w14:textId="39883E31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5C0C047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17.94</w:t>
            </w:r>
          </w:p>
        </w:tc>
        <w:tc>
          <w:tcPr>
            <w:tcW w:w="1337" w:type="dxa"/>
            <w:tcMar/>
          </w:tcPr>
          <w:p w:rsidR="5C0C0475" w:rsidP="21EC3314" w:rsidRDefault="5C0C0475" w14:paraId="15042443" w14:textId="5563D1B8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5C0C047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</w:t>
            </w:r>
            <w:r w:rsidRPr="21EC3314" w:rsidR="5C0C047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14.07) %</w:t>
            </w:r>
          </w:p>
        </w:tc>
        <w:tc>
          <w:tcPr>
            <w:tcW w:w="1337" w:type="dxa"/>
            <w:tcMar/>
          </w:tcPr>
          <w:p w:rsidR="4E0E0818" w:rsidP="21EC3314" w:rsidRDefault="4E0E0818" w14:paraId="5B28C8DA" w14:textId="795E779D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4E0E081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18.49</w:t>
            </w:r>
          </w:p>
        </w:tc>
        <w:tc>
          <w:tcPr>
            <w:tcW w:w="1337" w:type="dxa"/>
            <w:tcMar/>
          </w:tcPr>
          <w:p w:rsidR="4E0E0818" w:rsidP="21EC3314" w:rsidRDefault="4E0E0818" w14:paraId="7E65476F" w14:textId="72802992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4E0E081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206%</w:t>
            </w:r>
          </w:p>
        </w:tc>
        <w:tc>
          <w:tcPr>
            <w:tcW w:w="1337" w:type="dxa"/>
            <w:tcMar/>
          </w:tcPr>
          <w:p w:rsidR="4E0E0818" w:rsidP="21EC3314" w:rsidRDefault="4E0E0818" w14:paraId="529FE143" w14:textId="49AE5340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4E0E081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31.37</w:t>
            </w:r>
          </w:p>
        </w:tc>
        <w:tc>
          <w:tcPr>
            <w:tcW w:w="1337" w:type="dxa"/>
            <w:tcMar/>
          </w:tcPr>
          <w:p w:rsidR="4E0E0818" w:rsidP="21EC3314" w:rsidRDefault="4E0E0818" w14:paraId="67A7CD8E" w14:textId="0E295C4D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4E0E081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42.74%</w:t>
            </w:r>
          </w:p>
        </w:tc>
      </w:tr>
      <w:tr w:rsidR="21EC3314" w:rsidTr="21EC3314" w14:paraId="19ED0A1B">
        <w:trPr>
          <w:trHeight w:val="300"/>
        </w:trPr>
        <w:tc>
          <w:tcPr>
            <w:tcW w:w="1337" w:type="dxa"/>
            <w:tcMar/>
          </w:tcPr>
          <w:p w:rsidR="21EC3314" w:rsidP="21EC3314" w:rsidRDefault="21EC3314" w14:paraId="52C4B006" w14:textId="39E525FB">
            <w:pPr>
              <w:pStyle w:val="Normal"/>
              <w:bidi w:val="0"/>
              <w:spacing w:line="276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21EC331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EPS</w:t>
            </w:r>
          </w:p>
        </w:tc>
        <w:tc>
          <w:tcPr>
            <w:tcW w:w="1337" w:type="dxa"/>
            <w:tcMar/>
          </w:tcPr>
          <w:p w:rsidR="7A035C3F" w:rsidP="21EC3314" w:rsidRDefault="7A035C3F" w14:paraId="3AC86757" w14:textId="3846F2DF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7A035C3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6.73</w:t>
            </w:r>
          </w:p>
        </w:tc>
        <w:tc>
          <w:tcPr>
            <w:tcW w:w="1337" w:type="dxa"/>
            <w:tcMar/>
          </w:tcPr>
          <w:p w:rsidR="7A035C3F" w:rsidP="21EC3314" w:rsidRDefault="7A035C3F" w14:paraId="473F909F" w14:textId="5FA6CEE8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7A035C3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</w:t>
            </w:r>
            <w:r w:rsidRPr="21EC3314" w:rsidR="7A035C3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13.83) %</w:t>
            </w:r>
          </w:p>
        </w:tc>
        <w:tc>
          <w:tcPr>
            <w:tcW w:w="1337" w:type="dxa"/>
            <w:tcMar/>
          </w:tcPr>
          <w:p w:rsidR="7A035C3F" w:rsidP="21EC3314" w:rsidRDefault="7A035C3F" w14:paraId="571CA4A6" w14:textId="42324D9E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7A035C3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9</w:t>
            </w:r>
            <w:r w:rsidRPr="21EC3314" w:rsidR="21EC331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.06</w:t>
            </w:r>
          </w:p>
        </w:tc>
        <w:tc>
          <w:tcPr>
            <w:tcW w:w="1337" w:type="dxa"/>
            <w:tcMar/>
          </w:tcPr>
          <w:p w:rsidR="571C9AFF" w:rsidP="21EC3314" w:rsidRDefault="571C9AFF" w14:paraId="497A1E4E" w14:textId="2F8B9372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571C9AF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200.9</w:t>
            </w:r>
            <w:r w:rsidRPr="21EC3314" w:rsidR="21EC331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%</w:t>
            </w:r>
          </w:p>
        </w:tc>
        <w:tc>
          <w:tcPr>
            <w:tcW w:w="1337" w:type="dxa"/>
            <w:tcMar/>
          </w:tcPr>
          <w:p w:rsidR="28F601D2" w:rsidP="21EC3314" w:rsidRDefault="28F601D2" w14:paraId="17079380" w14:textId="5F91E181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21EC3314" w:rsidR="28F601D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5.47</w:t>
            </w:r>
          </w:p>
        </w:tc>
        <w:tc>
          <w:tcPr>
            <w:tcW w:w="1337" w:type="dxa"/>
            <w:tcMar/>
          </w:tcPr>
          <w:p w:rsidR="28F601D2" w:rsidP="21EC3314" w:rsidRDefault="28F601D2" w14:paraId="1E7A6D3C" w14:textId="32164769">
            <w:pPr>
              <w:pStyle w:val="Normal"/>
              <w:bidi w:val="0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1EC3314" w:rsidR="28F601D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42.08</w:t>
            </w:r>
            <w:r w:rsidRPr="21EC3314" w:rsidR="21EC331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%</w:t>
            </w:r>
          </w:p>
        </w:tc>
      </w:tr>
    </w:tbl>
    <w:p w:rsidR="21EC3314" w:rsidP="21EC3314" w:rsidRDefault="21EC3314" w14:paraId="744343DF" w14:textId="728A69F9">
      <w:pPr>
        <w:pStyle w:val="Normal"/>
        <w:bidi w:val="0"/>
        <w:ind w:lef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1EC3314" w:rsidP="21EC3314" w:rsidRDefault="21EC3314" w14:paraId="39F2B031" w14:textId="27E8213E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1EC3314" w:rsidP="21EC3314" w:rsidRDefault="21EC3314" w14:paraId="414575AE" w14:textId="6560D839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21EC3314" w:rsidP="21EC3314" w:rsidRDefault="21EC3314" w14:paraId="07795944" w14:textId="01B3296B">
      <w:pPr>
        <w:pStyle w:val="Normal"/>
        <w:bidi w:val="0"/>
        <w:ind w:lef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sectPr w:rsidRPr="009D6C74" w:rsidR="000742FA" w:rsidSect="005C023C"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3208" w:rsidP="007849E1" w:rsidRDefault="00083208" w14:paraId="6A1E0514" w14:textId="77777777">
      <w:pPr>
        <w:spacing w:after="0" w:line="240" w:lineRule="auto"/>
      </w:pPr>
      <w:r>
        <w:separator/>
      </w:r>
    </w:p>
  </w:endnote>
  <w:endnote w:type="continuationSeparator" w:id="0">
    <w:p w:rsidR="00083208" w:rsidP="007849E1" w:rsidRDefault="00083208" w14:paraId="00E118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331938"/>
      <w:docPartObj>
        <w:docPartGallery w:val="Page Numbers (Bottom of Page)"/>
        <w:docPartUnique/>
      </w:docPartObj>
    </w:sdtPr>
    <w:sdtEndPr/>
    <w:sdtContent>
      <w:p w:rsidR="007849E1" w:rsidRDefault="00C8550D" w14:paraId="765FF0AB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2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49E1" w:rsidRDefault="007849E1" w14:paraId="59A0D66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3208" w:rsidP="007849E1" w:rsidRDefault="00083208" w14:paraId="696BA2A5" w14:textId="77777777">
      <w:pPr>
        <w:spacing w:after="0" w:line="240" w:lineRule="auto"/>
      </w:pPr>
      <w:r>
        <w:separator/>
      </w:r>
    </w:p>
  </w:footnote>
  <w:footnote w:type="continuationSeparator" w:id="0">
    <w:p w:rsidR="00083208" w:rsidP="007849E1" w:rsidRDefault="00083208" w14:paraId="2B51232F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fCHeMOsP" int2:invalidationBookmarkName="" int2:hashCode="F8fLzqO2Hm5BHn" int2:id="mzr0x32Q">
      <int2:state int2:type="AugLoop_Text_Critique" int2:value="Rejected"/>
    </int2:bookmark>
    <int2:bookmark int2:bookmarkName="_Int_v83yAtLo" int2:invalidationBookmarkName="" int2:hashCode="htNr2QgfgYrAb5" int2:id="GM6HMvy2">
      <int2:state int2:type="AugLoop_Text_Critique" int2:value="Rejected"/>
    </int2:bookmark>
    <int2:bookmark int2:bookmarkName="_Int_dUOQpgIW" int2:invalidationBookmarkName="" int2:hashCode="H3YhMV59koX0vn" int2:id="qm5at6gG">
      <int2:state int2:type="AugLoop_Text_Critique" int2:value="Rejected"/>
    </int2:bookmark>
    <int2:bookmark int2:bookmarkName="_Int_QQPp7dTW" int2:invalidationBookmarkName="" int2:hashCode="1OoN70FViQ3JH4" int2:id="ArM3IWTv">
      <int2:state int2:type="AugLoop_Text_Critique" int2:value="Rejected"/>
    </int2:bookmark>
    <int2:bookmark int2:bookmarkName="_Int_7YfNrHAV" int2:invalidationBookmarkName="" int2:hashCode="wR4BeaHy7ltLOq" int2:id="8oXQXJfx">
      <int2:state int2:type="AugLoop_Text_Critique" int2:value="Rejected"/>
    </int2:bookmark>
    <int2:bookmark int2:bookmarkName="_Int_0VOCkulr" int2:invalidationBookmarkName="" int2:hashCode="vJxaEyibBvGLMV" int2:id="RgsXRhPX">
      <int2:state int2:type="AugLoop_Text_Critique" int2:value="Rejected"/>
    </int2:bookmark>
    <int2:bookmark int2:bookmarkName="_Int_jTE4mwhx" int2:invalidationBookmarkName="" int2:hashCode="pkX6WZqrK9QOE5" int2:id="XJGOQpHw">
      <int2:state int2:type="AugLoop_Text_Critique" int2:value="Rejected"/>
    </int2:bookmark>
    <int2:bookmark int2:bookmarkName="_Int_gErxqFPD" int2:invalidationBookmarkName="" int2:hashCode="XhodrATdEH+1UP" int2:id="ZPzY82eR">
      <int2:state int2:type="AugLoop_Text_Critique" int2:value="Rejected"/>
    </int2:bookmark>
    <int2:bookmark int2:bookmarkName="_Int_BnhgAnCo" int2:invalidationBookmarkName="" int2:hashCode="tMYsowcUPBb/HV" int2:id="PQFwTNQD">
      <int2:state int2:type="AugLoop_Text_Critique" int2:value="Rejected"/>
    </int2:bookmark>
    <int2:bookmark int2:bookmarkName="_Int_lVJnjdMJ" int2:invalidationBookmarkName="" int2:hashCode="DVdxScZnfd2gg6" int2:id="iQHhvHjg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5e559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C74"/>
    <w:rsid w:val="0003542C"/>
    <w:rsid w:val="0005217D"/>
    <w:rsid w:val="0006160A"/>
    <w:rsid w:val="00070E7C"/>
    <w:rsid w:val="000742FA"/>
    <w:rsid w:val="00075A62"/>
    <w:rsid w:val="00083208"/>
    <w:rsid w:val="000B3812"/>
    <w:rsid w:val="001844D6"/>
    <w:rsid w:val="001A39CB"/>
    <w:rsid w:val="001D6740"/>
    <w:rsid w:val="002956AC"/>
    <w:rsid w:val="00363CC5"/>
    <w:rsid w:val="00391426"/>
    <w:rsid w:val="003F43FB"/>
    <w:rsid w:val="00414FED"/>
    <w:rsid w:val="00463BD7"/>
    <w:rsid w:val="004D7241"/>
    <w:rsid w:val="005528C2"/>
    <w:rsid w:val="0058281C"/>
    <w:rsid w:val="00596833"/>
    <w:rsid w:val="005C023C"/>
    <w:rsid w:val="0068092B"/>
    <w:rsid w:val="006E6536"/>
    <w:rsid w:val="00726DD3"/>
    <w:rsid w:val="007849E1"/>
    <w:rsid w:val="008348FC"/>
    <w:rsid w:val="008445FA"/>
    <w:rsid w:val="00851737"/>
    <w:rsid w:val="008674DB"/>
    <w:rsid w:val="00892C77"/>
    <w:rsid w:val="009563F9"/>
    <w:rsid w:val="009D6C74"/>
    <w:rsid w:val="00AB7D02"/>
    <w:rsid w:val="00AC6F97"/>
    <w:rsid w:val="00AE3393"/>
    <w:rsid w:val="00B55F7B"/>
    <w:rsid w:val="00C507FE"/>
    <w:rsid w:val="00C6611A"/>
    <w:rsid w:val="00C6779D"/>
    <w:rsid w:val="00C8550D"/>
    <w:rsid w:val="00C94709"/>
    <w:rsid w:val="00CC04A9"/>
    <w:rsid w:val="00CC159A"/>
    <w:rsid w:val="00CF1E47"/>
    <w:rsid w:val="00D76EF9"/>
    <w:rsid w:val="00D904C9"/>
    <w:rsid w:val="00D94D11"/>
    <w:rsid w:val="00DE572C"/>
    <w:rsid w:val="00E7784B"/>
    <w:rsid w:val="00E96325"/>
    <w:rsid w:val="00F244D1"/>
    <w:rsid w:val="00F96A2E"/>
    <w:rsid w:val="00FA2329"/>
    <w:rsid w:val="00FE14CC"/>
    <w:rsid w:val="010A32D8"/>
    <w:rsid w:val="01296EB2"/>
    <w:rsid w:val="013B17CC"/>
    <w:rsid w:val="01850D4F"/>
    <w:rsid w:val="01E5F896"/>
    <w:rsid w:val="0215000E"/>
    <w:rsid w:val="0275C336"/>
    <w:rsid w:val="0276C510"/>
    <w:rsid w:val="029BF61F"/>
    <w:rsid w:val="02D9B284"/>
    <w:rsid w:val="02E48BE0"/>
    <w:rsid w:val="030839C3"/>
    <w:rsid w:val="032452DF"/>
    <w:rsid w:val="0347B3B3"/>
    <w:rsid w:val="035499B3"/>
    <w:rsid w:val="038A5FBC"/>
    <w:rsid w:val="03A7C726"/>
    <w:rsid w:val="03C06875"/>
    <w:rsid w:val="03E37D67"/>
    <w:rsid w:val="03F04777"/>
    <w:rsid w:val="042863ED"/>
    <w:rsid w:val="043E9ED6"/>
    <w:rsid w:val="04418C4A"/>
    <w:rsid w:val="044EDB75"/>
    <w:rsid w:val="0466AF3C"/>
    <w:rsid w:val="04814CA0"/>
    <w:rsid w:val="048F08F3"/>
    <w:rsid w:val="04BC6CD6"/>
    <w:rsid w:val="04BF7CB0"/>
    <w:rsid w:val="05439787"/>
    <w:rsid w:val="054F2249"/>
    <w:rsid w:val="05788669"/>
    <w:rsid w:val="05887447"/>
    <w:rsid w:val="05CC3C46"/>
    <w:rsid w:val="064B48CA"/>
    <w:rsid w:val="068BEC49"/>
    <w:rsid w:val="068ED130"/>
    <w:rsid w:val="0699E9A9"/>
    <w:rsid w:val="06AFBE3A"/>
    <w:rsid w:val="070B60D8"/>
    <w:rsid w:val="072444A8"/>
    <w:rsid w:val="07302CAB"/>
    <w:rsid w:val="07463609"/>
    <w:rsid w:val="0754C53F"/>
    <w:rsid w:val="0754C53F"/>
    <w:rsid w:val="076964AD"/>
    <w:rsid w:val="078AE8D4"/>
    <w:rsid w:val="07A7DE5C"/>
    <w:rsid w:val="08A26895"/>
    <w:rsid w:val="08B02A6D"/>
    <w:rsid w:val="08E5F893"/>
    <w:rsid w:val="0A10C0A7"/>
    <w:rsid w:val="0A23BAE0"/>
    <w:rsid w:val="0A5AE45A"/>
    <w:rsid w:val="0A728473"/>
    <w:rsid w:val="0A84A9FD"/>
    <w:rsid w:val="0A861CD6"/>
    <w:rsid w:val="0A97A571"/>
    <w:rsid w:val="0ABAFA5B"/>
    <w:rsid w:val="0AD74E6F"/>
    <w:rsid w:val="0AD81424"/>
    <w:rsid w:val="0AF8DF15"/>
    <w:rsid w:val="0B7985AB"/>
    <w:rsid w:val="0B854362"/>
    <w:rsid w:val="0BA2D620"/>
    <w:rsid w:val="0BF7B5CB"/>
    <w:rsid w:val="0BF976E6"/>
    <w:rsid w:val="0C02238E"/>
    <w:rsid w:val="0C2A6DFA"/>
    <w:rsid w:val="0C49B735"/>
    <w:rsid w:val="0C4B4ACC"/>
    <w:rsid w:val="0C59ED5A"/>
    <w:rsid w:val="0C91271E"/>
    <w:rsid w:val="0CED6B4F"/>
    <w:rsid w:val="0D09794B"/>
    <w:rsid w:val="0D38D6F2"/>
    <w:rsid w:val="0D991F9D"/>
    <w:rsid w:val="0DAADE66"/>
    <w:rsid w:val="0DB6FBD9"/>
    <w:rsid w:val="0DBAF34E"/>
    <w:rsid w:val="0DE53EC7"/>
    <w:rsid w:val="0DF9D0E9"/>
    <w:rsid w:val="0DFA2A58"/>
    <w:rsid w:val="0E301686"/>
    <w:rsid w:val="0E5A871D"/>
    <w:rsid w:val="0E67DC2A"/>
    <w:rsid w:val="0E7610F1"/>
    <w:rsid w:val="0EA9C300"/>
    <w:rsid w:val="0EF26753"/>
    <w:rsid w:val="0F030DF1"/>
    <w:rsid w:val="0F2C223E"/>
    <w:rsid w:val="0F500CD9"/>
    <w:rsid w:val="0F665137"/>
    <w:rsid w:val="0F82EB8E"/>
    <w:rsid w:val="0F859C4F"/>
    <w:rsid w:val="0FBAFFC9"/>
    <w:rsid w:val="0FFE07FE"/>
    <w:rsid w:val="10073B68"/>
    <w:rsid w:val="1041F665"/>
    <w:rsid w:val="109C4B5D"/>
    <w:rsid w:val="10A2FB3D"/>
    <w:rsid w:val="10AA5137"/>
    <w:rsid w:val="1197B143"/>
    <w:rsid w:val="11EBD9C6"/>
    <w:rsid w:val="123E6506"/>
    <w:rsid w:val="126FB992"/>
    <w:rsid w:val="129777E6"/>
    <w:rsid w:val="12A8EBB8"/>
    <w:rsid w:val="12AC1754"/>
    <w:rsid w:val="12AC1754"/>
    <w:rsid w:val="12F85EB4"/>
    <w:rsid w:val="13077E55"/>
    <w:rsid w:val="130A5A64"/>
    <w:rsid w:val="130BBD58"/>
    <w:rsid w:val="133EDC2A"/>
    <w:rsid w:val="13742A1E"/>
    <w:rsid w:val="13909D71"/>
    <w:rsid w:val="13A2BFBD"/>
    <w:rsid w:val="13DA86CB"/>
    <w:rsid w:val="13FA8143"/>
    <w:rsid w:val="141A1FEA"/>
    <w:rsid w:val="1430B0A0"/>
    <w:rsid w:val="14A20F63"/>
    <w:rsid w:val="158C1EB4"/>
    <w:rsid w:val="15B2BBE6"/>
    <w:rsid w:val="15DD90F3"/>
    <w:rsid w:val="15E29AA2"/>
    <w:rsid w:val="15E6C77B"/>
    <w:rsid w:val="1607F4B2"/>
    <w:rsid w:val="160D29C3"/>
    <w:rsid w:val="161E649A"/>
    <w:rsid w:val="163F1F17"/>
    <w:rsid w:val="165D54FE"/>
    <w:rsid w:val="166FF97F"/>
    <w:rsid w:val="1687A609"/>
    <w:rsid w:val="168CA928"/>
    <w:rsid w:val="16C27413"/>
    <w:rsid w:val="16FD7938"/>
    <w:rsid w:val="171541D9"/>
    <w:rsid w:val="1716A09A"/>
    <w:rsid w:val="172DFD36"/>
    <w:rsid w:val="17426C61"/>
    <w:rsid w:val="174827B1"/>
    <w:rsid w:val="1768DDB9"/>
    <w:rsid w:val="179D3A0C"/>
    <w:rsid w:val="17DAEF78"/>
    <w:rsid w:val="17E7DA12"/>
    <w:rsid w:val="17F0C2A5"/>
    <w:rsid w:val="18169C95"/>
    <w:rsid w:val="18C4E1CC"/>
    <w:rsid w:val="18C8B198"/>
    <w:rsid w:val="18D3AF7F"/>
    <w:rsid w:val="18F0355C"/>
    <w:rsid w:val="191CA9B6"/>
    <w:rsid w:val="193E623A"/>
    <w:rsid w:val="196D712F"/>
    <w:rsid w:val="1986C15C"/>
    <w:rsid w:val="1A0FB5D0"/>
    <w:rsid w:val="1A6F7FE0"/>
    <w:rsid w:val="1AA74098"/>
    <w:rsid w:val="1AA781E6"/>
    <w:rsid w:val="1AE644B4"/>
    <w:rsid w:val="1AEC896A"/>
    <w:rsid w:val="1B20EF67"/>
    <w:rsid w:val="1B3B7202"/>
    <w:rsid w:val="1B72E118"/>
    <w:rsid w:val="1BC79F71"/>
    <w:rsid w:val="1C0B5041"/>
    <w:rsid w:val="1C4A8724"/>
    <w:rsid w:val="1C8428BD"/>
    <w:rsid w:val="1CA7BADC"/>
    <w:rsid w:val="1CBCBA39"/>
    <w:rsid w:val="1CCEB946"/>
    <w:rsid w:val="1CD24758"/>
    <w:rsid w:val="1CD5187F"/>
    <w:rsid w:val="1D09A077"/>
    <w:rsid w:val="1D1436A9"/>
    <w:rsid w:val="1D18F4C2"/>
    <w:rsid w:val="1D1D54E4"/>
    <w:rsid w:val="1D2B3B72"/>
    <w:rsid w:val="1D302B2A"/>
    <w:rsid w:val="1D3EF4B9"/>
    <w:rsid w:val="1D8DD535"/>
    <w:rsid w:val="1DA1A99E"/>
    <w:rsid w:val="1DB6E563"/>
    <w:rsid w:val="1DC00624"/>
    <w:rsid w:val="1E71B886"/>
    <w:rsid w:val="1EC0A2BB"/>
    <w:rsid w:val="1EC96491"/>
    <w:rsid w:val="1EE28CEE"/>
    <w:rsid w:val="1EF40296"/>
    <w:rsid w:val="1F14AEBC"/>
    <w:rsid w:val="1F1EE3BD"/>
    <w:rsid w:val="1F575ECF"/>
    <w:rsid w:val="1FA315DF"/>
    <w:rsid w:val="1FA84FF5"/>
    <w:rsid w:val="1FB40C09"/>
    <w:rsid w:val="1FD345B1"/>
    <w:rsid w:val="1FDBE1B6"/>
    <w:rsid w:val="2021D343"/>
    <w:rsid w:val="202A2E5F"/>
    <w:rsid w:val="202D2C99"/>
    <w:rsid w:val="20376D27"/>
    <w:rsid w:val="203805AE"/>
    <w:rsid w:val="2067CBEC"/>
    <w:rsid w:val="20764C34"/>
    <w:rsid w:val="20E11B30"/>
    <w:rsid w:val="20E54832"/>
    <w:rsid w:val="2105E06B"/>
    <w:rsid w:val="2109A780"/>
    <w:rsid w:val="211D4EA8"/>
    <w:rsid w:val="2128DBE3"/>
    <w:rsid w:val="215BF321"/>
    <w:rsid w:val="219B1C33"/>
    <w:rsid w:val="21B3269C"/>
    <w:rsid w:val="21E4A9E1"/>
    <w:rsid w:val="21EC3314"/>
    <w:rsid w:val="224DC18F"/>
    <w:rsid w:val="22549CF8"/>
    <w:rsid w:val="22714ED8"/>
    <w:rsid w:val="2286F1BA"/>
    <w:rsid w:val="22C5F132"/>
    <w:rsid w:val="22D12743"/>
    <w:rsid w:val="2323509D"/>
    <w:rsid w:val="23473BB5"/>
    <w:rsid w:val="2357B5AF"/>
    <w:rsid w:val="23586FF3"/>
    <w:rsid w:val="236D51C5"/>
    <w:rsid w:val="23A27AD9"/>
    <w:rsid w:val="23CDB5A8"/>
    <w:rsid w:val="2473BDC2"/>
    <w:rsid w:val="24767733"/>
    <w:rsid w:val="24838C06"/>
    <w:rsid w:val="24A3BF9B"/>
    <w:rsid w:val="24C7D1AD"/>
    <w:rsid w:val="25039FE2"/>
    <w:rsid w:val="250A0FAC"/>
    <w:rsid w:val="250ADE4A"/>
    <w:rsid w:val="250ADE4A"/>
    <w:rsid w:val="251464C6"/>
    <w:rsid w:val="25451334"/>
    <w:rsid w:val="2545C6E8"/>
    <w:rsid w:val="256A0B33"/>
    <w:rsid w:val="25949166"/>
    <w:rsid w:val="25BB71C5"/>
    <w:rsid w:val="25D4019B"/>
    <w:rsid w:val="25D63844"/>
    <w:rsid w:val="25D9518E"/>
    <w:rsid w:val="25F22366"/>
    <w:rsid w:val="260D111F"/>
    <w:rsid w:val="260F696F"/>
    <w:rsid w:val="26526737"/>
    <w:rsid w:val="2663A20E"/>
    <w:rsid w:val="26996FE3"/>
    <w:rsid w:val="26A1F092"/>
    <w:rsid w:val="26BB585D"/>
    <w:rsid w:val="26D303FE"/>
    <w:rsid w:val="26D47676"/>
    <w:rsid w:val="26E19749"/>
    <w:rsid w:val="270F2A50"/>
    <w:rsid w:val="2755F06E"/>
    <w:rsid w:val="277EA57A"/>
    <w:rsid w:val="2784BDB9"/>
    <w:rsid w:val="27BAEA8A"/>
    <w:rsid w:val="27CA6699"/>
    <w:rsid w:val="27D94D02"/>
    <w:rsid w:val="27ECF5FF"/>
    <w:rsid w:val="280ABDDB"/>
    <w:rsid w:val="2823F1AE"/>
    <w:rsid w:val="2826D6FD"/>
    <w:rsid w:val="28354044"/>
    <w:rsid w:val="28356A82"/>
    <w:rsid w:val="283714BF"/>
    <w:rsid w:val="286419BA"/>
    <w:rsid w:val="2888F93F"/>
    <w:rsid w:val="28F601D2"/>
    <w:rsid w:val="2900162E"/>
    <w:rsid w:val="290F2BE7"/>
    <w:rsid w:val="2928D297"/>
    <w:rsid w:val="293BD350"/>
    <w:rsid w:val="295AEE4F"/>
    <w:rsid w:val="2994D129"/>
    <w:rsid w:val="29B70955"/>
    <w:rsid w:val="29CBCBA4"/>
    <w:rsid w:val="29D99154"/>
    <w:rsid w:val="2A02A5D1"/>
    <w:rsid w:val="2A0A4F19"/>
    <w:rsid w:val="2A20A527"/>
    <w:rsid w:val="2A21C5C4"/>
    <w:rsid w:val="2AE84EFB"/>
    <w:rsid w:val="2AED4A5C"/>
    <w:rsid w:val="2AF3C81A"/>
    <w:rsid w:val="2AF6BEB0"/>
    <w:rsid w:val="2B14E36F"/>
    <w:rsid w:val="2B191FF2"/>
    <w:rsid w:val="2B3B98CA"/>
    <w:rsid w:val="2B7561B5"/>
    <w:rsid w:val="2B8D4CC4"/>
    <w:rsid w:val="2BA127B0"/>
    <w:rsid w:val="2BB0A905"/>
    <w:rsid w:val="2BBB8376"/>
    <w:rsid w:val="2BD15946"/>
    <w:rsid w:val="2C0FAF98"/>
    <w:rsid w:val="2C296191"/>
    <w:rsid w:val="2C826049"/>
    <w:rsid w:val="2C8316FC"/>
    <w:rsid w:val="2C928F11"/>
    <w:rsid w:val="2CB7B85F"/>
    <w:rsid w:val="2CC1A8BB"/>
    <w:rsid w:val="2CF72547"/>
    <w:rsid w:val="2D0D7397"/>
    <w:rsid w:val="2D113216"/>
    <w:rsid w:val="2D17FE79"/>
    <w:rsid w:val="2D3AA5B6"/>
    <w:rsid w:val="2DB706B2"/>
    <w:rsid w:val="2E009453"/>
    <w:rsid w:val="2E00BAE5"/>
    <w:rsid w:val="2E0BAE1A"/>
    <w:rsid w:val="2E2E5F72"/>
    <w:rsid w:val="2E36C1CE"/>
    <w:rsid w:val="2E3FFE13"/>
    <w:rsid w:val="2E4E9FFF"/>
    <w:rsid w:val="2E688998"/>
    <w:rsid w:val="2EAE1DA7"/>
    <w:rsid w:val="2EB03600"/>
    <w:rsid w:val="2F3E650E"/>
    <w:rsid w:val="2F3FC3CF"/>
    <w:rsid w:val="2F559ECA"/>
    <w:rsid w:val="2F9C64B4"/>
    <w:rsid w:val="2FF9C7A3"/>
    <w:rsid w:val="300381D8"/>
    <w:rsid w:val="300412AD"/>
    <w:rsid w:val="3063C1C7"/>
    <w:rsid w:val="30A4CA69"/>
    <w:rsid w:val="30BD4D7E"/>
    <w:rsid w:val="30CF23A0"/>
    <w:rsid w:val="30D8AC70"/>
    <w:rsid w:val="30E51EEA"/>
    <w:rsid w:val="30E76ADB"/>
    <w:rsid w:val="311B0825"/>
    <w:rsid w:val="312AFB14"/>
    <w:rsid w:val="3139A6CB"/>
    <w:rsid w:val="316706EB"/>
    <w:rsid w:val="31CBB205"/>
    <w:rsid w:val="31E2CBA1"/>
    <w:rsid w:val="31E96152"/>
    <w:rsid w:val="31E96152"/>
    <w:rsid w:val="31EE5E04"/>
    <w:rsid w:val="320D4F09"/>
    <w:rsid w:val="325272DB"/>
    <w:rsid w:val="328D3F8C"/>
    <w:rsid w:val="329879E8"/>
    <w:rsid w:val="32ACA3AE"/>
    <w:rsid w:val="32E624D3"/>
    <w:rsid w:val="32E8F6AD"/>
    <w:rsid w:val="3329DC65"/>
    <w:rsid w:val="338408A2"/>
    <w:rsid w:val="3385593D"/>
    <w:rsid w:val="33A4FC00"/>
    <w:rsid w:val="33D74F82"/>
    <w:rsid w:val="33F14119"/>
    <w:rsid w:val="341FABFC"/>
    <w:rsid w:val="3424CFFB"/>
    <w:rsid w:val="34290FED"/>
    <w:rsid w:val="343377B4"/>
    <w:rsid w:val="3495A504"/>
    <w:rsid w:val="3526923C"/>
    <w:rsid w:val="352C7B99"/>
    <w:rsid w:val="3547A6C9"/>
    <w:rsid w:val="356F5E02"/>
    <w:rsid w:val="3572C538"/>
    <w:rsid w:val="357C2AB9"/>
    <w:rsid w:val="35A0A235"/>
    <w:rsid w:val="35E8603A"/>
    <w:rsid w:val="35F2A6C1"/>
    <w:rsid w:val="3613C9C0"/>
    <w:rsid w:val="36265A2C"/>
    <w:rsid w:val="3639AC1B"/>
    <w:rsid w:val="363BC255"/>
    <w:rsid w:val="3649C7F4"/>
    <w:rsid w:val="3659B1E4"/>
    <w:rsid w:val="36766BFE"/>
    <w:rsid w:val="3679D4ED"/>
    <w:rsid w:val="36C4BFFB"/>
    <w:rsid w:val="36C55882"/>
    <w:rsid w:val="36D71810"/>
    <w:rsid w:val="36EB847B"/>
    <w:rsid w:val="371C03A8"/>
    <w:rsid w:val="371E918A"/>
    <w:rsid w:val="374BDAA1"/>
    <w:rsid w:val="3793333F"/>
    <w:rsid w:val="37FDDC66"/>
    <w:rsid w:val="381D83BF"/>
    <w:rsid w:val="38247460"/>
    <w:rsid w:val="38394A44"/>
    <w:rsid w:val="386BCFCC"/>
    <w:rsid w:val="38BB3688"/>
    <w:rsid w:val="38E632EA"/>
    <w:rsid w:val="38E8F3F0"/>
    <w:rsid w:val="3923DA96"/>
    <w:rsid w:val="392F03A0"/>
    <w:rsid w:val="395299F7"/>
    <w:rsid w:val="39711219"/>
    <w:rsid w:val="39ED0C72"/>
    <w:rsid w:val="39FAA499"/>
    <w:rsid w:val="3A0DCD16"/>
    <w:rsid w:val="3A43FAAC"/>
    <w:rsid w:val="3A483003"/>
    <w:rsid w:val="3A4BACAF"/>
    <w:rsid w:val="3A5DBC0B"/>
    <w:rsid w:val="3A72CC19"/>
    <w:rsid w:val="3A7C76E9"/>
    <w:rsid w:val="3AAA7E98"/>
    <w:rsid w:val="3AC1CF05"/>
    <w:rsid w:val="3AC6AC00"/>
    <w:rsid w:val="3ADD07AE"/>
    <w:rsid w:val="3ADE1936"/>
    <w:rsid w:val="3B063DDE"/>
    <w:rsid w:val="3B182F7D"/>
    <w:rsid w:val="3B21B374"/>
    <w:rsid w:val="3B258AFB"/>
    <w:rsid w:val="3B3571D8"/>
    <w:rsid w:val="3B4B6DDB"/>
    <w:rsid w:val="3B5E770E"/>
    <w:rsid w:val="3B70EB06"/>
    <w:rsid w:val="3BAB779F"/>
    <w:rsid w:val="3BB9B1F1"/>
    <w:rsid w:val="3BD46DE5"/>
    <w:rsid w:val="3BF78994"/>
    <w:rsid w:val="3C05C374"/>
    <w:rsid w:val="3C206E7F"/>
    <w:rsid w:val="3C3E1D9B"/>
    <w:rsid w:val="3C5BAEDE"/>
    <w:rsid w:val="3C66A462"/>
    <w:rsid w:val="3C869880"/>
    <w:rsid w:val="3CF470CA"/>
    <w:rsid w:val="3D00E267"/>
    <w:rsid w:val="3D128A30"/>
    <w:rsid w:val="3D2F1BB7"/>
    <w:rsid w:val="3D3F131D"/>
    <w:rsid w:val="3D7C46AD"/>
    <w:rsid w:val="3D834D71"/>
    <w:rsid w:val="3DC8B0FC"/>
    <w:rsid w:val="3DC9A2A9"/>
    <w:rsid w:val="3DE6DDB8"/>
    <w:rsid w:val="3E0274C3"/>
    <w:rsid w:val="3E057D46"/>
    <w:rsid w:val="3E2021C0"/>
    <w:rsid w:val="3E865885"/>
    <w:rsid w:val="3EA6B675"/>
    <w:rsid w:val="3ED83876"/>
    <w:rsid w:val="3EF439AD"/>
    <w:rsid w:val="3F0C0EA7"/>
    <w:rsid w:val="3F286F34"/>
    <w:rsid w:val="3F34ED13"/>
    <w:rsid w:val="3F42C26D"/>
    <w:rsid w:val="3FA14DA7"/>
    <w:rsid w:val="3FB97FD5"/>
    <w:rsid w:val="400AAFE6"/>
    <w:rsid w:val="403A0437"/>
    <w:rsid w:val="40426A2C"/>
    <w:rsid w:val="4053BC93"/>
    <w:rsid w:val="40549ECE"/>
    <w:rsid w:val="405C4DF6"/>
    <w:rsid w:val="4076E1B1"/>
    <w:rsid w:val="40845F62"/>
    <w:rsid w:val="40A7DF08"/>
    <w:rsid w:val="40B2E91A"/>
    <w:rsid w:val="40E61F4C"/>
    <w:rsid w:val="40F81B86"/>
    <w:rsid w:val="410F807B"/>
    <w:rsid w:val="413C8E22"/>
    <w:rsid w:val="41517C47"/>
    <w:rsid w:val="417B9891"/>
    <w:rsid w:val="41B13F32"/>
    <w:rsid w:val="41B8FC39"/>
    <w:rsid w:val="41F81E57"/>
    <w:rsid w:val="420C8321"/>
    <w:rsid w:val="4252128E"/>
    <w:rsid w:val="4261AD89"/>
    <w:rsid w:val="426C3182"/>
    <w:rsid w:val="42740857"/>
    <w:rsid w:val="42AB50DC"/>
    <w:rsid w:val="42DDC6BB"/>
    <w:rsid w:val="42ED4CA8"/>
    <w:rsid w:val="42F3480F"/>
    <w:rsid w:val="436770FB"/>
    <w:rsid w:val="43800A67"/>
    <w:rsid w:val="4393EEB8"/>
    <w:rsid w:val="43A34303"/>
    <w:rsid w:val="43A3F061"/>
    <w:rsid w:val="43B66FF9"/>
    <w:rsid w:val="43DC7A94"/>
    <w:rsid w:val="43F8BBDB"/>
    <w:rsid w:val="4432E376"/>
    <w:rsid w:val="4447C451"/>
    <w:rsid w:val="444AA747"/>
    <w:rsid w:val="44D3DDF6"/>
    <w:rsid w:val="451B3361"/>
    <w:rsid w:val="453ECEDA"/>
    <w:rsid w:val="453F1364"/>
    <w:rsid w:val="45514D02"/>
    <w:rsid w:val="4580C2E2"/>
    <w:rsid w:val="458B1ABA"/>
    <w:rsid w:val="45917C4B"/>
    <w:rsid w:val="45F71A30"/>
    <w:rsid w:val="4646A471"/>
    <w:rsid w:val="46BC868D"/>
    <w:rsid w:val="47358047"/>
    <w:rsid w:val="47413EA2"/>
    <w:rsid w:val="47641291"/>
    <w:rsid w:val="4773F2F6"/>
    <w:rsid w:val="477837A9"/>
    <w:rsid w:val="47824809"/>
    <w:rsid w:val="47903F4E"/>
    <w:rsid w:val="47A8D2BC"/>
    <w:rsid w:val="47AC5F8C"/>
    <w:rsid w:val="47D62346"/>
    <w:rsid w:val="47D9EA2A"/>
    <w:rsid w:val="47F737D3"/>
    <w:rsid w:val="47FF53F9"/>
    <w:rsid w:val="481D600E"/>
    <w:rsid w:val="48485394"/>
    <w:rsid w:val="485C6260"/>
    <w:rsid w:val="486A2FB9"/>
    <w:rsid w:val="4876B426"/>
    <w:rsid w:val="487C7A59"/>
    <w:rsid w:val="48C582C5"/>
    <w:rsid w:val="48C60018"/>
    <w:rsid w:val="48E4A226"/>
    <w:rsid w:val="48FB16F3"/>
    <w:rsid w:val="4944A31D"/>
    <w:rsid w:val="49A0938E"/>
    <w:rsid w:val="49DD3F7E"/>
    <w:rsid w:val="4A15105B"/>
    <w:rsid w:val="4A1545EC"/>
    <w:rsid w:val="4A5A05EE"/>
    <w:rsid w:val="4A61D079"/>
    <w:rsid w:val="4AC491DC"/>
    <w:rsid w:val="4AD93F11"/>
    <w:rsid w:val="4AF048CA"/>
    <w:rsid w:val="4B36F4BB"/>
    <w:rsid w:val="4B952DA4"/>
    <w:rsid w:val="4BB06D62"/>
    <w:rsid w:val="4BB99458"/>
    <w:rsid w:val="4BE9CB0D"/>
    <w:rsid w:val="4BF812AF"/>
    <w:rsid w:val="4C04B90A"/>
    <w:rsid w:val="4C24FD25"/>
    <w:rsid w:val="4C2B0CBE"/>
    <w:rsid w:val="4C3783B4"/>
    <w:rsid w:val="4C426A42"/>
    <w:rsid w:val="4C942EEE"/>
    <w:rsid w:val="4CAD574B"/>
    <w:rsid w:val="4CBC607E"/>
    <w:rsid w:val="4CDFF240"/>
    <w:rsid w:val="4D273C65"/>
    <w:rsid w:val="4D4A2549"/>
    <w:rsid w:val="4D4A2549"/>
    <w:rsid w:val="4D99713B"/>
    <w:rsid w:val="4DA97449"/>
    <w:rsid w:val="4DC5C6FA"/>
    <w:rsid w:val="4DC6DD1F"/>
    <w:rsid w:val="4DF43F48"/>
    <w:rsid w:val="4E073692"/>
    <w:rsid w:val="4E0E0818"/>
    <w:rsid w:val="4EA7EDD8"/>
    <w:rsid w:val="4EE52123"/>
    <w:rsid w:val="4EF922A0"/>
    <w:rsid w:val="4F25F961"/>
    <w:rsid w:val="4F62AD80"/>
    <w:rsid w:val="4F645B46"/>
    <w:rsid w:val="4F7D83A3"/>
    <w:rsid w:val="4F900FA9"/>
    <w:rsid w:val="4F9ADF44"/>
    <w:rsid w:val="4FA19F65"/>
    <w:rsid w:val="4FBED41C"/>
    <w:rsid w:val="4FC83648"/>
    <w:rsid w:val="4FD087E5"/>
    <w:rsid w:val="4FF0EF05"/>
    <w:rsid w:val="4FF13D81"/>
    <w:rsid w:val="501AC5EF"/>
    <w:rsid w:val="50781FC2"/>
    <w:rsid w:val="5097CFE1"/>
    <w:rsid w:val="50A55A39"/>
    <w:rsid w:val="50A6B05D"/>
    <w:rsid w:val="50D111FD"/>
    <w:rsid w:val="50EB0EDF"/>
    <w:rsid w:val="514A045F"/>
    <w:rsid w:val="514F21D9"/>
    <w:rsid w:val="515C60A1"/>
    <w:rsid w:val="518D0DE2"/>
    <w:rsid w:val="519AE220"/>
    <w:rsid w:val="51BFD433"/>
    <w:rsid w:val="52288B7A"/>
    <w:rsid w:val="524F0380"/>
    <w:rsid w:val="52631DB9"/>
    <w:rsid w:val="5286DF40"/>
    <w:rsid w:val="529BFC08"/>
    <w:rsid w:val="52ACF9B2"/>
    <w:rsid w:val="52F8C989"/>
    <w:rsid w:val="5326F14B"/>
    <w:rsid w:val="5329E7FA"/>
    <w:rsid w:val="53596E5F"/>
    <w:rsid w:val="536CDA06"/>
    <w:rsid w:val="537312BC"/>
    <w:rsid w:val="537A7352"/>
    <w:rsid w:val="53997FD4"/>
    <w:rsid w:val="539A593C"/>
    <w:rsid w:val="53BF85C6"/>
    <w:rsid w:val="5408B2BF"/>
    <w:rsid w:val="5408B8BC"/>
    <w:rsid w:val="5452467E"/>
    <w:rsid w:val="546380CC"/>
    <w:rsid w:val="546BC4D4"/>
    <w:rsid w:val="5492453F"/>
    <w:rsid w:val="54A8A0D1"/>
    <w:rsid w:val="54C5B85B"/>
    <w:rsid w:val="54CB07F3"/>
    <w:rsid w:val="54EF5364"/>
    <w:rsid w:val="54FCA39A"/>
    <w:rsid w:val="5538D9E9"/>
    <w:rsid w:val="554D1A34"/>
    <w:rsid w:val="556DCA64"/>
    <w:rsid w:val="55905592"/>
    <w:rsid w:val="55A0D778"/>
    <w:rsid w:val="55A48320"/>
    <w:rsid w:val="55AFD4BF"/>
    <w:rsid w:val="55B8C6A7"/>
    <w:rsid w:val="55BE8002"/>
    <w:rsid w:val="55D003F9"/>
    <w:rsid w:val="55D39CCA"/>
    <w:rsid w:val="55D41FA3"/>
    <w:rsid w:val="55ECC527"/>
    <w:rsid w:val="55FF512D"/>
    <w:rsid w:val="56447132"/>
    <w:rsid w:val="565014A4"/>
    <w:rsid w:val="56537F3F"/>
    <w:rsid w:val="56D3E793"/>
    <w:rsid w:val="56F7555B"/>
    <w:rsid w:val="570C25E5"/>
    <w:rsid w:val="571C9AFF"/>
    <w:rsid w:val="57222144"/>
    <w:rsid w:val="572ED427"/>
    <w:rsid w:val="57305AE3"/>
    <w:rsid w:val="574455C7"/>
    <w:rsid w:val="576D4E63"/>
    <w:rsid w:val="57BC4DDA"/>
    <w:rsid w:val="58133CD9"/>
    <w:rsid w:val="581A21F3"/>
    <w:rsid w:val="586148A2"/>
    <w:rsid w:val="586C4120"/>
    <w:rsid w:val="58C0E77D"/>
    <w:rsid w:val="58EC0B7F"/>
    <w:rsid w:val="59132B12"/>
    <w:rsid w:val="59A9FA9D"/>
    <w:rsid w:val="59B6BE78"/>
    <w:rsid w:val="59C16770"/>
    <w:rsid w:val="59CCA3A9"/>
    <w:rsid w:val="59D8BE0D"/>
    <w:rsid w:val="59F0912B"/>
    <w:rsid w:val="5A042D2B"/>
    <w:rsid w:val="5A38EE4D"/>
    <w:rsid w:val="5AAA816B"/>
    <w:rsid w:val="5AD2C250"/>
    <w:rsid w:val="5B0E8257"/>
    <w:rsid w:val="5B34F9DF"/>
    <w:rsid w:val="5B612E13"/>
    <w:rsid w:val="5B6A4D18"/>
    <w:rsid w:val="5B78DACB"/>
    <w:rsid w:val="5BD9BCE6"/>
    <w:rsid w:val="5C0C0475"/>
    <w:rsid w:val="5C0D8718"/>
    <w:rsid w:val="5C13B136"/>
    <w:rsid w:val="5C6CC098"/>
    <w:rsid w:val="5C7DB04F"/>
    <w:rsid w:val="5CA2342B"/>
    <w:rsid w:val="5CC0941B"/>
    <w:rsid w:val="5CCF9040"/>
    <w:rsid w:val="5CF215F9"/>
    <w:rsid w:val="5CFCFE74"/>
    <w:rsid w:val="5D0E9FC7"/>
    <w:rsid w:val="5D31F58F"/>
    <w:rsid w:val="5D3654CA"/>
    <w:rsid w:val="5D4FB2A5"/>
    <w:rsid w:val="5D708F0F"/>
    <w:rsid w:val="5DA8F1FB"/>
    <w:rsid w:val="5DC7E8AA"/>
    <w:rsid w:val="5DCD73D8"/>
    <w:rsid w:val="5E160434"/>
    <w:rsid w:val="5E490F94"/>
    <w:rsid w:val="5E4F8317"/>
    <w:rsid w:val="5E75148E"/>
    <w:rsid w:val="5E7EC905"/>
    <w:rsid w:val="5E86C688"/>
    <w:rsid w:val="5E960C4E"/>
    <w:rsid w:val="5E98CED5"/>
    <w:rsid w:val="5ED5A668"/>
    <w:rsid w:val="5F0C5F70"/>
    <w:rsid w:val="5F0D9E7D"/>
    <w:rsid w:val="5F51EB47"/>
    <w:rsid w:val="5F81D85D"/>
    <w:rsid w:val="5F9A3537"/>
    <w:rsid w:val="5FD8EB34"/>
    <w:rsid w:val="5FE1F37A"/>
    <w:rsid w:val="60071B16"/>
    <w:rsid w:val="60086B02"/>
    <w:rsid w:val="60150023"/>
    <w:rsid w:val="601D8141"/>
    <w:rsid w:val="603D1C3C"/>
    <w:rsid w:val="604E743B"/>
    <w:rsid w:val="6061CF89"/>
    <w:rsid w:val="60BFDCAF"/>
    <w:rsid w:val="60EFF793"/>
    <w:rsid w:val="61412A7B"/>
    <w:rsid w:val="614188E2"/>
    <w:rsid w:val="614D633C"/>
    <w:rsid w:val="61786FAF"/>
    <w:rsid w:val="61887ED0"/>
    <w:rsid w:val="619D1FE3"/>
    <w:rsid w:val="61A43B63"/>
    <w:rsid w:val="61B3DE44"/>
    <w:rsid w:val="61D06F97"/>
    <w:rsid w:val="61D16702"/>
    <w:rsid w:val="61EA1B89"/>
    <w:rsid w:val="61EA449C"/>
    <w:rsid w:val="61FD9FEA"/>
    <w:rsid w:val="622BBB7A"/>
    <w:rsid w:val="622DFEAF"/>
    <w:rsid w:val="625559A8"/>
    <w:rsid w:val="6275E531"/>
    <w:rsid w:val="6296F49F"/>
    <w:rsid w:val="62A12479"/>
    <w:rsid w:val="62B51523"/>
    <w:rsid w:val="62BA0D58"/>
    <w:rsid w:val="62BB5F10"/>
    <w:rsid w:val="62BF7362"/>
    <w:rsid w:val="630EA91F"/>
    <w:rsid w:val="6314CEDF"/>
    <w:rsid w:val="631B5C64"/>
    <w:rsid w:val="632181C2"/>
    <w:rsid w:val="6364B5C3"/>
    <w:rsid w:val="636C3FF8"/>
    <w:rsid w:val="63B5B910"/>
    <w:rsid w:val="63E20C88"/>
    <w:rsid w:val="64417D31"/>
    <w:rsid w:val="6449E516"/>
    <w:rsid w:val="648D8974"/>
    <w:rsid w:val="64BD5223"/>
    <w:rsid w:val="64FAE5D4"/>
    <w:rsid w:val="64FD95A7"/>
    <w:rsid w:val="65054DD2"/>
    <w:rsid w:val="65081059"/>
    <w:rsid w:val="6536A81E"/>
    <w:rsid w:val="6541B326"/>
    <w:rsid w:val="65BB7CE6"/>
    <w:rsid w:val="65E5B577"/>
    <w:rsid w:val="65FEDA69"/>
    <w:rsid w:val="66061847"/>
    <w:rsid w:val="661C6F47"/>
    <w:rsid w:val="66474AD1"/>
    <w:rsid w:val="667FFEA9"/>
    <w:rsid w:val="6697927E"/>
    <w:rsid w:val="66BAD070"/>
    <w:rsid w:val="66DAC2E1"/>
    <w:rsid w:val="6731FC7D"/>
    <w:rsid w:val="674204E6"/>
    <w:rsid w:val="67AB8755"/>
    <w:rsid w:val="67BC991D"/>
    <w:rsid w:val="67F8CDF6"/>
    <w:rsid w:val="6817DB70"/>
    <w:rsid w:val="681C3C4E"/>
    <w:rsid w:val="68C2C5FE"/>
    <w:rsid w:val="68DFD887"/>
    <w:rsid w:val="690AD579"/>
    <w:rsid w:val="690BAC77"/>
    <w:rsid w:val="695FC2FF"/>
    <w:rsid w:val="6990C346"/>
    <w:rsid w:val="69922F8D"/>
    <w:rsid w:val="69ADD110"/>
    <w:rsid w:val="69C470CA"/>
    <w:rsid w:val="69D8CC8A"/>
    <w:rsid w:val="6A0CB876"/>
    <w:rsid w:val="6A28998F"/>
    <w:rsid w:val="6A85F8B1"/>
    <w:rsid w:val="6ACB7E71"/>
    <w:rsid w:val="6B0BDA36"/>
    <w:rsid w:val="6B27457A"/>
    <w:rsid w:val="6B642C0B"/>
    <w:rsid w:val="6B8247CB"/>
    <w:rsid w:val="6B88F330"/>
    <w:rsid w:val="6BA8BC98"/>
    <w:rsid w:val="6C04E88B"/>
    <w:rsid w:val="6C1E4A8A"/>
    <w:rsid w:val="6C48652A"/>
    <w:rsid w:val="6C52B6F3"/>
    <w:rsid w:val="6CB9D3F3"/>
    <w:rsid w:val="6CBD2131"/>
    <w:rsid w:val="6D118797"/>
    <w:rsid w:val="6D1E7FE6"/>
    <w:rsid w:val="6D30F651"/>
    <w:rsid w:val="6D6D8A7C"/>
    <w:rsid w:val="6D8677A2"/>
    <w:rsid w:val="6DC85D61"/>
    <w:rsid w:val="6DCE7ADA"/>
    <w:rsid w:val="6DFA0D28"/>
    <w:rsid w:val="6DFCBFFF"/>
    <w:rsid w:val="6E06E531"/>
    <w:rsid w:val="6E275FA1"/>
    <w:rsid w:val="6E4163F1"/>
    <w:rsid w:val="6E723A10"/>
    <w:rsid w:val="6E8AABF1"/>
    <w:rsid w:val="6E9410BC"/>
    <w:rsid w:val="6F32B3DD"/>
    <w:rsid w:val="6F4302AF"/>
    <w:rsid w:val="6FA45DCA"/>
    <w:rsid w:val="70747028"/>
    <w:rsid w:val="70B266B4"/>
    <w:rsid w:val="70B76AC1"/>
    <w:rsid w:val="70D31DFE"/>
    <w:rsid w:val="70F92962"/>
    <w:rsid w:val="71164CC6"/>
    <w:rsid w:val="71189D50"/>
    <w:rsid w:val="7151F7D9"/>
    <w:rsid w:val="7152DE96"/>
    <w:rsid w:val="71FCA488"/>
    <w:rsid w:val="7209CC6C"/>
    <w:rsid w:val="728B25A8"/>
    <w:rsid w:val="72B6BEDA"/>
    <w:rsid w:val="72C33C1B"/>
    <w:rsid w:val="72DD0C53"/>
    <w:rsid w:val="731B567B"/>
    <w:rsid w:val="7337A58C"/>
    <w:rsid w:val="736F2110"/>
    <w:rsid w:val="73D3CA60"/>
    <w:rsid w:val="73D47EB2"/>
    <w:rsid w:val="73E5319E"/>
    <w:rsid w:val="73EC9C1D"/>
    <w:rsid w:val="74124022"/>
    <w:rsid w:val="747B7E9F"/>
    <w:rsid w:val="7499AD42"/>
    <w:rsid w:val="749D6EBC"/>
    <w:rsid w:val="749FB9D5"/>
    <w:rsid w:val="74BEB5FC"/>
    <w:rsid w:val="74EAFA52"/>
    <w:rsid w:val="74EFEFA2"/>
    <w:rsid w:val="74FD51A6"/>
    <w:rsid w:val="75566D13"/>
    <w:rsid w:val="75CC9A85"/>
    <w:rsid w:val="7619DE0E"/>
    <w:rsid w:val="7657CD9B"/>
    <w:rsid w:val="76757BFF"/>
    <w:rsid w:val="769AA231"/>
    <w:rsid w:val="76BE5482"/>
    <w:rsid w:val="770B5E59"/>
    <w:rsid w:val="773EA57B"/>
    <w:rsid w:val="77703FC2"/>
    <w:rsid w:val="779F9728"/>
    <w:rsid w:val="77AB3CC2"/>
    <w:rsid w:val="77DA9228"/>
    <w:rsid w:val="7843405B"/>
    <w:rsid w:val="78563B61"/>
    <w:rsid w:val="7889060B"/>
    <w:rsid w:val="7890D4D2"/>
    <w:rsid w:val="78A203B8"/>
    <w:rsid w:val="78A90E28"/>
    <w:rsid w:val="78B42C6D"/>
    <w:rsid w:val="78C14AD6"/>
    <w:rsid w:val="78D8FE62"/>
    <w:rsid w:val="7909D0E3"/>
    <w:rsid w:val="7929BDC7"/>
    <w:rsid w:val="792DACF4"/>
    <w:rsid w:val="797ADCEF"/>
    <w:rsid w:val="798199A1"/>
    <w:rsid w:val="7982E27C"/>
    <w:rsid w:val="79B234ED"/>
    <w:rsid w:val="79DD2AA9"/>
    <w:rsid w:val="79EAF392"/>
    <w:rsid w:val="7A0325DE"/>
    <w:rsid w:val="7A035C3F"/>
    <w:rsid w:val="7A0B341F"/>
    <w:rsid w:val="7A45C19F"/>
    <w:rsid w:val="7A5B185F"/>
    <w:rsid w:val="7A718FD2"/>
    <w:rsid w:val="7A741C21"/>
    <w:rsid w:val="7A82F41E"/>
    <w:rsid w:val="7AA6A0FB"/>
    <w:rsid w:val="7AD2880D"/>
    <w:rsid w:val="7AD6FDEE"/>
    <w:rsid w:val="7B23C924"/>
    <w:rsid w:val="7B63FCC0"/>
    <w:rsid w:val="7B64B9DD"/>
    <w:rsid w:val="7B71EE60"/>
    <w:rsid w:val="7B74D708"/>
    <w:rsid w:val="7B8DDC23"/>
    <w:rsid w:val="7B9CB540"/>
    <w:rsid w:val="7BB56B9E"/>
    <w:rsid w:val="7BD32414"/>
    <w:rsid w:val="7BF76780"/>
    <w:rsid w:val="7C212BDE"/>
    <w:rsid w:val="7C3F669F"/>
    <w:rsid w:val="7C42BFD8"/>
    <w:rsid w:val="7C48362C"/>
    <w:rsid w:val="7C5515CD"/>
    <w:rsid w:val="7C801541"/>
    <w:rsid w:val="7D292DAF"/>
    <w:rsid w:val="7D63D93C"/>
    <w:rsid w:val="7D7B894D"/>
    <w:rsid w:val="7D7D1DA7"/>
    <w:rsid w:val="7DC59813"/>
    <w:rsid w:val="7DE4FDE5"/>
    <w:rsid w:val="7DE7ED7B"/>
    <w:rsid w:val="7E0031BF"/>
    <w:rsid w:val="7E6B8447"/>
    <w:rsid w:val="7E75BD2D"/>
    <w:rsid w:val="7E9EA282"/>
    <w:rsid w:val="7ED7617B"/>
    <w:rsid w:val="7EDBB883"/>
    <w:rsid w:val="7EED31E8"/>
    <w:rsid w:val="7F7751C1"/>
    <w:rsid w:val="7F7FD6EE"/>
    <w:rsid w:val="7FBF8D98"/>
    <w:rsid w:val="7FCAF49F"/>
    <w:rsid w:val="7FE2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EC5A"/>
  <w15:docId w15:val="{84858C15-B38B-4E6C-972D-DF650513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E7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849E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7849E1"/>
  </w:style>
  <w:style w:type="paragraph" w:styleId="Footer">
    <w:name w:val="footer"/>
    <w:basedOn w:val="Normal"/>
    <w:link w:val="FooterChar"/>
    <w:uiPriority w:val="99"/>
    <w:unhideWhenUsed/>
    <w:rsid w:val="007849E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ebf4429f94ac45db" /><Relationship Type="http://schemas.microsoft.com/office/2020/10/relationships/intelligence" Target="intelligence2.xml" Id="R4edf631bb7e84433" /><Relationship Type="http://schemas.openxmlformats.org/officeDocument/2006/relationships/numbering" Target="numbering.xml" Id="R44160d92d7d147e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bbbd-02f0-41d2-a0cb-8320d9dd1f42}"/>
      </w:docPartPr>
      <w:docPartBody>
        <w:p w14:paraId="0CBD2BE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730BE-5868-49BD-9CD0-FB552D8F81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Deftones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hp</dc:creator>
  <lastModifiedBy>Ugochukwu Okeke</lastModifiedBy>
  <revision>10</revision>
  <dcterms:created xsi:type="dcterms:W3CDTF">2021-11-02T18:17:00.0000000Z</dcterms:created>
  <dcterms:modified xsi:type="dcterms:W3CDTF">2023-07-10T14:10:08.6847217Z</dcterms:modified>
</coreProperties>
</file>