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C8399A" w14:textId="77777777" w:rsidR="009F5C69" w:rsidRPr="009F5C69" w:rsidRDefault="009F5C69" w:rsidP="009F5C69">
      <w:pPr>
        <w:rPr>
          <w:sz w:val="28"/>
          <w:szCs w:val="28"/>
        </w:rPr>
      </w:pPr>
      <w:r w:rsidRPr="009F5C69">
        <w:rPr>
          <w:b/>
          <w:bCs/>
          <w:sz w:val="28"/>
          <w:szCs w:val="28"/>
        </w:rPr>
        <w:t>Market Research for Visa Inc.</w:t>
      </w:r>
    </w:p>
    <w:p w14:paraId="2B56A6AF" w14:textId="516D9C24" w:rsidR="009F5C69" w:rsidRPr="009F5C69" w:rsidRDefault="009F5C69" w:rsidP="009F5C69">
      <w:pPr>
        <w:ind w:firstLine="45"/>
      </w:pPr>
    </w:p>
    <w:p w14:paraId="1A4D4402" w14:textId="16FEB811" w:rsidR="009F5C69" w:rsidRDefault="009F5C69" w:rsidP="009F5C69">
      <w:pPr>
        <w:numPr>
          <w:ilvl w:val="0"/>
          <w:numId w:val="17"/>
        </w:numPr>
      </w:pPr>
      <w:r w:rsidRPr="009F5C69">
        <w:rPr>
          <w:b/>
          <w:bCs/>
        </w:rPr>
        <w:t>Industry Identification:</w:t>
      </w:r>
    </w:p>
    <w:p w14:paraId="19AED303" w14:textId="4B7970FF" w:rsidR="009F5C69" w:rsidRDefault="009F5C69" w:rsidP="009F5C69">
      <w:pPr>
        <w:ind w:left="720"/>
      </w:pPr>
      <w:r>
        <w:t xml:space="preserve">Visa Inc. operates within the financial services industry, specifically in the payment processing and electronic funds transfer sector. It is a global leader in providing secure, efficient, and convenient payment solutions. </w:t>
      </w:r>
    </w:p>
    <w:p w14:paraId="0CF0BE02" w14:textId="77777777" w:rsidR="00837E50" w:rsidRPr="009F5C69" w:rsidRDefault="00837E50" w:rsidP="00837E50"/>
    <w:p w14:paraId="2136BC12" w14:textId="77777777" w:rsidR="009F5C69" w:rsidRPr="009F5C69" w:rsidRDefault="009F5C69" w:rsidP="009F5C69">
      <w:pPr>
        <w:numPr>
          <w:ilvl w:val="0"/>
          <w:numId w:val="17"/>
        </w:numPr>
      </w:pPr>
      <w:r w:rsidRPr="009F5C69">
        <w:rPr>
          <w:b/>
          <w:bCs/>
        </w:rPr>
        <w:t>Peers:</w:t>
      </w:r>
    </w:p>
    <w:p w14:paraId="34205AA6" w14:textId="31F96E63" w:rsidR="009F5C69" w:rsidRPr="009F5C69" w:rsidRDefault="009F5C69" w:rsidP="009F5C69">
      <w:pPr>
        <w:ind w:left="720"/>
      </w:pPr>
      <w:r w:rsidRPr="009F5C69">
        <w:t>Below are two other companies within the financial services sector that could be deemed as peers for Visa Inc.</w:t>
      </w:r>
    </w:p>
    <w:p w14:paraId="4BD9D2FC" w14:textId="77777777" w:rsidR="009F5C69" w:rsidRPr="009F5C69" w:rsidRDefault="009F5C69" w:rsidP="009F5C69">
      <w:pPr>
        <w:numPr>
          <w:ilvl w:val="1"/>
          <w:numId w:val="17"/>
        </w:numPr>
      </w:pPr>
      <w:r w:rsidRPr="009F5C69">
        <w:rPr>
          <w:b/>
          <w:bCs/>
        </w:rPr>
        <w:t>Mastercard Inc.</w:t>
      </w:r>
    </w:p>
    <w:p w14:paraId="0652B53A" w14:textId="4203517C" w:rsidR="009F5C69" w:rsidRPr="009F5C69" w:rsidRDefault="009F5C69" w:rsidP="009F5C69">
      <w:pPr>
        <w:ind w:left="1440"/>
      </w:pPr>
      <w:r>
        <w:t xml:space="preserve">Mastercard is one of Visa’s main competitors in the payment and processing industry. This company offers consumers credit, debit, and prepaid card services, as well as payment technology solutions. </w:t>
      </w:r>
    </w:p>
    <w:p w14:paraId="7E7FDC38" w14:textId="77777777" w:rsidR="009F5C69" w:rsidRPr="009F5C69" w:rsidRDefault="009F5C69" w:rsidP="009F5C69">
      <w:pPr>
        <w:numPr>
          <w:ilvl w:val="1"/>
          <w:numId w:val="17"/>
        </w:numPr>
      </w:pPr>
      <w:r w:rsidRPr="009F5C69">
        <w:rPr>
          <w:b/>
          <w:bCs/>
        </w:rPr>
        <w:t>American Express Company (AMEX)</w:t>
      </w:r>
    </w:p>
    <w:p w14:paraId="535027ED" w14:textId="4CA6B107" w:rsidR="009F5C69" w:rsidRPr="009F5C69" w:rsidRDefault="009F5C69" w:rsidP="009F5C69">
      <w:pPr>
        <w:ind w:left="1440"/>
      </w:pPr>
      <w:r>
        <w:t xml:space="preserve">The American Express Company, also known by the abbreviation AMEX, is another big competitor </w:t>
      </w:r>
      <w:r w:rsidR="004C6AC1">
        <w:t xml:space="preserve">of Visa’s. AMEX focuses on credit card, charge card, and traveller’s cheque services. It also provides travel and financial services to individuals and businesses. </w:t>
      </w:r>
    </w:p>
    <w:p w14:paraId="0A3045E9" w14:textId="750C04FD" w:rsidR="009F5C69" w:rsidRPr="009F5C69" w:rsidRDefault="009F5C69" w:rsidP="009F5C69">
      <w:pPr>
        <w:ind w:firstLine="45"/>
      </w:pPr>
    </w:p>
    <w:p w14:paraId="2AA34A32" w14:textId="2B3EF2C2" w:rsidR="009F5C69" w:rsidRDefault="009F5C69" w:rsidP="004C6AC1">
      <w:pPr>
        <w:numPr>
          <w:ilvl w:val="0"/>
          <w:numId w:val="17"/>
        </w:numPr>
      </w:pPr>
      <w:r w:rsidRPr="009F5C69">
        <w:rPr>
          <w:b/>
          <w:bCs/>
        </w:rPr>
        <w:t>Substitutes and New Markets:</w:t>
      </w:r>
    </w:p>
    <w:p w14:paraId="2A35D858" w14:textId="0AB5FE43" w:rsidR="004C6AC1" w:rsidRDefault="004C6AC1" w:rsidP="004C6AC1">
      <w:pPr>
        <w:ind w:left="720"/>
      </w:pPr>
      <w:r>
        <w:t>Nowadays, there are other ways or substitutes to the traditional methods for making card payments. Some of the substitutes include mobile payment platforms like PayPal and Apple Pay.  These platforms enable users to make payments using their personal digital devices. However, regardless of these new developments, there is still plenty of new opportunities for Visa Inc. to grow in emerging and upcoming economies around the world. This is a great example of some of the new markets available for Visa to capitalise on.</w:t>
      </w:r>
    </w:p>
    <w:p w14:paraId="02E81846" w14:textId="77777777" w:rsidR="00837E50" w:rsidRPr="009F5C69" w:rsidRDefault="00837E50" w:rsidP="004C6AC1">
      <w:pPr>
        <w:ind w:left="720"/>
      </w:pPr>
    </w:p>
    <w:p w14:paraId="55621B6E" w14:textId="77777777" w:rsidR="009F5C69" w:rsidRPr="009F5C69" w:rsidRDefault="009F5C69" w:rsidP="009F5C69">
      <w:pPr>
        <w:numPr>
          <w:ilvl w:val="0"/>
          <w:numId w:val="17"/>
        </w:numPr>
      </w:pPr>
      <w:r w:rsidRPr="009F5C69">
        <w:rPr>
          <w:b/>
          <w:bCs/>
        </w:rPr>
        <w:t>Key Revenue and Cost Drivers:</w:t>
      </w:r>
    </w:p>
    <w:p w14:paraId="2FC33ECD" w14:textId="77777777" w:rsidR="009F5C69" w:rsidRPr="004C6AC1" w:rsidRDefault="009F5C69" w:rsidP="009F5C69">
      <w:pPr>
        <w:numPr>
          <w:ilvl w:val="1"/>
          <w:numId w:val="17"/>
        </w:numPr>
      </w:pPr>
      <w:r w:rsidRPr="009F5C69">
        <w:rPr>
          <w:b/>
          <w:bCs/>
        </w:rPr>
        <w:t>Key Revenue Drivers:</w:t>
      </w:r>
    </w:p>
    <w:p w14:paraId="4C4DB36A" w14:textId="797B9622" w:rsidR="004C6AC1" w:rsidRDefault="004C6AC1" w:rsidP="004C6AC1">
      <w:pPr>
        <w:pStyle w:val="ListParagraph"/>
        <w:numPr>
          <w:ilvl w:val="0"/>
          <w:numId w:val="19"/>
        </w:numPr>
      </w:pPr>
      <w:r>
        <w:t>The number of transactions processed through Visa’s network, otherwise known as transaction volume, directly impacts its revenue. This is because the company earns a fee per transaction.</w:t>
      </w:r>
    </w:p>
    <w:p w14:paraId="480CBBF1" w14:textId="61D1CDF8" w:rsidR="004C6AC1" w:rsidRDefault="00FE7552" w:rsidP="004C6AC1">
      <w:pPr>
        <w:pStyle w:val="ListParagraph"/>
        <w:numPr>
          <w:ilvl w:val="0"/>
          <w:numId w:val="19"/>
        </w:numPr>
      </w:pPr>
      <w:r>
        <w:t>Fees from international transactions, otherwise known as cross-border transactions, are another source of revenue for Visa.</w:t>
      </w:r>
    </w:p>
    <w:p w14:paraId="12D45577" w14:textId="1DF33295" w:rsidR="00FE7552" w:rsidRDefault="00FE7552" w:rsidP="004C6AC1">
      <w:pPr>
        <w:pStyle w:val="ListParagraph"/>
        <w:numPr>
          <w:ilvl w:val="0"/>
          <w:numId w:val="19"/>
        </w:numPr>
      </w:pPr>
      <w:r>
        <w:t>Visa also regularly profits from Interchange fees. These are fees that are charged to merchants for accepting Visa payments and constitute a significant revenue stream.</w:t>
      </w:r>
    </w:p>
    <w:p w14:paraId="704D1144" w14:textId="77777777" w:rsidR="009F5C69" w:rsidRPr="004C6AC1" w:rsidRDefault="009F5C69" w:rsidP="009F5C69">
      <w:pPr>
        <w:numPr>
          <w:ilvl w:val="1"/>
          <w:numId w:val="17"/>
        </w:numPr>
      </w:pPr>
      <w:r w:rsidRPr="009F5C69">
        <w:rPr>
          <w:b/>
          <w:bCs/>
        </w:rPr>
        <w:lastRenderedPageBreak/>
        <w:t>Key Cost Drivers:</w:t>
      </w:r>
    </w:p>
    <w:p w14:paraId="0BA72C3D" w14:textId="77777777" w:rsidR="004C6AC1" w:rsidRPr="009F5C69" w:rsidRDefault="004C6AC1" w:rsidP="004C6AC1">
      <w:pPr>
        <w:pStyle w:val="ListParagraph"/>
        <w:numPr>
          <w:ilvl w:val="0"/>
          <w:numId w:val="19"/>
        </w:numPr>
      </w:pPr>
      <w:r>
        <w:t>Costs related to marketing campaigns and partnerships that promote the use of Visa cards and services also have a significant impact on the company’s overall cost.</w:t>
      </w:r>
    </w:p>
    <w:p w14:paraId="0EBF7FEE" w14:textId="0384609C" w:rsidR="004C6AC1" w:rsidRDefault="00FE7552" w:rsidP="004C6AC1">
      <w:pPr>
        <w:numPr>
          <w:ilvl w:val="2"/>
          <w:numId w:val="17"/>
        </w:numPr>
      </w:pPr>
      <w:r>
        <w:t xml:space="preserve">Maintaining Visa’s infrastructure and its payment processing function are another is another key cost driver for the company. </w:t>
      </w:r>
    </w:p>
    <w:p w14:paraId="7184B57F" w14:textId="5A4F92F6" w:rsidR="00FE7552" w:rsidRPr="009F5C69" w:rsidRDefault="00FE7552" w:rsidP="004C6AC1">
      <w:pPr>
        <w:numPr>
          <w:ilvl w:val="2"/>
          <w:numId w:val="17"/>
        </w:numPr>
      </w:pPr>
      <w:r>
        <w:t xml:space="preserve">Costs associated with adhering to financial regulations and data security standards are also to be considered among this list. </w:t>
      </w:r>
    </w:p>
    <w:p w14:paraId="25BD21FA" w14:textId="77777777" w:rsidR="00DC04B7" w:rsidRDefault="00DC04B7" w:rsidP="00DC04B7">
      <w:pPr>
        <w:ind w:left="360"/>
      </w:pPr>
      <w:r w:rsidRPr="00DC04B7">
        <w:rPr>
          <w:rFonts w:cs="Calibri"/>
          <w:shd w:val="clear" w:color="auto" w:fill="00FF00"/>
        </w:rPr>
        <w:t>The key revenue drivers for Visa Inc are payment volume on visa products for purchased goods and services.</w:t>
      </w:r>
      <w:r w:rsidRPr="00DC04B7">
        <w:rPr>
          <w:rFonts w:cs="Calibri"/>
        </w:rPr>
        <w:t xml:space="preserve"> </w:t>
      </w:r>
    </w:p>
    <w:p w14:paraId="63CD45B7" w14:textId="77777777" w:rsidR="00DC04B7" w:rsidRPr="00DC04B7" w:rsidRDefault="00DC04B7" w:rsidP="00DC04B7">
      <w:pPr>
        <w:ind w:left="360"/>
        <w:rPr>
          <w:rFonts w:cs="Calibri"/>
        </w:rPr>
      </w:pPr>
    </w:p>
    <w:p w14:paraId="54F86BC6" w14:textId="77777777" w:rsidR="00DC04B7" w:rsidRDefault="00DC04B7" w:rsidP="00DC04B7">
      <w:pPr>
        <w:ind w:left="360"/>
      </w:pPr>
      <w:r w:rsidRPr="00DC04B7">
        <w:rPr>
          <w:rFonts w:cs="Calibri"/>
          <w:shd w:val="clear" w:color="auto" w:fill="00FF00"/>
        </w:rPr>
        <w:t>Revenue per transaction * transaction volume.</w:t>
      </w:r>
      <w:r w:rsidRPr="00DC04B7">
        <w:rPr>
          <w:rFonts w:cs="Calibri"/>
        </w:rPr>
        <w:t xml:space="preserve"> </w:t>
      </w:r>
    </w:p>
    <w:p w14:paraId="594B7327" w14:textId="77777777" w:rsidR="00DC04B7" w:rsidRPr="00DC04B7" w:rsidRDefault="00DC04B7" w:rsidP="00DC04B7">
      <w:pPr>
        <w:ind w:left="360"/>
        <w:rPr>
          <w:rFonts w:cs="Calibri"/>
          <w:shd w:val="clear" w:color="auto" w:fill="00FF00"/>
        </w:rPr>
      </w:pPr>
      <w:r w:rsidRPr="00DC04B7">
        <w:rPr>
          <w:rFonts w:cs="Calibri"/>
          <w:shd w:val="clear" w:color="auto" w:fill="00FF00"/>
        </w:rPr>
        <w:t>Based on payments volume and number of transactions, Visa is one of the world’s largest electronic payments system.</w:t>
      </w:r>
    </w:p>
    <w:p w14:paraId="579C52E4" w14:textId="4CAC707C" w:rsidR="009F5C69" w:rsidRPr="009F5C69" w:rsidRDefault="009F5C69" w:rsidP="009F5C69">
      <w:pPr>
        <w:ind w:firstLine="45"/>
      </w:pPr>
    </w:p>
    <w:p w14:paraId="2324D1F7" w14:textId="77777777" w:rsidR="009F5C69" w:rsidRPr="009F5C69" w:rsidRDefault="009F5C69" w:rsidP="009F5C69">
      <w:pPr>
        <w:numPr>
          <w:ilvl w:val="0"/>
          <w:numId w:val="17"/>
        </w:numPr>
      </w:pPr>
      <w:r w:rsidRPr="009F5C69">
        <w:rPr>
          <w:b/>
          <w:bCs/>
        </w:rPr>
        <w:t>Current Industry Trends:</w:t>
      </w:r>
    </w:p>
    <w:p w14:paraId="5697C21A" w14:textId="77777777" w:rsidR="009F5C69" w:rsidRPr="00FE7552" w:rsidRDefault="009F5C69" w:rsidP="009F5C69">
      <w:pPr>
        <w:numPr>
          <w:ilvl w:val="1"/>
          <w:numId w:val="17"/>
        </w:numPr>
      </w:pPr>
      <w:r w:rsidRPr="009F5C69">
        <w:rPr>
          <w:b/>
          <w:bCs/>
        </w:rPr>
        <w:t>Current Revenue Trends:</w:t>
      </w:r>
    </w:p>
    <w:p w14:paraId="74216DF2" w14:textId="0146C36B" w:rsidR="00FE7552" w:rsidRPr="009F5C69" w:rsidRDefault="00FE7552" w:rsidP="00FE7552">
      <w:pPr>
        <w:pStyle w:val="ListParagraph"/>
        <w:numPr>
          <w:ilvl w:val="0"/>
          <w:numId w:val="20"/>
        </w:numPr>
      </w:pPr>
      <w:r>
        <w:t xml:space="preserve">There is a noticeable shift towards the preference of digital payments, especially post COVID. As this trend continues Visa’s revenue growth also increases as more customers embrace online and mobile payment methods. </w:t>
      </w:r>
    </w:p>
    <w:p w14:paraId="16FE4354" w14:textId="77777777" w:rsidR="009F5C69" w:rsidRPr="00FE7552" w:rsidRDefault="009F5C69" w:rsidP="009F5C69">
      <w:pPr>
        <w:numPr>
          <w:ilvl w:val="1"/>
          <w:numId w:val="17"/>
        </w:numPr>
      </w:pPr>
      <w:r w:rsidRPr="009F5C69">
        <w:rPr>
          <w:b/>
          <w:bCs/>
        </w:rPr>
        <w:t>Current Cost Trends</w:t>
      </w:r>
    </w:p>
    <w:p w14:paraId="7215A4BB" w14:textId="44A967FD" w:rsidR="00FE7552" w:rsidRDefault="00FE7552" w:rsidP="00FE7552">
      <w:pPr>
        <w:pStyle w:val="ListParagraph"/>
        <w:numPr>
          <w:ilvl w:val="0"/>
          <w:numId w:val="20"/>
        </w:numPr>
      </w:pPr>
      <w:r>
        <w:t xml:space="preserve">Over the years, the threats to cyber and data security have increased, making it necessary for </w:t>
      </w:r>
      <w:r w:rsidR="00EC0272">
        <w:t>companies</w:t>
      </w:r>
      <w:r>
        <w:t xml:space="preserve"> like Visa to make significant investments in user data protection methods. </w:t>
      </w:r>
    </w:p>
    <w:p w14:paraId="222EBCE3" w14:textId="461E2D7C" w:rsidR="00AB76D6" w:rsidRDefault="00FE7552" w:rsidP="00837E50">
      <w:pPr>
        <w:pStyle w:val="ListParagraph"/>
        <w:numPr>
          <w:ilvl w:val="0"/>
          <w:numId w:val="20"/>
        </w:numPr>
      </w:pPr>
      <w:r>
        <w:t>In addition to this, it is important for Visa to invest</w:t>
      </w:r>
      <w:r w:rsidR="00EC0272">
        <w:t xml:space="preserve"> money into research and innovation strategies to ensure that its technology remains competitive and up to date with customer demands. </w:t>
      </w:r>
    </w:p>
    <w:p w14:paraId="0EC3C99D" w14:textId="77777777" w:rsidR="00837E50" w:rsidRPr="009F5C69" w:rsidRDefault="00837E50" w:rsidP="00837E50">
      <w:pPr>
        <w:ind w:left="1800"/>
      </w:pPr>
    </w:p>
    <w:p w14:paraId="4D4B1892" w14:textId="2ABF7E0E" w:rsidR="00EC0272" w:rsidRPr="009F5C69" w:rsidRDefault="009F5C69" w:rsidP="009F5C69">
      <w:pPr>
        <w:numPr>
          <w:ilvl w:val="0"/>
          <w:numId w:val="17"/>
        </w:numPr>
      </w:pPr>
      <w:r w:rsidRPr="009F5C69">
        <w:rPr>
          <w:b/>
          <w:bCs/>
        </w:rPr>
        <w:t>SWOT Analysis for Visa Inc.:</w:t>
      </w:r>
    </w:p>
    <w:tbl>
      <w:tblPr>
        <w:tblStyle w:val="TableGrid"/>
        <w:tblW w:w="0" w:type="auto"/>
        <w:tblLook w:val="04A0" w:firstRow="1" w:lastRow="0" w:firstColumn="1" w:lastColumn="0" w:noHBand="0" w:noVBand="1"/>
      </w:tblPr>
      <w:tblGrid>
        <w:gridCol w:w="9001"/>
      </w:tblGrid>
      <w:tr w:rsidR="00EC0272" w14:paraId="5933533F" w14:textId="77777777" w:rsidTr="00D210AF">
        <w:trPr>
          <w:trHeight w:val="313"/>
        </w:trPr>
        <w:tc>
          <w:tcPr>
            <w:tcW w:w="9001" w:type="dxa"/>
            <w:vAlign w:val="center"/>
          </w:tcPr>
          <w:p w14:paraId="25FC4016" w14:textId="4D190728" w:rsidR="00EC0272" w:rsidRDefault="00EC0272" w:rsidP="00D210AF">
            <w:pPr>
              <w:spacing w:line="360" w:lineRule="auto"/>
            </w:pPr>
            <w:r w:rsidRPr="009F5C69">
              <w:rPr>
                <w:b/>
                <w:bCs/>
              </w:rPr>
              <w:t>Strengths</w:t>
            </w:r>
          </w:p>
        </w:tc>
      </w:tr>
      <w:tr w:rsidR="00EC0272" w14:paraId="20122D3B" w14:textId="77777777" w:rsidTr="00D210AF">
        <w:trPr>
          <w:trHeight w:val="295"/>
        </w:trPr>
        <w:tc>
          <w:tcPr>
            <w:tcW w:w="9001" w:type="dxa"/>
          </w:tcPr>
          <w:p w14:paraId="210D8E20" w14:textId="181F3142" w:rsidR="00EC0272" w:rsidRDefault="00EC0272" w:rsidP="00D210AF">
            <w:pPr>
              <w:spacing w:line="360" w:lineRule="auto"/>
            </w:pPr>
            <w:r>
              <w:t xml:space="preserve"> </w:t>
            </w:r>
            <w:r w:rsidRPr="009F5C69">
              <w:t>Global presence</w:t>
            </w:r>
          </w:p>
        </w:tc>
      </w:tr>
      <w:tr w:rsidR="00EC0272" w14:paraId="52928115" w14:textId="77777777" w:rsidTr="00D210AF">
        <w:trPr>
          <w:trHeight w:val="313"/>
        </w:trPr>
        <w:tc>
          <w:tcPr>
            <w:tcW w:w="9001" w:type="dxa"/>
          </w:tcPr>
          <w:p w14:paraId="745DEE79" w14:textId="582360A2" w:rsidR="00EC0272" w:rsidRDefault="00EC0272" w:rsidP="00D210AF">
            <w:pPr>
              <w:spacing w:line="360" w:lineRule="auto"/>
            </w:pPr>
            <w:r w:rsidRPr="009F5C69">
              <w:t>Strong brand</w:t>
            </w:r>
          </w:p>
        </w:tc>
      </w:tr>
      <w:tr w:rsidR="00EC0272" w14:paraId="0C26C39D" w14:textId="77777777" w:rsidTr="00D210AF">
        <w:trPr>
          <w:trHeight w:val="295"/>
        </w:trPr>
        <w:tc>
          <w:tcPr>
            <w:tcW w:w="9001" w:type="dxa"/>
          </w:tcPr>
          <w:p w14:paraId="596ED679" w14:textId="6560B7CB" w:rsidR="00EC0272" w:rsidRDefault="00EC0272" w:rsidP="00D210AF">
            <w:pPr>
              <w:spacing w:line="360" w:lineRule="auto"/>
            </w:pPr>
            <w:r w:rsidRPr="009F5C69">
              <w:t>Extensive network</w:t>
            </w:r>
          </w:p>
        </w:tc>
      </w:tr>
      <w:tr w:rsidR="00EC0272" w14:paraId="00A439BA" w14:textId="77777777" w:rsidTr="00D210AF">
        <w:trPr>
          <w:trHeight w:val="313"/>
        </w:trPr>
        <w:tc>
          <w:tcPr>
            <w:tcW w:w="9001" w:type="dxa"/>
          </w:tcPr>
          <w:p w14:paraId="462B27D7" w14:textId="4724CFFD" w:rsidR="00EC0272" w:rsidRDefault="00EC0272" w:rsidP="00D210AF">
            <w:pPr>
              <w:spacing w:line="360" w:lineRule="auto"/>
            </w:pPr>
            <w:r w:rsidRPr="009F5C69">
              <w:t>Innovation</w:t>
            </w:r>
          </w:p>
        </w:tc>
      </w:tr>
      <w:tr w:rsidR="00EC0272" w14:paraId="44814796" w14:textId="77777777" w:rsidTr="00D210AF">
        <w:trPr>
          <w:trHeight w:val="295"/>
        </w:trPr>
        <w:tc>
          <w:tcPr>
            <w:tcW w:w="9001" w:type="dxa"/>
          </w:tcPr>
          <w:p w14:paraId="37474726" w14:textId="411BFD25" w:rsidR="00EC0272" w:rsidRDefault="00EC0272" w:rsidP="00D210AF">
            <w:pPr>
              <w:spacing w:line="360" w:lineRule="auto"/>
            </w:pPr>
            <w:r w:rsidRPr="00EC0272">
              <w:t>Strong financial performance</w:t>
            </w:r>
          </w:p>
        </w:tc>
      </w:tr>
    </w:tbl>
    <w:p w14:paraId="74CB6222" w14:textId="77777777" w:rsidR="009F5C69" w:rsidRDefault="009F5C69" w:rsidP="009F5C69">
      <w:r w:rsidRPr="009F5C69">
        <w:t> </w:t>
      </w:r>
    </w:p>
    <w:tbl>
      <w:tblPr>
        <w:tblStyle w:val="TableGrid"/>
        <w:tblpPr w:leftFromText="180" w:rightFromText="180" w:vertAnchor="text" w:horzAnchor="margin" w:tblpY="1"/>
        <w:tblW w:w="0" w:type="auto"/>
        <w:tblLook w:val="04A0" w:firstRow="1" w:lastRow="0" w:firstColumn="1" w:lastColumn="0" w:noHBand="0" w:noVBand="1"/>
      </w:tblPr>
      <w:tblGrid>
        <w:gridCol w:w="9016"/>
      </w:tblGrid>
      <w:tr w:rsidR="00AB76D6" w14:paraId="3D38D023" w14:textId="77777777" w:rsidTr="00AB76D6">
        <w:trPr>
          <w:trHeight w:val="278"/>
        </w:trPr>
        <w:tc>
          <w:tcPr>
            <w:tcW w:w="9016" w:type="dxa"/>
          </w:tcPr>
          <w:p w14:paraId="119932A6" w14:textId="77777777" w:rsidR="00AB76D6" w:rsidRDefault="00AB76D6" w:rsidP="00D210AF">
            <w:pPr>
              <w:spacing w:line="360" w:lineRule="auto"/>
            </w:pPr>
            <w:r w:rsidRPr="009F5C69">
              <w:rPr>
                <w:b/>
                <w:bCs/>
              </w:rPr>
              <w:lastRenderedPageBreak/>
              <w:t>Weaknesses</w:t>
            </w:r>
          </w:p>
        </w:tc>
      </w:tr>
      <w:tr w:rsidR="00AB76D6" w14:paraId="55198E1E" w14:textId="77777777" w:rsidTr="00AB76D6">
        <w:trPr>
          <w:trHeight w:val="263"/>
        </w:trPr>
        <w:tc>
          <w:tcPr>
            <w:tcW w:w="9016" w:type="dxa"/>
          </w:tcPr>
          <w:p w14:paraId="4795B3A5" w14:textId="77777777" w:rsidR="00AB76D6" w:rsidRDefault="00AB76D6" w:rsidP="00D210AF">
            <w:pPr>
              <w:spacing w:line="360" w:lineRule="auto"/>
            </w:pPr>
            <w:r w:rsidRPr="009F5C69">
              <w:t>Dependence on partners for distribution</w:t>
            </w:r>
          </w:p>
        </w:tc>
      </w:tr>
      <w:tr w:rsidR="00AB76D6" w14:paraId="24F0D463" w14:textId="77777777" w:rsidTr="00AB76D6">
        <w:trPr>
          <w:trHeight w:val="278"/>
        </w:trPr>
        <w:tc>
          <w:tcPr>
            <w:tcW w:w="9016" w:type="dxa"/>
          </w:tcPr>
          <w:p w14:paraId="506DF22F" w14:textId="77777777" w:rsidR="00AB76D6" w:rsidRDefault="00AB76D6" w:rsidP="00D210AF">
            <w:pPr>
              <w:spacing w:line="360" w:lineRule="auto"/>
            </w:pPr>
            <w:r w:rsidRPr="009F5C69">
              <w:t>Vulnerability to cybersecurity threats</w:t>
            </w:r>
          </w:p>
        </w:tc>
      </w:tr>
      <w:tr w:rsidR="00AB76D6" w14:paraId="0453F69F" w14:textId="77777777" w:rsidTr="00AB76D6">
        <w:trPr>
          <w:trHeight w:val="263"/>
        </w:trPr>
        <w:tc>
          <w:tcPr>
            <w:tcW w:w="9016" w:type="dxa"/>
          </w:tcPr>
          <w:p w14:paraId="46108F3D" w14:textId="77777777" w:rsidR="00AB76D6" w:rsidRDefault="00AB76D6" w:rsidP="00D210AF">
            <w:pPr>
              <w:spacing w:line="360" w:lineRule="auto"/>
            </w:pPr>
            <w:r w:rsidRPr="009F5C69">
              <w:t>Potential regulatory challenges</w:t>
            </w:r>
          </w:p>
        </w:tc>
      </w:tr>
      <w:tr w:rsidR="00AB76D6" w14:paraId="524ACBAC" w14:textId="77777777" w:rsidTr="00AB76D6">
        <w:trPr>
          <w:trHeight w:val="278"/>
        </w:trPr>
        <w:tc>
          <w:tcPr>
            <w:tcW w:w="9016" w:type="dxa"/>
            <w:vAlign w:val="center"/>
          </w:tcPr>
          <w:p w14:paraId="2428F4F9" w14:textId="77777777" w:rsidR="00AB76D6" w:rsidRDefault="00AB76D6" w:rsidP="00D210AF">
            <w:pPr>
              <w:spacing w:line="360" w:lineRule="auto"/>
            </w:pPr>
            <w:r w:rsidRPr="009F5C69">
              <w:t>Reliance on traditional payment infrastructure</w:t>
            </w:r>
          </w:p>
        </w:tc>
      </w:tr>
      <w:tr w:rsidR="00AB76D6" w14:paraId="7FF2285E" w14:textId="77777777" w:rsidTr="00AB76D6">
        <w:trPr>
          <w:trHeight w:val="263"/>
        </w:trPr>
        <w:tc>
          <w:tcPr>
            <w:tcW w:w="9016" w:type="dxa"/>
          </w:tcPr>
          <w:p w14:paraId="1A746FCF" w14:textId="77777777" w:rsidR="00AB76D6" w:rsidRDefault="00AB76D6" w:rsidP="00D210AF">
            <w:pPr>
              <w:spacing w:line="360" w:lineRule="auto"/>
            </w:pPr>
            <w:r w:rsidRPr="009F5C69">
              <w:t>Limited control over external factors</w:t>
            </w:r>
          </w:p>
        </w:tc>
      </w:tr>
    </w:tbl>
    <w:p w14:paraId="29F859EC" w14:textId="77777777" w:rsidR="00AB76D6" w:rsidRDefault="00AB76D6" w:rsidP="009F5C69"/>
    <w:tbl>
      <w:tblPr>
        <w:tblStyle w:val="TableGrid"/>
        <w:tblW w:w="0" w:type="auto"/>
        <w:tblLook w:val="04A0" w:firstRow="1" w:lastRow="0" w:firstColumn="1" w:lastColumn="0" w:noHBand="0" w:noVBand="1"/>
      </w:tblPr>
      <w:tblGrid>
        <w:gridCol w:w="9016"/>
      </w:tblGrid>
      <w:tr w:rsidR="00EC0272" w14:paraId="2D63F854" w14:textId="77777777" w:rsidTr="00EC0272">
        <w:tc>
          <w:tcPr>
            <w:tcW w:w="9016" w:type="dxa"/>
          </w:tcPr>
          <w:p w14:paraId="265F343E" w14:textId="24B4FBF9" w:rsidR="00EC0272" w:rsidRDefault="00EC0272" w:rsidP="00D210AF">
            <w:pPr>
              <w:spacing w:line="360" w:lineRule="auto"/>
            </w:pPr>
            <w:r w:rsidRPr="009F5C69">
              <w:rPr>
                <w:b/>
                <w:bCs/>
              </w:rPr>
              <w:t>Opportunities</w:t>
            </w:r>
          </w:p>
        </w:tc>
      </w:tr>
      <w:tr w:rsidR="00EC0272" w14:paraId="3312424B" w14:textId="77777777" w:rsidTr="00EC0272">
        <w:tc>
          <w:tcPr>
            <w:tcW w:w="9016" w:type="dxa"/>
          </w:tcPr>
          <w:p w14:paraId="6F3A8521" w14:textId="7026C82A" w:rsidR="00EC0272" w:rsidRDefault="00EC0272" w:rsidP="00D210AF">
            <w:pPr>
              <w:spacing w:line="360" w:lineRule="auto"/>
            </w:pPr>
            <w:r w:rsidRPr="009F5C69">
              <w:t>Emerging markets</w:t>
            </w:r>
          </w:p>
        </w:tc>
      </w:tr>
      <w:tr w:rsidR="00EC0272" w14:paraId="560B6487" w14:textId="77777777" w:rsidTr="00EC0272">
        <w:tc>
          <w:tcPr>
            <w:tcW w:w="9016" w:type="dxa"/>
          </w:tcPr>
          <w:p w14:paraId="5E860219" w14:textId="683E7998" w:rsidR="00EC0272" w:rsidRDefault="00EC0272" w:rsidP="00D210AF">
            <w:pPr>
              <w:spacing w:line="360" w:lineRule="auto"/>
            </w:pPr>
            <w:r w:rsidRPr="009F5C69">
              <w:t>Fintech collaborations</w:t>
            </w:r>
          </w:p>
        </w:tc>
      </w:tr>
      <w:tr w:rsidR="00EC0272" w14:paraId="75A81879" w14:textId="77777777" w:rsidTr="00EC0272">
        <w:tc>
          <w:tcPr>
            <w:tcW w:w="9016" w:type="dxa"/>
          </w:tcPr>
          <w:p w14:paraId="0E1C7B05" w14:textId="27BF6FEA" w:rsidR="00EC0272" w:rsidRDefault="00EC0272" w:rsidP="00D210AF">
            <w:pPr>
              <w:spacing w:line="360" w:lineRule="auto"/>
            </w:pPr>
            <w:r w:rsidRPr="00EC0272">
              <w:t>Contactless payments growth</w:t>
            </w:r>
          </w:p>
        </w:tc>
      </w:tr>
      <w:tr w:rsidR="00EC0272" w14:paraId="7715A928" w14:textId="77777777" w:rsidTr="00EC0272">
        <w:tc>
          <w:tcPr>
            <w:tcW w:w="9016" w:type="dxa"/>
          </w:tcPr>
          <w:p w14:paraId="4CBFD9DC" w14:textId="0607BEB7" w:rsidR="00EC0272" w:rsidRDefault="00EC0272" w:rsidP="00D210AF">
            <w:pPr>
              <w:spacing w:line="360" w:lineRule="auto"/>
            </w:pPr>
            <w:r w:rsidRPr="009F5C69">
              <w:t>E-commerce expansion</w:t>
            </w:r>
          </w:p>
        </w:tc>
      </w:tr>
      <w:tr w:rsidR="00EC0272" w14:paraId="553CAFA1" w14:textId="77777777" w:rsidTr="00EC0272">
        <w:tc>
          <w:tcPr>
            <w:tcW w:w="9016" w:type="dxa"/>
          </w:tcPr>
          <w:p w14:paraId="15075460" w14:textId="2F7BDEC2" w:rsidR="00EC0272" w:rsidRDefault="00EC0272" w:rsidP="00D210AF">
            <w:pPr>
              <w:spacing w:line="360" w:lineRule="auto"/>
            </w:pPr>
            <w:r w:rsidRPr="009F5C69">
              <w:t>Increasing digital adoption</w:t>
            </w:r>
          </w:p>
        </w:tc>
      </w:tr>
    </w:tbl>
    <w:p w14:paraId="3F2387B8" w14:textId="77777777" w:rsidR="009F5C69" w:rsidRDefault="009F5C69" w:rsidP="009F5C69">
      <w:r w:rsidRPr="009F5C69">
        <w:t> </w:t>
      </w:r>
    </w:p>
    <w:tbl>
      <w:tblPr>
        <w:tblStyle w:val="TableGrid"/>
        <w:tblW w:w="0" w:type="auto"/>
        <w:tblLook w:val="04A0" w:firstRow="1" w:lastRow="0" w:firstColumn="1" w:lastColumn="0" w:noHBand="0" w:noVBand="1"/>
      </w:tblPr>
      <w:tblGrid>
        <w:gridCol w:w="9016"/>
      </w:tblGrid>
      <w:tr w:rsidR="00EC0272" w14:paraId="143400EA" w14:textId="77777777" w:rsidTr="00EC0272">
        <w:tc>
          <w:tcPr>
            <w:tcW w:w="9016" w:type="dxa"/>
          </w:tcPr>
          <w:p w14:paraId="7E18B065" w14:textId="6C64C9EA" w:rsidR="00EC0272" w:rsidRDefault="00EC0272" w:rsidP="00D210AF">
            <w:pPr>
              <w:spacing w:line="360" w:lineRule="auto"/>
            </w:pPr>
            <w:r w:rsidRPr="009F5C69">
              <w:rPr>
                <w:b/>
                <w:bCs/>
              </w:rPr>
              <w:t>Threa</w:t>
            </w:r>
            <w:r>
              <w:rPr>
                <w:b/>
                <w:bCs/>
              </w:rPr>
              <w:t>t</w:t>
            </w:r>
            <w:r w:rsidRPr="009F5C69">
              <w:rPr>
                <w:b/>
                <w:bCs/>
              </w:rPr>
              <w:t>s</w:t>
            </w:r>
          </w:p>
        </w:tc>
      </w:tr>
      <w:tr w:rsidR="00EC0272" w14:paraId="54850DC9" w14:textId="77777777" w:rsidTr="00EC0272">
        <w:tc>
          <w:tcPr>
            <w:tcW w:w="9016" w:type="dxa"/>
          </w:tcPr>
          <w:p w14:paraId="2A13CBFA" w14:textId="4736F051" w:rsidR="00EC0272" w:rsidRDefault="00EC0272" w:rsidP="00D210AF">
            <w:pPr>
              <w:spacing w:line="360" w:lineRule="auto"/>
            </w:pPr>
            <w:r w:rsidRPr="009F5C69">
              <w:t>Intense competition</w:t>
            </w:r>
          </w:p>
        </w:tc>
      </w:tr>
      <w:tr w:rsidR="00EC0272" w14:paraId="2614464D" w14:textId="77777777" w:rsidTr="00EC0272">
        <w:tc>
          <w:tcPr>
            <w:tcW w:w="9016" w:type="dxa"/>
          </w:tcPr>
          <w:p w14:paraId="0F6EBB4E" w14:textId="4481D15B" w:rsidR="00EC0272" w:rsidRDefault="00EC0272" w:rsidP="00D210AF">
            <w:pPr>
              <w:spacing w:line="360" w:lineRule="auto"/>
            </w:pPr>
            <w:r w:rsidRPr="009F5C69">
              <w:t>Regulatory changes</w:t>
            </w:r>
          </w:p>
        </w:tc>
      </w:tr>
      <w:tr w:rsidR="00EC0272" w14:paraId="262E0E73" w14:textId="77777777" w:rsidTr="00EC0272">
        <w:tc>
          <w:tcPr>
            <w:tcW w:w="9016" w:type="dxa"/>
          </w:tcPr>
          <w:p w14:paraId="72D9BCD4" w14:textId="3565FED4" w:rsidR="00EC0272" w:rsidRDefault="00EC0272" w:rsidP="00D210AF">
            <w:pPr>
              <w:spacing w:line="360" w:lineRule="auto"/>
            </w:pPr>
            <w:r w:rsidRPr="009F5C69">
              <w:t>Technology disruption</w:t>
            </w:r>
          </w:p>
        </w:tc>
      </w:tr>
      <w:tr w:rsidR="00EC0272" w14:paraId="5356DBA1" w14:textId="77777777" w:rsidTr="00EC0272">
        <w:tc>
          <w:tcPr>
            <w:tcW w:w="9016" w:type="dxa"/>
          </w:tcPr>
          <w:p w14:paraId="4FED07F3" w14:textId="026ECFE2" w:rsidR="00EC0272" w:rsidRDefault="00EC0272" w:rsidP="00D210AF">
            <w:pPr>
              <w:spacing w:line="360" w:lineRule="auto"/>
            </w:pPr>
            <w:r w:rsidRPr="009F5C69">
              <w:t>Economic downturns</w:t>
            </w:r>
          </w:p>
        </w:tc>
      </w:tr>
      <w:tr w:rsidR="00EC0272" w14:paraId="6937652B" w14:textId="77777777" w:rsidTr="00EC0272">
        <w:tc>
          <w:tcPr>
            <w:tcW w:w="9016" w:type="dxa"/>
          </w:tcPr>
          <w:p w14:paraId="46348DF9" w14:textId="62DBBFA3" w:rsidR="00EC0272" w:rsidRDefault="00EC0272" w:rsidP="00D210AF">
            <w:pPr>
              <w:spacing w:line="360" w:lineRule="auto"/>
            </w:pPr>
            <w:r w:rsidRPr="009F5C69">
              <w:t>Shift towards alternative payment methods</w:t>
            </w:r>
          </w:p>
        </w:tc>
      </w:tr>
    </w:tbl>
    <w:p w14:paraId="43DEB2C9" w14:textId="77777777" w:rsidR="00AB76D6" w:rsidRDefault="00AB76D6" w:rsidP="00D210AF"/>
    <w:p w14:paraId="3853628B" w14:textId="77777777" w:rsidR="00DC04B7" w:rsidRPr="00DC04B7" w:rsidRDefault="00DC04B7" w:rsidP="00DC04B7">
      <w:pPr>
        <w:pStyle w:val="CommentText"/>
        <w:rPr>
          <w:b/>
          <w:bCs/>
          <w:highlight w:val="green"/>
          <w:u w:val="single"/>
        </w:rPr>
      </w:pPr>
      <w:r w:rsidRPr="00DC04B7">
        <w:rPr>
          <w:b/>
          <w:bCs/>
          <w:highlight w:val="green"/>
          <w:u w:val="single"/>
        </w:rPr>
        <w:t>Strengths</w:t>
      </w:r>
    </w:p>
    <w:p w14:paraId="71F835C0" w14:textId="77777777" w:rsidR="00DC04B7" w:rsidRPr="00DC04B7" w:rsidRDefault="00DC04B7" w:rsidP="00DC04B7">
      <w:pPr>
        <w:pStyle w:val="CommentText"/>
        <w:numPr>
          <w:ilvl w:val="0"/>
          <w:numId w:val="24"/>
        </w:numPr>
        <w:rPr>
          <w:highlight w:val="green"/>
        </w:rPr>
      </w:pPr>
      <w:r w:rsidRPr="00DC04B7">
        <w:rPr>
          <w:highlight w:val="green"/>
        </w:rPr>
        <w:t>Strong and secure payment infrastructure</w:t>
      </w:r>
    </w:p>
    <w:p w14:paraId="5A32FCFC" w14:textId="77777777" w:rsidR="00DC04B7" w:rsidRPr="00DC04B7" w:rsidRDefault="00DC04B7" w:rsidP="00DC04B7">
      <w:pPr>
        <w:pStyle w:val="TableStyle2"/>
        <w:numPr>
          <w:ilvl w:val="0"/>
          <w:numId w:val="24"/>
        </w:numPr>
        <w:rPr>
          <w:rFonts w:ascii="Times New Roman" w:hAnsi="Times New Roman"/>
          <w:highlight w:val="green"/>
          <w:lang w:val="en-US"/>
        </w:rPr>
      </w:pPr>
      <w:r w:rsidRPr="00DC04B7">
        <w:rPr>
          <w:rFonts w:ascii="Times New Roman" w:hAnsi="Times New Roman"/>
          <w:highlight w:val="green"/>
          <w:lang w:val="en-US"/>
        </w:rPr>
        <w:t>Strong distribution network</w:t>
      </w:r>
    </w:p>
    <w:p w14:paraId="712041A9" w14:textId="77777777" w:rsidR="00DC04B7" w:rsidRPr="00DC04B7" w:rsidRDefault="00DC04B7" w:rsidP="00DC04B7">
      <w:pPr>
        <w:pStyle w:val="CommentText"/>
        <w:numPr>
          <w:ilvl w:val="0"/>
          <w:numId w:val="24"/>
        </w:numPr>
        <w:rPr>
          <w:highlight w:val="green"/>
        </w:rPr>
      </w:pPr>
      <w:r w:rsidRPr="00DC04B7">
        <w:rPr>
          <w:highlight w:val="green"/>
        </w:rPr>
        <w:t>Market leadership and strong brand value</w:t>
      </w:r>
    </w:p>
    <w:p w14:paraId="7D83E2BB" w14:textId="77777777" w:rsidR="00DC04B7" w:rsidRPr="00DC04B7" w:rsidRDefault="00DC04B7" w:rsidP="00DC04B7">
      <w:pPr>
        <w:pStyle w:val="CommentText"/>
        <w:numPr>
          <w:ilvl w:val="0"/>
          <w:numId w:val="24"/>
        </w:numPr>
        <w:rPr>
          <w:highlight w:val="green"/>
        </w:rPr>
      </w:pPr>
      <w:r w:rsidRPr="00DC04B7">
        <w:rPr>
          <w:highlight w:val="green"/>
        </w:rPr>
        <w:t>Strong strategic partnerships with card issuers and merchants</w:t>
      </w:r>
    </w:p>
    <w:p w14:paraId="479E2754" w14:textId="77777777" w:rsidR="00DC04B7" w:rsidRPr="00DC04B7" w:rsidRDefault="00DC04B7" w:rsidP="00DC04B7">
      <w:pPr>
        <w:pStyle w:val="CommentText"/>
        <w:numPr>
          <w:ilvl w:val="0"/>
          <w:numId w:val="24"/>
        </w:numPr>
        <w:rPr>
          <w:highlight w:val="green"/>
        </w:rPr>
      </w:pPr>
      <w:r w:rsidRPr="00DC04B7">
        <w:rPr>
          <w:highlight w:val="green"/>
        </w:rPr>
        <w:t>Resilient business model that protects against inflation</w:t>
      </w:r>
    </w:p>
    <w:p w14:paraId="1957A40D" w14:textId="77777777" w:rsidR="00DC04B7" w:rsidRPr="00DC04B7" w:rsidRDefault="00DC04B7" w:rsidP="00DC04B7">
      <w:pPr>
        <w:pStyle w:val="CommentText"/>
        <w:rPr>
          <w:b/>
          <w:bCs/>
          <w:highlight w:val="green"/>
          <w:u w:val="single"/>
        </w:rPr>
      </w:pPr>
      <w:r w:rsidRPr="00DC04B7">
        <w:rPr>
          <w:b/>
          <w:bCs/>
          <w:highlight w:val="green"/>
          <w:u w:val="single"/>
        </w:rPr>
        <w:t>Weakness</w:t>
      </w:r>
    </w:p>
    <w:p w14:paraId="523D34BA" w14:textId="77777777" w:rsidR="00DC04B7" w:rsidRPr="00DC04B7" w:rsidRDefault="00DC04B7" w:rsidP="00DC04B7">
      <w:pPr>
        <w:pStyle w:val="CommentText"/>
        <w:numPr>
          <w:ilvl w:val="0"/>
          <w:numId w:val="25"/>
        </w:numPr>
        <w:rPr>
          <w:highlight w:val="green"/>
        </w:rPr>
      </w:pPr>
      <w:r w:rsidRPr="00DC04B7">
        <w:rPr>
          <w:highlight w:val="green"/>
        </w:rPr>
        <w:t>Lack diversification in business model</w:t>
      </w:r>
    </w:p>
    <w:p w14:paraId="111CB1A5" w14:textId="77777777" w:rsidR="00DC04B7" w:rsidRPr="00DC04B7" w:rsidRDefault="00DC04B7" w:rsidP="00DC04B7">
      <w:pPr>
        <w:pStyle w:val="CommentText"/>
        <w:numPr>
          <w:ilvl w:val="0"/>
          <w:numId w:val="25"/>
        </w:numPr>
        <w:rPr>
          <w:highlight w:val="green"/>
        </w:rPr>
      </w:pPr>
      <w:r w:rsidRPr="00DC04B7">
        <w:rPr>
          <w:highlight w:val="green"/>
        </w:rPr>
        <w:t>Lack of product development to combat new and emerging payment methods</w:t>
      </w:r>
    </w:p>
    <w:p w14:paraId="14D7B3E7" w14:textId="77777777" w:rsidR="00DC04B7" w:rsidRPr="00DC04B7" w:rsidRDefault="00DC04B7" w:rsidP="00DC04B7">
      <w:pPr>
        <w:pStyle w:val="CommentText"/>
        <w:numPr>
          <w:ilvl w:val="0"/>
          <w:numId w:val="25"/>
        </w:numPr>
        <w:rPr>
          <w:highlight w:val="green"/>
        </w:rPr>
      </w:pPr>
      <w:r w:rsidRPr="00DC04B7">
        <w:rPr>
          <w:highlight w:val="green"/>
        </w:rPr>
        <w:t>Lack of innovation</w:t>
      </w:r>
    </w:p>
    <w:p w14:paraId="321D57CC" w14:textId="77777777" w:rsidR="00DC04B7" w:rsidRPr="00DC04B7" w:rsidRDefault="00DC04B7" w:rsidP="00DC04B7">
      <w:pPr>
        <w:pStyle w:val="CommentText"/>
        <w:rPr>
          <w:b/>
          <w:bCs/>
          <w:highlight w:val="green"/>
          <w:u w:val="single"/>
        </w:rPr>
      </w:pPr>
      <w:r w:rsidRPr="00DC04B7">
        <w:rPr>
          <w:b/>
          <w:bCs/>
          <w:highlight w:val="green"/>
          <w:u w:val="single"/>
        </w:rPr>
        <w:t>Opportunities</w:t>
      </w:r>
    </w:p>
    <w:p w14:paraId="2ABDED66" w14:textId="77777777" w:rsidR="00DC04B7" w:rsidRPr="00DC04B7" w:rsidRDefault="00DC04B7" w:rsidP="00DC04B7">
      <w:pPr>
        <w:pStyle w:val="CommentText"/>
        <w:numPr>
          <w:ilvl w:val="0"/>
          <w:numId w:val="26"/>
        </w:numPr>
        <w:rPr>
          <w:highlight w:val="green"/>
        </w:rPr>
      </w:pPr>
      <w:r w:rsidRPr="00DC04B7">
        <w:rPr>
          <w:highlight w:val="green"/>
        </w:rPr>
        <w:t>Increasing preference for online shopping and cash-less transactions due to the pandemic</w:t>
      </w:r>
    </w:p>
    <w:p w14:paraId="5349360C" w14:textId="77777777" w:rsidR="00DC04B7" w:rsidRPr="00DC04B7" w:rsidRDefault="00DC04B7" w:rsidP="00DC04B7">
      <w:pPr>
        <w:pStyle w:val="CommentText"/>
        <w:numPr>
          <w:ilvl w:val="0"/>
          <w:numId w:val="26"/>
        </w:numPr>
        <w:rPr>
          <w:highlight w:val="green"/>
        </w:rPr>
      </w:pPr>
      <w:r w:rsidRPr="00DC04B7">
        <w:rPr>
          <w:highlight w:val="green"/>
        </w:rPr>
        <w:t>Opportunities to collaborate with emerging competitors like PayPal and mobile wallets</w:t>
      </w:r>
    </w:p>
    <w:p w14:paraId="3AAB5BF4" w14:textId="77777777" w:rsidR="00DC04B7" w:rsidRPr="00DC04B7" w:rsidRDefault="00DC04B7" w:rsidP="00DC04B7">
      <w:pPr>
        <w:pStyle w:val="CommentText"/>
        <w:numPr>
          <w:ilvl w:val="0"/>
          <w:numId w:val="26"/>
        </w:numPr>
        <w:rPr>
          <w:highlight w:val="green"/>
        </w:rPr>
      </w:pPr>
      <w:r w:rsidRPr="00DC04B7">
        <w:rPr>
          <w:highlight w:val="green"/>
        </w:rPr>
        <w:lastRenderedPageBreak/>
        <w:t xml:space="preserve">Loyal and large customer base that can be introduces with new or add on products </w:t>
      </w:r>
    </w:p>
    <w:p w14:paraId="5AF36134" w14:textId="77777777" w:rsidR="00DC04B7" w:rsidRPr="00DC04B7" w:rsidRDefault="00DC04B7" w:rsidP="00DC04B7">
      <w:pPr>
        <w:pStyle w:val="CommentText"/>
        <w:numPr>
          <w:ilvl w:val="0"/>
          <w:numId w:val="26"/>
        </w:numPr>
        <w:rPr>
          <w:highlight w:val="green"/>
        </w:rPr>
      </w:pPr>
      <w:r w:rsidRPr="00DC04B7">
        <w:rPr>
          <w:highlight w:val="green"/>
        </w:rPr>
        <w:t>Availability of vast data that can be researched for product development</w:t>
      </w:r>
    </w:p>
    <w:p w14:paraId="45E4DF42" w14:textId="77777777" w:rsidR="00DC04B7" w:rsidRPr="00DC04B7" w:rsidRDefault="00DC04B7" w:rsidP="00DC04B7">
      <w:pPr>
        <w:pStyle w:val="CommentText"/>
        <w:rPr>
          <w:b/>
          <w:bCs/>
          <w:highlight w:val="green"/>
          <w:u w:val="single"/>
        </w:rPr>
      </w:pPr>
      <w:r w:rsidRPr="00DC04B7">
        <w:rPr>
          <w:b/>
          <w:bCs/>
          <w:highlight w:val="green"/>
          <w:u w:val="single"/>
        </w:rPr>
        <w:t>Threats</w:t>
      </w:r>
    </w:p>
    <w:p w14:paraId="7855B8DF" w14:textId="77777777" w:rsidR="00DC04B7" w:rsidRPr="00DC04B7" w:rsidRDefault="00DC04B7" w:rsidP="00DC04B7">
      <w:pPr>
        <w:pStyle w:val="CommentText"/>
        <w:numPr>
          <w:ilvl w:val="0"/>
          <w:numId w:val="27"/>
        </w:numPr>
        <w:rPr>
          <w:highlight w:val="green"/>
        </w:rPr>
      </w:pPr>
      <w:r w:rsidRPr="00DC04B7">
        <w:rPr>
          <w:highlight w:val="green"/>
        </w:rPr>
        <w:t xml:space="preserve">Threat of becoming obsolete due to new and emerging payment technologies </w:t>
      </w:r>
    </w:p>
    <w:p w14:paraId="0BA2314F" w14:textId="77777777" w:rsidR="00DC04B7" w:rsidRPr="00DC04B7" w:rsidRDefault="00DC04B7" w:rsidP="00DC04B7">
      <w:pPr>
        <w:pStyle w:val="CommentText"/>
        <w:numPr>
          <w:ilvl w:val="0"/>
          <w:numId w:val="27"/>
        </w:numPr>
        <w:rPr>
          <w:highlight w:val="green"/>
        </w:rPr>
      </w:pPr>
      <w:r w:rsidRPr="00DC04B7">
        <w:rPr>
          <w:highlight w:val="green"/>
        </w:rPr>
        <w:t>Increased competition owing to duopoly market</w:t>
      </w:r>
    </w:p>
    <w:p w14:paraId="684A658F" w14:textId="77777777" w:rsidR="00DC04B7" w:rsidRPr="00DC04B7" w:rsidRDefault="00DC04B7" w:rsidP="00DC04B7">
      <w:pPr>
        <w:pStyle w:val="CommentText"/>
        <w:numPr>
          <w:ilvl w:val="0"/>
          <w:numId w:val="27"/>
        </w:numPr>
        <w:rPr>
          <w:highlight w:val="green"/>
        </w:rPr>
      </w:pPr>
      <w:r w:rsidRPr="00DC04B7">
        <w:rPr>
          <w:highlight w:val="green"/>
        </w:rPr>
        <w:t>Lack of differentiation from competitor</w:t>
      </w:r>
    </w:p>
    <w:p w14:paraId="09271231" w14:textId="77777777" w:rsidR="00DC04B7" w:rsidRPr="00DC04B7" w:rsidRDefault="00DC04B7" w:rsidP="00DC04B7">
      <w:pPr>
        <w:pStyle w:val="CommentText"/>
        <w:numPr>
          <w:ilvl w:val="0"/>
          <w:numId w:val="27"/>
        </w:numPr>
        <w:rPr>
          <w:highlight w:val="green"/>
        </w:rPr>
      </w:pPr>
      <w:r w:rsidRPr="00DC04B7">
        <w:rPr>
          <w:highlight w:val="green"/>
        </w:rPr>
        <w:t>Large amount of personal data that needs to be secured for privacy</w:t>
      </w:r>
    </w:p>
    <w:p w14:paraId="3AF1A337" w14:textId="77777777" w:rsidR="00DC04B7" w:rsidRPr="00DC04B7" w:rsidRDefault="00DC04B7" w:rsidP="00DC04B7">
      <w:pPr>
        <w:pStyle w:val="CommentText"/>
        <w:numPr>
          <w:ilvl w:val="0"/>
          <w:numId w:val="27"/>
        </w:numPr>
        <w:rPr>
          <w:highlight w:val="green"/>
        </w:rPr>
      </w:pPr>
      <w:r w:rsidRPr="00DC04B7">
        <w:rPr>
          <w:highlight w:val="green"/>
        </w:rPr>
        <w:t>Threat of fraudulent activities</w:t>
      </w:r>
    </w:p>
    <w:p w14:paraId="630F3E69" w14:textId="77777777" w:rsidR="00DC04B7" w:rsidRPr="00DC04B7" w:rsidRDefault="00DC04B7" w:rsidP="00DC04B7">
      <w:pPr>
        <w:pStyle w:val="CommentText"/>
        <w:numPr>
          <w:ilvl w:val="0"/>
          <w:numId w:val="27"/>
        </w:numPr>
        <w:rPr>
          <w:highlight w:val="green"/>
        </w:rPr>
      </w:pPr>
      <w:r w:rsidRPr="00DC04B7">
        <w:rPr>
          <w:highlight w:val="green"/>
        </w:rPr>
        <w:t>Threat of money laundering and terrorism financing</w:t>
      </w:r>
    </w:p>
    <w:p w14:paraId="5ADA1C48" w14:textId="77777777" w:rsidR="00DC04B7" w:rsidRDefault="00DC04B7" w:rsidP="00DC04B7">
      <w:pPr>
        <w:pStyle w:val="CommentText"/>
      </w:pPr>
    </w:p>
    <w:p w14:paraId="52F26682" w14:textId="77777777" w:rsidR="00DC04B7" w:rsidRPr="00EC0272" w:rsidRDefault="00DC04B7" w:rsidP="00D210AF"/>
    <w:p w14:paraId="4A7115B0" w14:textId="4C26074A" w:rsidR="009F5C69" w:rsidRPr="009F5C69" w:rsidRDefault="009F5C69" w:rsidP="009F5C69">
      <w:pPr>
        <w:pStyle w:val="ListParagraph"/>
        <w:numPr>
          <w:ilvl w:val="0"/>
          <w:numId w:val="17"/>
        </w:numPr>
      </w:pPr>
      <w:r w:rsidRPr="009F5C69">
        <w:rPr>
          <w:b/>
          <w:bCs/>
        </w:rPr>
        <w:t>PESTEL Analysis for the Industry:</w:t>
      </w:r>
    </w:p>
    <w:tbl>
      <w:tblPr>
        <w:tblW w:w="8828" w:type="dxa"/>
        <w:tblCellSpacing w:w="15" w:type="dxa"/>
        <w:tblCellMar>
          <w:top w:w="15" w:type="dxa"/>
          <w:left w:w="15" w:type="dxa"/>
          <w:bottom w:w="15" w:type="dxa"/>
          <w:right w:w="15" w:type="dxa"/>
        </w:tblCellMar>
        <w:tblLook w:val="04A0" w:firstRow="1" w:lastRow="0" w:firstColumn="1" w:lastColumn="0" w:noHBand="0" w:noVBand="1"/>
      </w:tblPr>
      <w:tblGrid>
        <w:gridCol w:w="8828"/>
      </w:tblGrid>
      <w:tr w:rsidR="009F5C69" w:rsidRPr="009F5C69" w14:paraId="63BAE684" w14:textId="77777777" w:rsidTr="00AB76D6">
        <w:trPr>
          <w:trHeight w:val="443"/>
          <w:tblCellSpacing w:w="15" w:type="dxa"/>
        </w:trPr>
        <w:tc>
          <w:tcPr>
            <w:tcW w:w="0" w:type="auto"/>
            <w:tcBorders>
              <w:top w:val="single" w:sz="4" w:space="0" w:color="auto"/>
              <w:left w:val="single" w:sz="4" w:space="0" w:color="auto"/>
              <w:right w:val="single" w:sz="4" w:space="0" w:color="auto"/>
            </w:tcBorders>
            <w:vAlign w:val="center"/>
            <w:hideMark/>
          </w:tcPr>
          <w:p w14:paraId="6F59D12F" w14:textId="77777777" w:rsidR="009F5C69" w:rsidRPr="009F5C69" w:rsidRDefault="009F5C69" w:rsidP="00D210AF">
            <w:pPr>
              <w:spacing w:line="240" w:lineRule="auto"/>
            </w:pPr>
            <w:r w:rsidRPr="009F5C69">
              <w:rPr>
                <w:b/>
                <w:bCs/>
              </w:rPr>
              <w:t>Political</w:t>
            </w:r>
          </w:p>
        </w:tc>
      </w:tr>
      <w:tr w:rsidR="009F5C69" w:rsidRPr="009F5C69" w14:paraId="35BC9F46" w14:textId="77777777" w:rsidTr="00AB76D6">
        <w:trPr>
          <w:trHeight w:val="428"/>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142A4C45" w14:textId="77777777" w:rsidR="009F5C69" w:rsidRPr="009F5C69" w:rsidRDefault="009F5C69" w:rsidP="00D210AF">
            <w:pPr>
              <w:spacing w:line="240" w:lineRule="auto"/>
            </w:pPr>
            <w:r w:rsidRPr="009F5C69">
              <w:t>Regulatory changes in different countries affecting payment systems</w:t>
            </w:r>
          </w:p>
        </w:tc>
      </w:tr>
    </w:tbl>
    <w:p w14:paraId="203720B7" w14:textId="20BEC4D1" w:rsidR="009F5C69" w:rsidRPr="009F5C69" w:rsidRDefault="009F5C69" w:rsidP="009F5C69"/>
    <w:tbl>
      <w:tblPr>
        <w:tblW w:w="8842" w:type="dxa"/>
        <w:tblCellSpacing w:w="15" w:type="dxa"/>
        <w:tblCellMar>
          <w:top w:w="15" w:type="dxa"/>
          <w:left w:w="15" w:type="dxa"/>
          <w:bottom w:w="15" w:type="dxa"/>
          <w:right w:w="15" w:type="dxa"/>
        </w:tblCellMar>
        <w:tblLook w:val="04A0" w:firstRow="1" w:lastRow="0" w:firstColumn="1" w:lastColumn="0" w:noHBand="0" w:noVBand="1"/>
      </w:tblPr>
      <w:tblGrid>
        <w:gridCol w:w="8842"/>
      </w:tblGrid>
      <w:tr w:rsidR="009F5C69" w:rsidRPr="009F5C69" w14:paraId="4D9FB0A5" w14:textId="77777777" w:rsidTr="00AB76D6">
        <w:trPr>
          <w:trHeight w:val="443"/>
          <w:tblCellSpacing w:w="15" w:type="dxa"/>
        </w:trPr>
        <w:tc>
          <w:tcPr>
            <w:tcW w:w="0" w:type="auto"/>
            <w:tcBorders>
              <w:top w:val="single" w:sz="4" w:space="0" w:color="auto"/>
              <w:left w:val="single" w:sz="4" w:space="0" w:color="auto"/>
              <w:right w:val="single" w:sz="4" w:space="0" w:color="auto"/>
            </w:tcBorders>
            <w:vAlign w:val="center"/>
            <w:hideMark/>
          </w:tcPr>
          <w:p w14:paraId="7DEECF9D" w14:textId="77777777" w:rsidR="009F5C69" w:rsidRPr="009F5C69" w:rsidRDefault="009F5C69" w:rsidP="009F5C69">
            <w:r w:rsidRPr="009F5C69">
              <w:rPr>
                <w:b/>
                <w:bCs/>
              </w:rPr>
              <w:t>Economic</w:t>
            </w:r>
          </w:p>
        </w:tc>
      </w:tr>
      <w:tr w:rsidR="009F5C69" w:rsidRPr="009F5C69" w14:paraId="360DBDA3" w14:textId="77777777" w:rsidTr="00AB76D6">
        <w:trPr>
          <w:trHeight w:val="428"/>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02489877" w14:textId="77777777" w:rsidR="009F5C69" w:rsidRPr="009F5C69" w:rsidRDefault="009F5C69" w:rsidP="009F5C69">
            <w:r w:rsidRPr="009F5C69">
              <w:t>Exchange rates impacting cross-border transactions and consumer spending</w:t>
            </w:r>
          </w:p>
        </w:tc>
      </w:tr>
    </w:tbl>
    <w:p w14:paraId="4830D6BB" w14:textId="77777777" w:rsidR="009F5C69" w:rsidRPr="009F5C69" w:rsidRDefault="009F5C69" w:rsidP="009F5C69">
      <w:r w:rsidRPr="009F5C69">
        <w:t> </w:t>
      </w:r>
    </w:p>
    <w:tbl>
      <w:tblPr>
        <w:tblW w:w="8823" w:type="dxa"/>
        <w:tblCellSpacing w:w="15" w:type="dxa"/>
        <w:tblCellMar>
          <w:top w:w="15" w:type="dxa"/>
          <w:left w:w="15" w:type="dxa"/>
          <w:bottom w:w="15" w:type="dxa"/>
          <w:right w:w="15" w:type="dxa"/>
        </w:tblCellMar>
        <w:tblLook w:val="04A0" w:firstRow="1" w:lastRow="0" w:firstColumn="1" w:lastColumn="0" w:noHBand="0" w:noVBand="1"/>
      </w:tblPr>
      <w:tblGrid>
        <w:gridCol w:w="8823"/>
      </w:tblGrid>
      <w:tr w:rsidR="009F5C69" w:rsidRPr="009F5C69" w14:paraId="7068071E" w14:textId="77777777" w:rsidTr="00AB76D6">
        <w:trPr>
          <w:trHeight w:val="399"/>
          <w:tblCellSpacing w:w="15" w:type="dxa"/>
        </w:trPr>
        <w:tc>
          <w:tcPr>
            <w:tcW w:w="0" w:type="auto"/>
            <w:tcBorders>
              <w:top w:val="single" w:sz="4" w:space="0" w:color="auto"/>
              <w:left w:val="single" w:sz="4" w:space="0" w:color="auto"/>
              <w:right w:val="single" w:sz="4" w:space="0" w:color="auto"/>
            </w:tcBorders>
            <w:vAlign w:val="center"/>
            <w:hideMark/>
          </w:tcPr>
          <w:p w14:paraId="14AA9D7A" w14:textId="77777777" w:rsidR="009F5C69" w:rsidRPr="009F5C69" w:rsidRDefault="009F5C69" w:rsidP="009F5C69">
            <w:r w:rsidRPr="009F5C69">
              <w:rPr>
                <w:b/>
                <w:bCs/>
              </w:rPr>
              <w:t>Sociocultural</w:t>
            </w:r>
          </w:p>
        </w:tc>
      </w:tr>
      <w:tr w:rsidR="009F5C69" w:rsidRPr="009F5C69" w14:paraId="4DC5BFBB" w14:textId="77777777" w:rsidTr="00AB76D6">
        <w:trPr>
          <w:trHeight w:val="386"/>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61E5F3C5" w14:textId="77777777" w:rsidR="009F5C69" w:rsidRPr="009F5C69" w:rsidRDefault="009F5C69" w:rsidP="009F5C69">
            <w:r w:rsidRPr="009F5C69">
              <w:t>Changing consumer preferences towards digital and contactless payments</w:t>
            </w:r>
          </w:p>
        </w:tc>
      </w:tr>
    </w:tbl>
    <w:p w14:paraId="365949BE" w14:textId="77777777" w:rsidR="009F5C69" w:rsidRPr="009F5C69" w:rsidRDefault="009F5C69" w:rsidP="009F5C69">
      <w:r w:rsidRPr="009F5C69">
        <w:t> </w:t>
      </w:r>
    </w:p>
    <w:tbl>
      <w:tblPr>
        <w:tblW w:w="8808" w:type="dxa"/>
        <w:tblCellSpacing w:w="15" w:type="dxa"/>
        <w:tblCellMar>
          <w:top w:w="15" w:type="dxa"/>
          <w:left w:w="15" w:type="dxa"/>
          <w:bottom w:w="15" w:type="dxa"/>
          <w:right w:w="15" w:type="dxa"/>
        </w:tblCellMar>
        <w:tblLook w:val="04A0" w:firstRow="1" w:lastRow="0" w:firstColumn="1" w:lastColumn="0" w:noHBand="0" w:noVBand="1"/>
      </w:tblPr>
      <w:tblGrid>
        <w:gridCol w:w="8808"/>
      </w:tblGrid>
      <w:tr w:rsidR="009F5C69" w:rsidRPr="009F5C69" w14:paraId="2784A02B" w14:textId="77777777" w:rsidTr="00D210AF">
        <w:trPr>
          <w:trHeight w:val="456"/>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1A6ECB94" w14:textId="77777777" w:rsidR="009F5C69" w:rsidRPr="009F5C69" w:rsidRDefault="009F5C69" w:rsidP="009F5C69">
            <w:r w:rsidRPr="009F5C69">
              <w:rPr>
                <w:b/>
                <w:bCs/>
              </w:rPr>
              <w:t>Technological</w:t>
            </w:r>
          </w:p>
        </w:tc>
      </w:tr>
      <w:tr w:rsidR="009F5C69" w:rsidRPr="009F5C69" w14:paraId="1D3FB9AA" w14:textId="77777777" w:rsidTr="00D210AF">
        <w:trPr>
          <w:trHeight w:val="473"/>
          <w:tblCellSpacing w:w="15" w:type="dxa"/>
        </w:trPr>
        <w:tc>
          <w:tcPr>
            <w:tcW w:w="0" w:type="auto"/>
            <w:tcBorders>
              <w:left w:val="single" w:sz="4" w:space="0" w:color="auto"/>
              <w:bottom w:val="single" w:sz="4" w:space="0" w:color="auto"/>
              <w:right w:val="single" w:sz="4" w:space="0" w:color="auto"/>
            </w:tcBorders>
            <w:vAlign w:val="center"/>
            <w:hideMark/>
          </w:tcPr>
          <w:p w14:paraId="26015C54" w14:textId="77777777" w:rsidR="009F5C69" w:rsidRPr="009F5C69" w:rsidRDefault="009F5C69" w:rsidP="009F5C69">
            <w:r w:rsidRPr="009F5C69">
              <w:t>Rapid advancements in payment technologies and cybersecurity threats</w:t>
            </w:r>
          </w:p>
        </w:tc>
      </w:tr>
    </w:tbl>
    <w:p w14:paraId="30C27C9C" w14:textId="77777777" w:rsidR="009F5C69" w:rsidRPr="009F5C69" w:rsidRDefault="009F5C69" w:rsidP="009F5C69">
      <w:r w:rsidRPr="009F5C69">
        <w:t> </w:t>
      </w:r>
    </w:p>
    <w:tbl>
      <w:tblPr>
        <w:tblW w:w="8794" w:type="dxa"/>
        <w:tblCellSpacing w:w="15" w:type="dxa"/>
        <w:tblCellMar>
          <w:top w:w="15" w:type="dxa"/>
          <w:left w:w="15" w:type="dxa"/>
          <w:bottom w:w="15" w:type="dxa"/>
          <w:right w:w="15" w:type="dxa"/>
        </w:tblCellMar>
        <w:tblLook w:val="04A0" w:firstRow="1" w:lastRow="0" w:firstColumn="1" w:lastColumn="0" w:noHBand="0" w:noVBand="1"/>
      </w:tblPr>
      <w:tblGrid>
        <w:gridCol w:w="8794"/>
      </w:tblGrid>
      <w:tr w:rsidR="009F5C69" w:rsidRPr="009F5C69" w14:paraId="388F937F" w14:textId="77777777" w:rsidTr="00AB76D6">
        <w:trPr>
          <w:trHeight w:val="368"/>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30333BF3" w14:textId="77777777" w:rsidR="009F5C69" w:rsidRPr="009F5C69" w:rsidRDefault="009F5C69" w:rsidP="009F5C69">
            <w:r w:rsidRPr="009F5C69">
              <w:rPr>
                <w:b/>
                <w:bCs/>
              </w:rPr>
              <w:t>Environmental</w:t>
            </w:r>
          </w:p>
        </w:tc>
      </w:tr>
      <w:tr w:rsidR="009F5C69" w:rsidRPr="009F5C69" w14:paraId="4734C792" w14:textId="77777777" w:rsidTr="00AB76D6">
        <w:trPr>
          <w:trHeight w:val="381"/>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771A4E25" w14:textId="77777777" w:rsidR="009F5C69" w:rsidRPr="009F5C69" w:rsidRDefault="009F5C69" w:rsidP="009F5C69">
            <w:r w:rsidRPr="009F5C69">
              <w:t>Growing emphasis on sustainable and green practices</w:t>
            </w:r>
          </w:p>
        </w:tc>
      </w:tr>
    </w:tbl>
    <w:p w14:paraId="4ED8F5B1" w14:textId="77777777" w:rsidR="009F5C69" w:rsidRPr="009F5C69" w:rsidRDefault="009F5C69" w:rsidP="009F5C69">
      <w:r w:rsidRPr="009F5C69">
        <w:t> </w:t>
      </w:r>
    </w:p>
    <w:tbl>
      <w:tblPr>
        <w:tblW w:w="8777" w:type="dxa"/>
        <w:tblCellSpacing w:w="15" w:type="dxa"/>
        <w:tblCellMar>
          <w:top w:w="15" w:type="dxa"/>
          <w:left w:w="15" w:type="dxa"/>
          <w:bottom w:w="15" w:type="dxa"/>
          <w:right w:w="15" w:type="dxa"/>
        </w:tblCellMar>
        <w:tblLook w:val="04A0" w:firstRow="1" w:lastRow="0" w:firstColumn="1" w:lastColumn="0" w:noHBand="0" w:noVBand="1"/>
      </w:tblPr>
      <w:tblGrid>
        <w:gridCol w:w="8777"/>
      </w:tblGrid>
      <w:tr w:rsidR="009F5C69" w:rsidRPr="009F5C69" w14:paraId="3406EF27" w14:textId="77777777" w:rsidTr="00AB76D6">
        <w:trPr>
          <w:trHeight w:val="405"/>
          <w:tblCellSpacing w:w="15" w:type="dxa"/>
        </w:trPr>
        <w:tc>
          <w:tcPr>
            <w:tcW w:w="0" w:type="auto"/>
            <w:tcBorders>
              <w:top w:val="single" w:sz="4" w:space="0" w:color="auto"/>
              <w:left w:val="single" w:sz="4" w:space="0" w:color="auto"/>
              <w:right w:val="single" w:sz="4" w:space="0" w:color="auto"/>
            </w:tcBorders>
            <w:vAlign w:val="center"/>
            <w:hideMark/>
          </w:tcPr>
          <w:p w14:paraId="74567657" w14:textId="77777777" w:rsidR="009F5C69" w:rsidRPr="009F5C69" w:rsidRDefault="009F5C69" w:rsidP="009F5C69">
            <w:r w:rsidRPr="009F5C69">
              <w:rPr>
                <w:b/>
                <w:bCs/>
              </w:rPr>
              <w:t>Legal</w:t>
            </w:r>
          </w:p>
        </w:tc>
      </w:tr>
      <w:tr w:rsidR="009F5C69" w:rsidRPr="009F5C69" w14:paraId="7DCCCA8E" w14:textId="77777777" w:rsidTr="00AB76D6">
        <w:trPr>
          <w:trHeight w:val="392"/>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09117547" w14:textId="77777777" w:rsidR="009F5C69" w:rsidRPr="009F5C69" w:rsidRDefault="009F5C69" w:rsidP="009F5C69">
            <w:r w:rsidRPr="009F5C69">
              <w:t>Evolving data privacy and security regulations</w:t>
            </w:r>
          </w:p>
        </w:tc>
      </w:tr>
    </w:tbl>
    <w:p w14:paraId="6AA347FE" w14:textId="77777777" w:rsidR="00DC04B7" w:rsidRPr="00DC04B7" w:rsidRDefault="009F5C69" w:rsidP="00DC04B7">
      <w:pPr>
        <w:pStyle w:val="CommentText"/>
        <w:autoSpaceDN w:val="0"/>
        <w:rPr>
          <w:b/>
          <w:bCs/>
          <w:highlight w:val="green"/>
          <w:u w:val="single"/>
        </w:rPr>
      </w:pPr>
      <w:r w:rsidRPr="009F5C69">
        <w:lastRenderedPageBreak/>
        <w:t> </w:t>
      </w:r>
      <w:r w:rsidR="00DC04B7" w:rsidRPr="00DC04B7">
        <w:rPr>
          <w:rStyle w:val="CommentReference"/>
          <w:highlight w:val="green"/>
        </w:rPr>
        <w:t/>
      </w:r>
      <w:r w:rsidR="00DC04B7" w:rsidRPr="00DC04B7">
        <w:rPr>
          <w:b/>
          <w:bCs/>
          <w:highlight w:val="green"/>
          <w:u w:val="single"/>
        </w:rPr>
        <w:t>Political</w:t>
      </w:r>
    </w:p>
    <w:p w14:paraId="150DCDFE" w14:textId="77777777" w:rsidR="00DC04B7" w:rsidRPr="00DC04B7" w:rsidRDefault="00DC04B7" w:rsidP="00DC04B7">
      <w:pPr>
        <w:pStyle w:val="CommentText"/>
        <w:numPr>
          <w:ilvl w:val="0"/>
          <w:numId w:val="28"/>
        </w:numPr>
        <w:autoSpaceDN w:val="0"/>
        <w:rPr>
          <w:highlight w:val="green"/>
        </w:rPr>
      </w:pPr>
      <w:r w:rsidRPr="00DC04B7">
        <w:rPr>
          <w:rStyle w:val="CommentReference"/>
          <w:highlight w:val="green"/>
        </w:rPr>
        <w:t/>
      </w:r>
      <w:r w:rsidRPr="00DC04B7">
        <w:rPr>
          <w:highlight w:val="green"/>
        </w:rPr>
        <w:t>Demonetization (India)</w:t>
      </w:r>
    </w:p>
    <w:p w14:paraId="4DA44045" w14:textId="77777777" w:rsidR="00DC04B7" w:rsidRPr="00DC04B7" w:rsidRDefault="00DC04B7" w:rsidP="00DC04B7">
      <w:pPr>
        <w:pStyle w:val="CommentText"/>
        <w:numPr>
          <w:ilvl w:val="0"/>
          <w:numId w:val="28"/>
        </w:numPr>
        <w:autoSpaceDN w:val="0"/>
        <w:rPr>
          <w:highlight w:val="green"/>
        </w:rPr>
      </w:pPr>
      <w:r w:rsidRPr="00DC04B7">
        <w:rPr>
          <w:highlight w:val="green"/>
        </w:rPr>
        <w:t>Attitude of ruling party about cards instead of cash</w:t>
      </w:r>
    </w:p>
    <w:p w14:paraId="31427D58" w14:textId="77777777" w:rsidR="00DC04B7" w:rsidRPr="00DC04B7" w:rsidRDefault="00DC04B7" w:rsidP="00DC04B7">
      <w:pPr>
        <w:pStyle w:val="CommentText"/>
        <w:numPr>
          <w:ilvl w:val="0"/>
          <w:numId w:val="28"/>
        </w:numPr>
        <w:autoSpaceDN w:val="0"/>
        <w:rPr>
          <w:highlight w:val="green"/>
        </w:rPr>
      </w:pPr>
      <w:r w:rsidRPr="00DC04B7">
        <w:rPr>
          <w:highlight w:val="green"/>
        </w:rPr>
        <w:t>Government backed local competitors</w:t>
      </w:r>
    </w:p>
    <w:p w14:paraId="5ECF707C" w14:textId="77777777" w:rsidR="00DC04B7" w:rsidRPr="00DC04B7" w:rsidRDefault="00DC04B7" w:rsidP="00DC04B7">
      <w:pPr>
        <w:pStyle w:val="CommentText"/>
        <w:numPr>
          <w:ilvl w:val="0"/>
          <w:numId w:val="28"/>
        </w:numPr>
        <w:autoSpaceDN w:val="0"/>
        <w:rPr>
          <w:highlight w:val="green"/>
        </w:rPr>
      </w:pPr>
      <w:r w:rsidRPr="00DC04B7">
        <w:rPr>
          <w:highlight w:val="green"/>
        </w:rPr>
        <w:t>Tax legislations</w:t>
      </w:r>
    </w:p>
    <w:p w14:paraId="571B24E1" w14:textId="77777777" w:rsidR="00DC04B7" w:rsidRPr="00DC04B7" w:rsidRDefault="00DC04B7" w:rsidP="00DC04B7">
      <w:pPr>
        <w:pStyle w:val="CommentText"/>
        <w:rPr>
          <w:highlight w:val="green"/>
        </w:rPr>
      </w:pPr>
    </w:p>
    <w:p w14:paraId="4762B1CA" w14:textId="77777777" w:rsidR="00DC04B7" w:rsidRPr="00DC04B7" w:rsidRDefault="00DC04B7" w:rsidP="00DC04B7">
      <w:pPr>
        <w:pStyle w:val="CommentText"/>
        <w:rPr>
          <w:b/>
          <w:bCs/>
          <w:highlight w:val="green"/>
          <w:u w:val="single"/>
        </w:rPr>
      </w:pPr>
      <w:r w:rsidRPr="00DC04B7">
        <w:rPr>
          <w:b/>
          <w:bCs/>
          <w:highlight w:val="green"/>
          <w:u w:val="single"/>
        </w:rPr>
        <w:t>Social</w:t>
      </w:r>
    </w:p>
    <w:p w14:paraId="304B7B5C" w14:textId="77777777" w:rsidR="00DC04B7" w:rsidRPr="00DC04B7" w:rsidRDefault="00DC04B7" w:rsidP="00DC04B7">
      <w:pPr>
        <w:pStyle w:val="CommentText"/>
        <w:numPr>
          <w:ilvl w:val="0"/>
          <w:numId w:val="29"/>
        </w:numPr>
        <w:autoSpaceDN w:val="0"/>
        <w:rPr>
          <w:highlight w:val="green"/>
        </w:rPr>
      </w:pPr>
      <w:r w:rsidRPr="00DC04B7">
        <w:rPr>
          <w:highlight w:val="green"/>
        </w:rPr>
        <w:t>Attitude towards credit cards/savings</w:t>
      </w:r>
    </w:p>
    <w:p w14:paraId="5AC83E41" w14:textId="77777777" w:rsidR="00DC04B7" w:rsidRPr="00DC04B7" w:rsidRDefault="00DC04B7" w:rsidP="00DC04B7">
      <w:pPr>
        <w:pStyle w:val="CommentText"/>
        <w:numPr>
          <w:ilvl w:val="0"/>
          <w:numId w:val="29"/>
        </w:numPr>
        <w:autoSpaceDN w:val="0"/>
        <w:rPr>
          <w:highlight w:val="green"/>
        </w:rPr>
      </w:pPr>
      <w:r w:rsidRPr="00DC04B7">
        <w:rPr>
          <w:highlight w:val="green"/>
        </w:rPr>
        <w:t>Card penetration in developing countries</w:t>
      </w:r>
    </w:p>
    <w:p w14:paraId="4F09288B" w14:textId="77777777" w:rsidR="00DC04B7" w:rsidRPr="00DC04B7" w:rsidRDefault="00DC04B7" w:rsidP="00DC04B7">
      <w:pPr>
        <w:pStyle w:val="CommentText"/>
        <w:numPr>
          <w:ilvl w:val="0"/>
          <w:numId w:val="29"/>
        </w:numPr>
        <w:autoSpaceDN w:val="0"/>
        <w:rPr>
          <w:highlight w:val="green"/>
        </w:rPr>
      </w:pPr>
      <w:r w:rsidRPr="00DC04B7">
        <w:rPr>
          <w:highlight w:val="green"/>
        </w:rPr>
        <w:t>Increasing number of elderly people becoming digitally literate</w:t>
      </w:r>
    </w:p>
    <w:p w14:paraId="2D6529AC" w14:textId="77777777" w:rsidR="00DC04B7" w:rsidRPr="00DC04B7" w:rsidRDefault="00DC04B7" w:rsidP="00DC04B7">
      <w:pPr>
        <w:pStyle w:val="CommentText"/>
        <w:rPr>
          <w:highlight w:val="green"/>
        </w:rPr>
      </w:pPr>
    </w:p>
    <w:p w14:paraId="1CFC88C6" w14:textId="77777777" w:rsidR="00DC04B7" w:rsidRPr="00DC04B7" w:rsidRDefault="00DC04B7" w:rsidP="00DC04B7">
      <w:pPr>
        <w:pStyle w:val="CommentText"/>
        <w:rPr>
          <w:b/>
          <w:bCs/>
          <w:highlight w:val="green"/>
          <w:u w:val="single"/>
        </w:rPr>
      </w:pPr>
      <w:r w:rsidRPr="00DC04B7">
        <w:rPr>
          <w:b/>
          <w:bCs/>
          <w:highlight w:val="green"/>
          <w:u w:val="single"/>
        </w:rPr>
        <w:t>Technological</w:t>
      </w:r>
    </w:p>
    <w:p w14:paraId="1F17CCE1" w14:textId="77777777" w:rsidR="00DC04B7" w:rsidRPr="00DC04B7" w:rsidRDefault="00DC04B7" w:rsidP="00DC04B7">
      <w:pPr>
        <w:pStyle w:val="CommentText"/>
        <w:numPr>
          <w:ilvl w:val="0"/>
          <w:numId w:val="30"/>
        </w:numPr>
        <w:autoSpaceDN w:val="0"/>
        <w:rPr>
          <w:highlight w:val="green"/>
        </w:rPr>
      </w:pPr>
      <w:r w:rsidRPr="00DC04B7">
        <w:rPr>
          <w:highlight w:val="green"/>
        </w:rPr>
        <w:t>Impact of technology helping competitors and new entrants</w:t>
      </w:r>
    </w:p>
    <w:p w14:paraId="6F1B8902" w14:textId="77777777" w:rsidR="00DC04B7" w:rsidRPr="00DC04B7" w:rsidRDefault="00DC04B7" w:rsidP="00DC04B7">
      <w:pPr>
        <w:pStyle w:val="CommentText"/>
        <w:numPr>
          <w:ilvl w:val="0"/>
          <w:numId w:val="30"/>
        </w:numPr>
        <w:autoSpaceDN w:val="0"/>
        <w:rPr>
          <w:highlight w:val="green"/>
        </w:rPr>
      </w:pPr>
      <w:r w:rsidRPr="00DC04B7">
        <w:rPr>
          <w:highlight w:val="green"/>
        </w:rPr>
        <w:t xml:space="preserve">Costs for new technology adoption and prevention of fraud and crime </w:t>
      </w:r>
    </w:p>
    <w:p w14:paraId="0E64178D" w14:textId="77777777" w:rsidR="00DC04B7" w:rsidRPr="00DC04B7" w:rsidRDefault="00DC04B7" w:rsidP="00DC04B7">
      <w:pPr>
        <w:pStyle w:val="CommentText"/>
        <w:numPr>
          <w:ilvl w:val="0"/>
          <w:numId w:val="30"/>
        </w:numPr>
        <w:autoSpaceDN w:val="0"/>
        <w:rPr>
          <w:highlight w:val="green"/>
        </w:rPr>
      </w:pPr>
      <w:r w:rsidRPr="00DC04B7">
        <w:rPr>
          <w:highlight w:val="green"/>
        </w:rPr>
        <w:t>Crypto currency gaining market share</w:t>
      </w:r>
    </w:p>
    <w:p w14:paraId="30E83F96" w14:textId="77777777" w:rsidR="00DC04B7" w:rsidRPr="00DC04B7" w:rsidRDefault="00DC04B7" w:rsidP="00DC04B7">
      <w:pPr>
        <w:pStyle w:val="CommentText"/>
        <w:numPr>
          <w:ilvl w:val="0"/>
          <w:numId w:val="30"/>
        </w:numPr>
        <w:autoSpaceDN w:val="0"/>
        <w:rPr>
          <w:highlight w:val="green"/>
        </w:rPr>
      </w:pPr>
      <w:r w:rsidRPr="00DC04B7">
        <w:rPr>
          <w:highlight w:val="green"/>
        </w:rPr>
        <w:t>Emerging mobile wallets like paypal</w:t>
      </w:r>
    </w:p>
    <w:p w14:paraId="58DC1C48" w14:textId="77777777" w:rsidR="00DC04B7" w:rsidRPr="00DC04B7" w:rsidRDefault="00DC04B7" w:rsidP="00DC04B7">
      <w:pPr>
        <w:pStyle w:val="CommentText"/>
        <w:numPr>
          <w:ilvl w:val="0"/>
          <w:numId w:val="30"/>
        </w:numPr>
        <w:autoSpaceDN w:val="0"/>
        <w:rPr>
          <w:highlight w:val="green"/>
        </w:rPr>
      </w:pPr>
      <w:r w:rsidRPr="00DC04B7">
        <w:rPr>
          <w:highlight w:val="green"/>
        </w:rPr>
        <w:t>Penetration of ATMs and Point of sale</w:t>
      </w:r>
    </w:p>
    <w:p w14:paraId="0F35D83E" w14:textId="77777777" w:rsidR="00DC04B7" w:rsidRPr="00DC04B7" w:rsidRDefault="00DC04B7" w:rsidP="00DC04B7">
      <w:pPr>
        <w:pStyle w:val="CommentText"/>
        <w:numPr>
          <w:ilvl w:val="0"/>
          <w:numId w:val="30"/>
        </w:numPr>
        <w:autoSpaceDN w:val="0"/>
        <w:rPr>
          <w:highlight w:val="green"/>
        </w:rPr>
      </w:pPr>
      <w:r w:rsidRPr="00DC04B7">
        <w:rPr>
          <w:highlight w:val="green"/>
        </w:rPr>
        <w:t>Tokenization, Biometrics, Machine learning</w:t>
      </w:r>
    </w:p>
    <w:p w14:paraId="1FB56D16" w14:textId="77777777" w:rsidR="00DC04B7" w:rsidRPr="00DC04B7" w:rsidRDefault="00DC04B7" w:rsidP="00DC04B7">
      <w:pPr>
        <w:pStyle w:val="CommentText"/>
        <w:numPr>
          <w:ilvl w:val="0"/>
          <w:numId w:val="30"/>
        </w:numPr>
        <w:autoSpaceDN w:val="0"/>
        <w:rPr>
          <w:highlight w:val="green"/>
        </w:rPr>
      </w:pPr>
      <w:r w:rsidRPr="00DC04B7">
        <w:rPr>
          <w:highlight w:val="green"/>
        </w:rPr>
        <w:t>Tap to pay, Scan to pay</w:t>
      </w:r>
    </w:p>
    <w:p w14:paraId="0E269F11" w14:textId="77777777" w:rsidR="00DC04B7" w:rsidRPr="00DC04B7" w:rsidRDefault="00DC04B7" w:rsidP="00DC04B7">
      <w:pPr>
        <w:pStyle w:val="CommentText"/>
        <w:rPr>
          <w:highlight w:val="green"/>
        </w:rPr>
      </w:pPr>
    </w:p>
    <w:p w14:paraId="7AB0F9E2" w14:textId="77777777" w:rsidR="00DC04B7" w:rsidRPr="00DC04B7" w:rsidRDefault="00DC04B7" w:rsidP="00DC04B7">
      <w:pPr>
        <w:pStyle w:val="CommentText"/>
        <w:rPr>
          <w:b/>
          <w:bCs/>
          <w:highlight w:val="green"/>
          <w:u w:val="single"/>
        </w:rPr>
      </w:pPr>
      <w:r w:rsidRPr="00DC04B7">
        <w:rPr>
          <w:b/>
          <w:bCs/>
          <w:highlight w:val="green"/>
          <w:u w:val="single"/>
        </w:rPr>
        <w:t>Environmental</w:t>
      </w:r>
    </w:p>
    <w:p w14:paraId="726F4178" w14:textId="77777777" w:rsidR="00DC04B7" w:rsidRPr="00DC04B7" w:rsidRDefault="00DC04B7" w:rsidP="00DC04B7">
      <w:pPr>
        <w:pStyle w:val="CommentText"/>
        <w:numPr>
          <w:ilvl w:val="0"/>
          <w:numId w:val="31"/>
        </w:numPr>
        <w:autoSpaceDN w:val="0"/>
        <w:rPr>
          <w:highlight w:val="green"/>
        </w:rPr>
      </w:pPr>
      <w:r w:rsidRPr="00DC04B7">
        <w:rPr>
          <w:highlight w:val="green"/>
        </w:rPr>
        <w:t>Global warming impact on weather issues which affect spending patterns</w:t>
      </w:r>
    </w:p>
    <w:p w14:paraId="312F87DD" w14:textId="77777777" w:rsidR="00DC04B7" w:rsidRPr="00DC04B7" w:rsidRDefault="00DC04B7" w:rsidP="00DC04B7">
      <w:pPr>
        <w:pStyle w:val="CommentText"/>
        <w:numPr>
          <w:ilvl w:val="0"/>
          <w:numId w:val="31"/>
        </w:numPr>
        <w:autoSpaceDN w:val="0"/>
        <w:rPr>
          <w:highlight w:val="green"/>
        </w:rPr>
      </w:pPr>
      <w:r w:rsidRPr="00DC04B7">
        <w:rPr>
          <w:highlight w:val="green"/>
        </w:rPr>
        <w:t>Seasonality impact on spending patterns</w:t>
      </w:r>
    </w:p>
    <w:p w14:paraId="077BF916" w14:textId="77777777" w:rsidR="00DC04B7" w:rsidRPr="00DC04B7" w:rsidRDefault="00DC04B7" w:rsidP="00DC04B7">
      <w:pPr>
        <w:pStyle w:val="CommentText"/>
        <w:numPr>
          <w:ilvl w:val="0"/>
          <w:numId w:val="31"/>
        </w:numPr>
        <w:autoSpaceDN w:val="0"/>
        <w:rPr>
          <w:highlight w:val="green"/>
        </w:rPr>
      </w:pPr>
      <w:r w:rsidRPr="00DC04B7">
        <w:rPr>
          <w:highlight w:val="green"/>
        </w:rPr>
        <w:t>Covid and work from home culture increasing the use of cards in e-commerce compared to cash</w:t>
      </w:r>
    </w:p>
    <w:p w14:paraId="3A0F85A1" w14:textId="77777777" w:rsidR="00DC04B7" w:rsidRPr="00DC04B7" w:rsidRDefault="00DC04B7" w:rsidP="00DC04B7">
      <w:pPr>
        <w:pStyle w:val="CommentText"/>
        <w:rPr>
          <w:highlight w:val="green"/>
        </w:rPr>
      </w:pPr>
    </w:p>
    <w:p w14:paraId="008633A7" w14:textId="77777777" w:rsidR="00DC04B7" w:rsidRPr="00DC04B7" w:rsidRDefault="00DC04B7" w:rsidP="00DC04B7">
      <w:pPr>
        <w:pStyle w:val="CommentText"/>
        <w:rPr>
          <w:b/>
          <w:bCs/>
          <w:highlight w:val="green"/>
          <w:u w:val="single"/>
        </w:rPr>
      </w:pPr>
      <w:r w:rsidRPr="00DC04B7">
        <w:rPr>
          <w:b/>
          <w:bCs/>
          <w:highlight w:val="green"/>
          <w:u w:val="single"/>
        </w:rPr>
        <w:t>Legal</w:t>
      </w:r>
    </w:p>
    <w:p w14:paraId="3778500E" w14:textId="77777777" w:rsidR="00DC04B7" w:rsidRPr="00DC04B7" w:rsidRDefault="00DC04B7" w:rsidP="00DC04B7">
      <w:pPr>
        <w:pStyle w:val="CommentText"/>
        <w:numPr>
          <w:ilvl w:val="0"/>
          <w:numId w:val="32"/>
        </w:numPr>
        <w:autoSpaceDN w:val="0"/>
        <w:rPr>
          <w:highlight w:val="green"/>
        </w:rPr>
      </w:pPr>
      <w:r w:rsidRPr="00DC04B7">
        <w:rPr>
          <w:highlight w:val="green"/>
        </w:rPr>
        <w:t>KYC and privacy laws in various countries</w:t>
      </w:r>
    </w:p>
    <w:p w14:paraId="1DA40062" w14:textId="77777777" w:rsidR="00DC04B7" w:rsidRPr="00DC04B7" w:rsidRDefault="00DC04B7" w:rsidP="00DC04B7">
      <w:pPr>
        <w:pStyle w:val="CommentText"/>
        <w:numPr>
          <w:ilvl w:val="0"/>
          <w:numId w:val="32"/>
        </w:numPr>
        <w:autoSpaceDN w:val="0"/>
        <w:rPr>
          <w:highlight w:val="green"/>
        </w:rPr>
      </w:pPr>
      <w:r w:rsidRPr="00DC04B7">
        <w:rPr>
          <w:highlight w:val="green"/>
        </w:rPr>
        <w:t>Anti money-laundering laws</w:t>
      </w:r>
    </w:p>
    <w:p w14:paraId="37AF5FA2" w14:textId="77777777" w:rsidR="00DC04B7" w:rsidRPr="00DC04B7" w:rsidRDefault="00DC04B7" w:rsidP="00DC04B7">
      <w:pPr>
        <w:pStyle w:val="CommentText"/>
        <w:numPr>
          <w:ilvl w:val="0"/>
          <w:numId w:val="32"/>
        </w:numPr>
        <w:autoSpaceDN w:val="0"/>
        <w:rPr>
          <w:highlight w:val="green"/>
        </w:rPr>
      </w:pPr>
      <w:r w:rsidRPr="00DC04B7">
        <w:rPr>
          <w:highlight w:val="green"/>
        </w:rPr>
        <w:t>Privacy and data protection laws</w:t>
      </w:r>
    </w:p>
    <w:p w14:paraId="5DF48DE3" w14:textId="77777777" w:rsidR="00DC04B7" w:rsidRDefault="00DC04B7" w:rsidP="00DC04B7">
      <w:pPr>
        <w:pStyle w:val="CommentText"/>
      </w:pPr>
    </w:p>
    <w:p w14:paraId="09F4149C" w14:textId="77777777" w:rsidR="00DC04B7" w:rsidRDefault="00DC04B7" w:rsidP="00DC04B7">
      <w:pPr>
        <w:pStyle w:val="CommentText"/>
      </w:pPr>
    </w:p>
    <w:p w14:paraId="73C761A9" w14:textId="77777777" w:rsidR="00DC04B7" w:rsidRDefault="00DC04B7" w:rsidP="00DC04B7">
      <w:pPr>
        <w:pStyle w:val="CommentText"/>
      </w:pPr>
    </w:p>
    <w:p w14:paraId="312F76FB" w14:textId="1489383A" w:rsidR="00D210AF" w:rsidRDefault="00D210AF" w:rsidP="009F5C69"/>
    <w:p w14:paraId="3F203DDF" w14:textId="77777777" w:rsidR="00DC04B7" w:rsidRPr="009F5C69" w:rsidRDefault="00DC04B7" w:rsidP="009F5C69"/>
    <w:p w14:paraId="377A9A22" w14:textId="4C981D70" w:rsidR="009F5C69" w:rsidRPr="00F96A44" w:rsidRDefault="009F5C69" w:rsidP="009F5C69">
      <w:pPr>
        <w:pStyle w:val="ListParagraph"/>
        <w:numPr>
          <w:ilvl w:val="0"/>
          <w:numId w:val="17"/>
        </w:numPr>
        <w:rPr>
          <w:b/>
          <w:bCs/>
        </w:rPr>
      </w:pPr>
      <w:r w:rsidRPr="00F96A44">
        <w:rPr>
          <w:b/>
          <w:bCs/>
        </w:rPr>
        <w:lastRenderedPageBreak/>
        <w:t>Competitive Environmental Analysis:</w:t>
      </w:r>
    </w:p>
    <w:p w14:paraId="7577E7B6" w14:textId="77777777" w:rsidR="009F5C69" w:rsidRPr="00AB76D6" w:rsidRDefault="009F5C69" w:rsidP="009F5C69">
      <w:pPr>
        <w:numPr>
          <w:ilvl w:val="1"/>
          <w:numId w:val="17"/>
        </w:numPr>
      </w:pPr>
      <w:r w:rsidRPr="009F5C69">
        <w:rPr>
          <w:b/>
          <w:bCs/>
        </w:rPr>
        <w:t>Performance Evaluation</w:t>
      </w:r>
    </w:p>
    <w:p w14:paraId="6816896E" w14:textId="7B396131" w:rsidR="00AB76D6" w:rsidRDefault="00AB76D6" w:rsidP="00AB76D6">
      <w:pPr>
        <w:ind w:left="1440"/>
      </w:pPr>
      <w:r>
        <w:t xml:space="preserve">Visa has a history of demonstrating a strong performance within the payment processing industry and has maintained a dominant position globally. </w:t>
      </w:r>
      <w:r w:rsidR="00F96A44">
        <w:t>The strength of Visa’s market performance can is highlighted through the following points: through their market share, transaction volume, financial metrics, global reach and customer satisfaction.</w:t>
      </w:r>
    </w:p>
    <w:p w14:paraId="15C437B0" w14:textId="08427D83" w:rsidR="00AB76D6" w:rsidRDefault="00AB76D6" w:rsidP="00F96A44">
      <w:pPr>
        <w:pStyle w:val="ListParagraph"/>
        <w:numPr>
          <w:ilvl w:val="0"/>
          <w:numId w:val="21"/>
        </w:numPr>
      </w:pPr>
      <w:r w:rsidRPr="00F96A44">
        <w:rPr>
          <w:b/>
          <w:bCs/>
        </w:rPr>
        <w:t>Market Share</w:t>
      </w:r>
      <w:r w:rsidR="00F96A44" w:rsidRPr="00C77F02">
        <w:t>: Market share is the portion of a market controlled by a particular product or company</w:t>
      </w:r>
      <w:r w:rsidR="00F96A44">
        <w:t xml:space="preserve">. Visa has consistently maintained a substantial market share in the virtual payment industry. This is a show to the company’s dominance in the markets and suggests that Visa is the preferred choice when it comes to making digital payments. </w:t>
      </w:r>
      <w:sdt>
        <w:sdtPr>
          <w:id w:val="254716953"/>
          <w:citation/>
        </w:sdtPr>
        <w:sdtEndPr/>
        <w:sdtContent>
          <w:r w:rsidR="00C77F02">
            <w:fldChar w:fldCharType="begin"/>
          </w:r>
          <w:r w:rsidR="00C77F02">
            <w:instrText xml:space="preserve"> CITATION Ada22 \l 2057 </w:instrText>
          </w:r>
          <w:r w:rsidR="00C77F02">
            <w:fldChar w:fldCharType="separate"/>
          </w:r>
          <w:r w:rsidR="00C77F02">
            <w:rPr>
              <w:noProof/>
            </w:rPr>
            <w:t>(Hayes, 2022)</w:t>
          </w:r>
          <w:r w:rsidR="00C77F02">
            <w:fldChar w:fldCharType="end"/>
          </w:r>
        </w:sdtContent>
      </w:sdt>
    </w:p>
    <w:p w14:paraId="42C9B05A" w14:textId="0953797F" w:rsidR="00AB76D6" w:rsidRDefault="00AB76D6" w:rsidP="00AB76D6">
      <w:pPr>
        <w:pStyle w:val="ListParagraph"/>
        <w:numPr>
          <w:ilvl w:val="0"/>
          <w:numId w:val="21"/>
        </w:numPr>
      </w:pPr>
      <w:r w:rsidRPr="00F96A44">
        <w:rPr>
          <w:b/>
          <w:bCs/>
        </w:rPr>
        <w:t>Transaction Volume</w:t>
      </w:r>
      <w:r w:rsidR="00F96A44">
        <w:t xml:space="preserve">: Transaction volume is the total number of transactions processed by a </w:t>
      </w:r>
      <w:r w:rsidR="00F96A44" w:rsidRPr="00C77F02">
        <w:t>company per year. Visa’s</w:t>
      </w:r>
      <w:r w:rsidR="00F96A44">
        <w:t xml:space="preserve"> high transaction volume is a testament to its success. Its ability to efficiently handle such high volume highlights its competency in technological infrastructure and operational capabilities.</w:t>
      </w:r>
      <w:sdt>
        <w:sdtPr>
          <w:id w:val="-139347114"/>
          <w:citation/>
        </w:sdtPr>
        <w:sdtEndPr/>
        <w:sdtContent>
          <w:r w:rsidR="00C77F02">
            <w:fldChar w:fldCharType="begin"/>
          </w:r>
          <w:r w:rsidR="00C77F02">
            <w:instrText xml:space="preserve"> CITATION mid \l 2057 </w:instrText>
          </w:r>
          <w:r w:rsidR="00C77F02">
            <w:fldChar w:fldCharType="separate"/>
          </w:r>
          <w:r w:rsidR="00C77F02">
            <w:rPr>
              <w:noProof/>
            </w:rPr>
            <w:t xml:space="preserve"> (midigator.com, n.d.)</w:t>
          </w:r>
          <w:r w:rsidR="00C77F02">
            <w:fldChar w:fldCharType="end"/>
          </w:r>
        </w:sdtContent>
      </w:sdt>
    </w:p>
    <w:p w14:paraId="5D53868A" w14:textId="4C99A1E3" w:rsidR="00AB76D6" w:rsidRDefault="00AB76D6" w:rsidP="00AB76D6">
      <w:pPr>
        <w:pStyle w:val="ListParagraph"/>
        <w:numPr>
          <w:ilvl w:val="0"/>
          <w:numId w:val="21"/>
        </w:numPr>
      </w:pPr>
      <w:r w:rsidRPr="00F96A44">
        <w:rPr>
          <w:b/>
          <w:bCs/>
        </w:rPr>
        <w:t>Financial Metrics</w:t>
      </w:r>
      <w:r w:rsidR="00F96A44" w:rsidRPr="00C77F02">
        <w:t>: Financial</w:t>
      </w:r>
      <w:r w:rsidR="00F96A44">
        <w:t xml:space="preserve"> metrics are a measure pf a company’s financial performance, health and stability. Visa’s financial performance and health is generally quite strong, evidence that could be backed up through the company’s ratio analysis. Strong financial metrics indicate the company’s competency with generating profits and mitigating cost.  </w:t>
      </w:r>
      <w:sdt>
        <w:sdtPr>
          <w:id w:val="565996665"/>
          <w:citation/>
        </w:sdtPr>
        <w:sdtEndPr/>
        <w:sdtContent>
          <w:r w:rsidR="00C77F02">
            <w:fldChar w:fldCharType="begin"/>
          </w:r>
          <w:r w:rsidR="00C77F02">
            <w:instrText xml:space="preserve"> CITATION Kli \l 2057 </w:instrText>
          </w:r>
          <w:r w:rsidR="00C77F02">
            <w:fldChar w:fldCharType="separate"/>
          </w:r>
          <w:r w:rsidR="00C77F02">
            <w:rPr>
              <w:noProof/>
            </w:rPr>
            <w:t>(Klipfolio, n.d.)</w:t>
          </w:r>
          <w:r w:rsidR="00C77F02">
            <w:fldChar w:fldCharType="end"/>
          </w:r>
        </w:sdtContent>
      </w:sdt>
    </w:p>
    <w:p w14:paraId="2783D696" w14:textId="51C466BC" w:rsidR="00AB76D6" w:rsidRPr="00F96A44" w:rsidRDefault="00AB76D6" w:rsidP="00AB76D6">
      <w:pPr>
        <w:pStyle w:val="ListParagraph"/>
        <w:numPr>
          <w:ilvl w:val="0"/>
          <w:numId w:val="21"/>
        </w:numPr>
        <w:rPr>
          <w:b/>
          <w:bCs/>
        </w:rPr>
      </w:pPr>
      <w:r w:rsidRPr="00F96A44">
        <w:rPr>
          <w:b/>
          <w:bCs/>
        </w:rPr>
        <w:t>Global Reac</w:t>
      </w:r>
      <w:r w:rsidR="00F96A44">
        <w:rPr>
          <w:b/>
          <w:bCs/>
        </w:rPr>
        <w:t xml:space="preserve">h: </w:t>
      </w:r>
      <w:r w:rsidR="00F96A44">
        <w:t xml:space="preserve">Global reach is a measure of a company’s </w:t>
      </w:r>
      <w:r w:rsidR="00446F52">
        <w:t xml:space="preserve">international performance. Visa has efficiently set up a payment network that spans most developed countries in the world. The global reach of Visa makes </w:t>
      </w:r>
      <w:r w:rsidR="00991220">
        <w:t xml:space="preserve">it a </w:t>
      </w:r>
      <w:r w:rsidR="00446F52">
        <w:t xml:space="preserve">pivotal product to companies and individuals that depend on international payment solutions. </w:t>
      </w:r>
    </w:p>
    <w:p w14:paraId="395EF6CF" w14:textId="6F3ED887" w:rsidR="00446F52" w:rsidRPr="00837E50" w:rsidRDefault="00AB76D6" w:rsidP="00446F52">
      <w:pPr>
        <w:pStyle w:val="ListParagraph"/>
        <w:numPr>
          <w:ilvl w:val="0"/>
          <w:numId w:val="21"/>
        </w:numPr>
        <w:rPr>
          <w:b/>
          <w:bCs/>
        </w:rPr>
      </w:pPr>
      <w:r w:rsidRPr="00F96A44">
        <w:rPr>
          <w:b/>
          <w:bCs/>
        </w:rPr>
        <w:t>Customer Satisfaction</w:t>
      </w:r>
      <w:r w:rsidR="00446F52">
        <w:rPr>
          <w:b/>
          <w:bCs/>
        </w:rPr>
        <w:t xml:space="preserve">: </w:t>
      </w:r>
      <w:r w:rsidR="00446F52">
        <w:t xml:space="preserve">Visa Inc. has a high level of customer satisfaction, which </w:t>
      </w:r>
      <w:r w:rsidR="00837E50">
        <w:t>reflects</w:t>
      </w:r>
      <w:r w:rsidR="00446F52">
        <w:t xml:space="preserve"> the company’s </w:t>
      </w:r>
      <w:r w:rsidR="00837E50">
        <w:t>an</w:t>
      </w:r>
      <w:r w:rsidR="00446F52">
        <w:t xml:space="preserve"> ability to deliver exemplary services to its customers. High customer </w:t>
      </w:r>
      <w:r w:rsidR="00837E50">
        <w:t>satisfaction</w:t>
      </w:r>
      <w:r w:rsidR="00446F52">
        <w:t xml:space="preserve">, and positive customer feedback work </w:t>
      </w:r>
      <w:r w:rsidR="00837E50">
        <w:t>join</w:t>
      </w:r>
      <w:r w:rsidR="00446F52">
        <w:t xml:space="preserve"> to create a positive brand image for Visa as well as its repeated </w:t>
      </w:r>
      <w:r w:rsidR="00837E50">
        <w:t>usage</w:t>
      </w:r>
      <w:r w:rsidR="00446F52">
        <w:t xml:space="preserve">. This also </w:t>
      </w:r>
      <w:r w:rsidR="00837E50">
        <w:t>acts as a green flag</w:t>
      </w:r>
      <w:r w:rsidR="00446F52">
        <w:t xml:space="preserve"> for prospective customers. </w:t>
      </w:r>
    </w:p>
    <w:p w14:paraId="5905B83A" w14:textId="1CF7F74B" w:rsidR="00837E50" w:rsidRDefault="00837E50" w:rsidP="00837E50">
      <w:pPr>
        <w:pStyle w:val="ListParagraph"/>
        <w:ind w:left="2880"/>
        <w:rPr>
          <w:b/>
          <w:bCs/>
        </w:rPr>
      </w:pPr>
    </w:p>
    <w:p w14:paraId="6FD6C51F" w14:textId="77777777" w:rsidR="00837E50" w:rsidRPr="00446F52" w:rsidRDefault="00837E50" w:rsidP="00837E50">
      <w:pPr>
        <w:pStyle w:val="ListParagraph"/>
        <w:ind w:left="2880"/>
        <w:rPr>
          <w:b/>
          <w:bCs/>
        </w:rPr>
      </w:pPr>
    </w:p>
    <w:p w14:paraId="14011766" w14:textId="77777777" w:rsidR="009F5C69" w:rsidRPr="00AB76D6" w:rsidRDefault="009F5C69" w:rsidP="009F5C69">
      <w:pPr>
        <w:numPr>
          <w:ilvl w:val="1"/>
          <w:numId w:val="17"/>
        </w:numPr>
      </w:pPr>
      <w:r w:rsidRPr="009F5C69">
        <w:rPr>
          <w:b/>
          <w:bCs/>
        </w:rPr>
        <w:t>Key Strategies </w:t>
      </w:r>
    </w:p>
    <w:p w14:paraId="22AA53C3" w14:textId="3CA3D65B" w:rsidR="00AB76D6" w:rsidRDefault="00AB76D6" w:rsidP="00AB76D6">
      <w:pPr>
        <w:ind w:left="1440"/>
      </w:pPr>
      <w:r>
        <w:t xml:space="preserve">Visa’s employs various strategies to maintain its competitive advantage while adapting to the ever-changing market climates. </w:t>
      </w:r>
      <w:r w:rsidR="00837E50">
        <w:t xml:space="preserve">Visa’s investments in research and innovation, partnerships, global expansion, security and compliance, a customer-centric approach to running its business, marketing and branding, acquisition and investments have significantly contributed to the company’s overall success and dominance in then digital payment industry. </w:t>
      </w:r>
    </w:p>
    <w:p w14:paraId="77698FF7" w14:textId="2EBD1382" w:rsidR="00DB5CF9" w:rsidRDefault="00DB5CF9" w:rsidP="00AB76D6">
      <w:pPr>
        <w:pStyle w:val="ListParagraph"/>
        <w:numPr>
          <w:ilvl w:val="0"/>
          <w:numId w:val="23"/>
        </w:numPr>
      </w:pPr>
      <w:r w:rsidRPr="00C77F02">
        <w:rPr>
          <w:b/>
          <w:bCs/>
        </w:rPr>
        <w:lastRenderedPageBreak/>
        <w:t>Research and Innovation</w:t>
      </w:r>
      <w:r w:rsidR="00837E50">
        <w:t xml:space="preserve">: By investing in implementing new technologies as well as funding research into new developments for the company, Visa </w:t>
      </w:r>
      <w:r w:rsidR="00991220">
        <w:t>can</w:t>
      </w:r>
      <w:r w:rsidR="00837E50">
        <w:t xml:space="preserve"> </w:t>
      </w:r>
      <w:r w:rsidR="00991220">
        <w:t xml:space="preserve">stay ahead in the market and continue to meet customer’s expectations. </w:t>
      </w:r>
    </w:p>
    <w:p w14:paraId="60C165C7" w14:textId="6D5F3281" w:rsidR="00DB5CF9" w:rsidRDefault="00DB5CF9" w:rsidP="00AB76D6">
      <w:pPr>
        <w:pStyle w:val="ListParagraph"/>
        <w:numPr>
          <w:ilvl w:val="0"/>
          <w:numId w:val="23"/>
        </w:numPr>
      </w:pPr>
      <w:r w:rsidRPr="00C77F02">
        <w:rPr>
          <w:b/>
          <w:bCs/>
        </w:rPr>
        <w:t>Partnerships</w:t>
      </w:r>
      <w:r w:rsidR="00991220">
        <w:t xml:space="preserve">: Working with other financial institutions, merchants, and technology providers enhances Visa’s overall business and broadens the number of services it can offer to consumers. </w:t>
      </w:r>
    </w:p>
    <w:p w14:paraId="53B87ACA" w14:textId="46A34CBA" w:rsidR="00DB5CF9" w:rsidRDefault="00DB5CF9" w:rsidP="00AB76D6">
      <w:pPr>
        <w:pStyle w:val="ListParagraph"/>
        <w:numPr>
          <w:ilvl w:val="0"/>
          <w:numId w:val="23"/>
        </w:numPr>
      </w:pPr>
      <w:r w:rsidRPr="00C77F02">
        <w:rPr>
          <w:b/>
          <w:bCs/>
        </w:rPr>
        <w:t>Global Expansion</w:t>
      </w:r>
      <w:r w:rsidR="00991220">
        <w:t>: As mentioned formerly, global expansion or global reach</w:t>
      </w:r>
      <w:r w:rsidR="00991220" w:rsidRPr="00991220">
        <w:t xml:space="preserve"> enhances its value proposition for businesses and consumers seeking international payment solutions.</w:t>
      </w:r>
      <w:r w:rsidR="00991220">
        <w:t xml:space="preserve"> Global expansion also ensures that the company can remain as the main choice of digital payment methods for growing economies.</w:t>
      </w:r>
    </w:p>
    <w:p w14:paraId="46970A1D" w14:textId="0766613F" w:rsidR="00D10BC7" w:rsidRDefault="00DB5CF9" w:rsidP="00D10BC7">
      <w:pPr>
        <w:pStyle w:val="ListParagraph"/>
        <w:numPr>
          <w:ilvl w:val="0"/>
          <w:numId w:val="23"/>
        </w:numPr>
      </w:pPr>
      <w:r w:rsidRPr="00C77F02">
        <w:rPr>
          <w:b/>
          <w:bCs/>
        </w:rPr>
        <w:t>Security and Compliance</w:t>
      </w:r>
      <w:r w:rsidR="00991220">
        <w:t>:</w:t>
      </w:r>
      <w:r w:rsidR="00D10BC7">
        <w:t xml:space="preserve"> As a company that handles huge financial transaction volume </w:t>
      </w:r>
      <w:r w:rsidR="002A6F83">
        <w:t>daily</w:t>
      </w:r>
      <w:r w:rsidR="00D10BC7">
        <w:t xml:space="preserve">, it is imperative for Visa to maintain a </w:t>
      </w:r>
      <w:r w:rsidR="002A6F83">
        <w:t>high-level</w:t>
      </w:r>
      <w:r w:rsidR="00D10BC7">
        <w:t xml:space="preserve"> business and customer security as well as compliance to</w:t>
      </w:r>
      <w:r w:rsidR="002A6F83">
        <w:t xml:space="preserve"> jurisdiction and data management protocols. This ensures customers trust the service offered and are comfortable investing in it.</w:t>
      </w:r>
    </w:p>
    <w:p w14:paraId="6090E0D5" w14:textId="2749D0EC" w:rsidR="00DB5CF9" w:rsidRDefault="00DB5CF9" w:rsidP="00AB76D6">
      <w:pPr>
        <w:pStyle w:val="ListParagraph"/>
        <w:numPr>
          <w:ilvl w:val="0"/>
          <w:numId w:val="23"/>
        </w:numPr>
      </w:pPr>
      <w:r w:rsidRPr="00C77F02">
        <w:rPr>
          <w:b/>
          <w:bCs/>
        </w:rPr>
        <w:t>Customer-Centric Approach</w:t>
      </w:r>
      <w:r w:rsidR="00991220">
        <w:t xml:space="preserve">: </w:t>
      </w:r>
      <w:r w:rsidR="002A6F83">
        <w:t>By tailoring the business to fit the evolving consumer need and upholding the sentiment of putting customers first, Visa can remain a relevant and valuable company.</w:t>
      </w:r>
    </w:p>
    <w:p w14:paraId="1AE147C6" w14:textId="6FA29E5E" w:rsidR="00DB5CF9" w:rsidRDefault="00DB5CF9" w:rsidP="00AB76D6">
      <w:pPr>
        <w:pStyle w:val="ListParagraph"/>
        <w:numPr>
          <w:ilvl w:val="0"/>
          <w:numId w:val="23"/>
        </w:numPr>
      </w:pPr>
      <w:r w:rsidRPr="00C77F02">
        <w:rPr>
          <w:b/>
          <w:bCs/>
        </w:rPr>
        <w:t>Marketing and Branding</w:t>
      </w:r>
      <w:r w:rsidR="002A6F83">
        <w:t xml:space="preserve">: Having a strong brand image is another way in which Visa </w:t>
      </w:r>
      <w:r w:rsidR="00B63606">
        <w:t>can</w:t>
      </w:r>
      <w:r w:rsidR="002A6F83">
        <w:t xml:space="preserve"> attract new customers. </w:t>
      </w:r>
    </w:p>
    <w:p w14:paraId="0EBA11E7" w14:textId="054ED092" w:rsidR="00AB76D6" w:rsidRPr="009F5C69" w:rsidRDefault="00DB5CF9" w:rsidP="00AB76D6">
      <w:pPr>
        <w:pStyle w:val="ListParagraph"/>
        <w:numPr>
          <w:ilvl w:val="0"/>
          <w:numId w:val="23"/>
        </w:numPr>
      </w:pPr>
      <w:r w:rsidRPr="00C77F02">
        <w:rPr>
          <w:b/>
          <w:bCs/>
        </w:rPr>
        <w:t>Acquisitions and Investments</w:t>
      </w:r>
      <w:r w:rsidR="00991220">
        <w:t>:</w:t>
      </w:r>
      <w:r w:rsidR="00B63606">
        <w:t xml:space="preserve"> Visa is able to enhance what it </w:t>
      </w:r>
      <w:r w:rsidR="00C77F02">
        <w:t>offers</w:t>
      </w:r>
      <w:r w:rsidR="00B63606">
        <w:t xml:space="preserve"> to its consumers by strategically investing in companies that align with its business. </w:t>
      </w:r>
      <w:r w:rsidR="00AB76D6">
        <w:br/>
      </w:r>
    </w:p>
    <w:p w14:paraId="7ABA6B8F" w14:textId="3BA41B26" w:rsidR="002A0196" w:rsidRDefault="002A0196"/>
    <w:p w14:paraId="724D766B" w14:textId="77777777" w:rsidR="00DC04B7" w:rsidRDefault="00DC04B7" w:rsidP="00DC04B7">
      <w:pPr>
        <w:rPr>
          <w:rFonts w:cs="Calibri"/>
          <w:shd w:val="clear" w:color="auto" w:fill="00FF00"/>
        </w:rPr>
      </w:pPr>
      <w:r>
        <w:rPr>
          <w:rFonts w:cs="Calibri"/>
          <w:shd w:val="clear" w:color="auto" w:fill="00FF00"/>
        </w:rPr>
        <w:t>The global payments industry has been growing rapidly ever since the aftermath of the 2008 recession, in 2018 the industry totaled revenues of 1.9 trillion.</w:t>
      </w:r>
    </w:p>
    <w:p w14:paraId="20C4E235" w14:textId="77777777" w:rsidR="00DC04B7" w:rsidRDefault="00DC04B7" w:rsidP="00DC04B7">
      <w:pPr>
        <w:rPr>
          <w:rFonts w:cs="Calibri"/>
          <w:shd w:val="clear" w:color="auto" w:fill="00FF00"/>
        </w:rPr>
      </w:pPr>
    </w:p>
    <w:p w14:paraId="3C26BE21" w14:textId="77777777" w:rsidR="00DC04B7" w:rsidRDefault="00DC04B7" w:rsidP="00DC04B7">
      <w:pPr>
        <w:rPr>
          <w:rFonts w:cs="Calibri"/>
          <w:shd w:val="clear" w:color="auto" w:fill="00FF00"/>
        </w:rPr>
      </w:pPr>
      <w:r>
        <w:rPr>
          <w:rFonts w:cs="Calibri"/>
          <w:shd w:val="clear" w:color="auto" w:fill="00FF00"/>
        </w:rPr>
        <w:t>The strategy for Visa is to expand their core Business which consists of Core Products (cards), Tap to pay technology, Ecommerce (outpacing physical retail), Access &amp; Acceptance (new markets), Partnerships (through fintech development) and Ventures (strategic investments to enrich broader payment systems). In 2019 Visa acquired earth por EarthPort that allows Visa to reach 99 percent of the world’s banked population in 88 countries, including the top 50.</w:t>
      </w:r>
    </w:p>
    <w:p w14:paraId="3558DEA4" w14:textId="77777777" w:rsidR="00DC04B7" w:rsidRDefault="00DC04B7" w:rsidP="00DC04B7">
      <w:pPr>
        <w:rPr>
          <w:rFonts w:cs="Calibri"/>
          <w:shd w:val="clear" w:color="auto" w:fill="00FF00"/>
        </w:rPr>
      </w:pPr>
    </w:p>
    <w:p w14:paraId="2D620D93" w14:textId="77777777" w:rsidR="00DC04B7" w:rsidRDefault="00DC04B7" w:rsidP="00DC04B7">
      <w:r>
        <w:rPr>
          <w:rFonts w:cs="Calibri"/>
          <w:shd w:val="clear" w:color="auto" w:fill="00FF00"/>
        </w:rPr>
        <w:t>Visa provides auxiliary or value – added services which is a growth opportunity. Visa’s fraud and security services run by artificial intelligence-powered risk scoring engine helped financial institutions prevent about $25 billion in fraud. In addition, Visa provides tokenization services and their product, developed by their provider Bell ID, allows users for much lower fees. Visa also provides data analytics, settlement and other services within this group of services.</w:t>
      </w:r>
    </w:p>
    <w:p w14:paraId="25AF8BA2" w14:textId="77777777" w:rsidR="00DC04B7" w:rsidRDefault="00DC04B7" w:rsidP="00DC04B7">
      <w:pPr>
        <w:rPr>
          <w:rFonts w:cs="Calibri"/>
          <w:shd w:val="clear" w:color="auto" w:fill="00FF00"/>
        </w:rPr>
      </w:pPr>
    </w:p>
    <w:p w14:paraId="5A8C876A" w14:textId="77777777" w:rsidR="00DC04B7" w:rsidRDefault="00DC04B7" w:rsidP="00DC04B7">
      <w:r>
        <w:rPr>
          <w:rFonts w:cs="Calibri"/>
          <w:shd w:val="clear" w:color="auto" w:fill="00FF00"/>
        </w:rPr>
        <w:t xml:space="preserve">Mastercard’s strategy is to broaden their capabilities as consumers and merchants demand enhanced payment options, with Mastercard focusing its technology on the business-to-business market which </w:t>
      </w:r>
      <w:r>
        <w:rPr>
          <w:rFonts w:cs="Calibri"/>
          <w:shd w:val="clear" w:color="auto" w:fill="00FF00"/>
        </w:rPr>
        <w:lastRenderedPageBreak/>
        <w:t>Mastercard estimated is a $25 trillion market annually in the U.S. Mastercard have begun implementing this strategy through various acquisitions.</w:t>
      </w:r>
    </w:p>
    <w:p w14:paraId="412CE4AC" w14:textId="77777777" w:rsidR="00DC04B7" w:rsidRDefault="00DC04B7">
      <w:bookmarkStart w:id="0" w:name="_GoBack"/>
      <w:bookmarkEnd w:id="0"/>
    </w:p>
    <w:p w14:paraId="21B25DCB" w14:textId="52C4F82E" w:rsidR="00C77F02" w:rsidRDefault="00C77F02"/>
    <w:p w14:paraId="6971E8D5" w14:textId="51FE1157" w:rsidR="00C77F02" w:rsidRDefault="00C77F02"/>
    <w:p w14:paraId="1AEC07E8" w14:textId="6BF805D4" w:rsidR="00C77F02" w:rsidRDefault="00C77F02"/>
    <w:p w14:paraId="250478D9" w14:textId="379CE6C9" w:rsidR="00C77F02" w:rsidRDefault="00C77F02"/>
    <w:p w14:paraId="194E9193" w14:textId="76338519" w:rsidR="00C77F02" w:rsidRDefault="00C77F02"/>
    <w:p w14:paraId="318601F9" w14:textId="7D068AE4" w:rsidR="00C77F02" w:rsidRDefault="00C77F02"/>
    <w:p w14:paraId="7F0B3A12" w14:textId="6CBFBE72" w:rsidR="00C77F02" w:rsidRDefault="00C77F02"/>
    <w:sdt>
      <w:sdtPr>
        <w:rPr>
          <w:rFonts w:asciiTheme="minorHAnsi" w:eastAsiaTheme="minorHAnsi" w:hAnsiTheme="minorHAnsi" w:cstheme="minorBidi"/>
          <w:color w:val="auto"/>
          <w:kern w:val="2"/>
          <w:sz w:val="22"/>
          <w:szCs w:val="22"/>
          <w:lang w:val="en-GB"/>
          <w14:ligatures w14:val="standardContextual"/>
        </w:rPr>
        <w:id w:val="-1322112576"/>
        <w:docPartObj>
          <w:docPartGallery w:val="Bibliographies"/>
          <w:docPartUnique/>
        </w:docPartObj>
      </w:sdtPr>
      <w:sdtEndPr/>
      <w:sdtContent>
        <w:p w14:paraId="19BCD8B2" w14:textId="26F3B49C" w:rsidR="00C77F02" w:rsidRPr="00C77F02" w:rsidRDefault="00C77F02">
          <w:pPr>
            <w:pStyle w:val="Heading1"/>
            <w:rPr>
              <w:rFonts w:asciiTheme="minorHAnsi" w:hAnsiTheme="minorHAnsi" w:cstheme="minorHAnsi"/>
            </w:rPr>
          </w:pPr>
          <w:r w:rsidRPr="00C77F02">
            <w:rPr>
              <w:rFonts w:asciiTheme="minorHAnsi" w:hAnsiTheme="minorHAnsi" w:cstheme="minorHAnsi"/>
            </w:rPr>
            <w:t>References</w:t>
          </w:r>
          <w:r>
            <w:rPr>
              <w:rFonts w:asciiTheme="minorHAnsi" w:hAnsiTheme="minorHAnsi" w:cstheme="minorHAnsi"/>
            </w:rPr>
            <w:t>:</w:t>
          </w:r>
        </w:p>
        <w:sdt>
          <w:sdtPr>
            <w:rPr>
              <w:rFonts w:cstheme="minorHAnsi"/>
            </w:rPr>
            <w:id w:val="-573587230"/>
            <w:bibliography/>
          </w:sdtPr>
          <w:sdtEndPr>
            <w:rPr>
              <w:rFonts w:cstheme="minorBidi"/>
            </w:rPr>
          </w:sdtEndPr>
          <w:sdtContent>
            <w:p w14:paraId="3386FA8C" w14:textId="77777777" w:rsidR="00C77F02" w:rsidRPr="00C77F02" w:rsidRDefault="00C77F02" w:rsidP="00C77F02">
              <w:pPr>
                <w:pStyle w:val="Bibliography"/>
                <w:ind w:left="720" w:hanging="720"/>
                <w:rPr>
                  <w:rFonts w:cstheme="minorHAnsi"/>
                  <w:i/>
                  <w:iCs/>
                  <w:noProof/>
                  <w:sz w:val="24"/>
                  <w:szCs w:val="24"/>
                  <w:lang w:val="en-US"/>
                </w:rPr>
              </w:pPr>
              <w:r w:rsidRPr="00C77F02">
                <w:rPr>
                  <w:rFonts w:cstheme="minorHAnsi"/>
                  <w:i/>
                  <w:iCs/>
                </w:rPr>
                <w:fldChar w:fldCharType="begin"/>
              </w:r>
              <w:r w:rsidRPr="00C77F02">
                <w:rPr>
                  <w:rFonts w:cstheme="minorHAnsi"/>
                  <w:i/>
                  <w:iCs/>
                </w:rPr>
                <w:instrText xml:space="preserve"> BIBLIOGRAPHY </w:instrText>
              </w:r>
              <w:r w:rsidRPr="00C77F02">
                <w:rPr>
                  <w:rFonts w:cstheme="minorHAnsi"/>
                  <w:i/>
                  <w:iCs/>
                </w:rPr>
                <w:fldChar w:fldCharType="separate"/>
              </w:r>
              <w:r w:rsidRPr="00C77F02">
                <w:rPr>
                  <w:rFonts w:cstheme="minorHAnsi"/>
                  <w:i/>
                  <w:iCs/>
                  <w:noProof/>
                  <w:lang w:val="en-US"/>
                </w:rPr>
                <w:t>Hayes, A. (2022, August 23). Market Share: What It Is and the Formula for Calculating It. Retrieved from Investopedia : https://www.investopedia.com/terms/m/marketshare.asp</w:t>
              </w:r>
            </w:p>
            <w:p w14:paraId="5C468B59" w14:textId="77777777" w:rsidR="00C77F02" w:rsidRPr="00C77F02" w:rsidRDefault="00C77F02" w:rsidP="00C77F02">
              <w:pPr>
                <w:pStyle w:val="Bibliography"/>
                <w:ind w:left="720" w:hanging="720"/>
                <w:rPr>
                  <w:rFonts w:cstheme="minorHAnsi"/>
                  <w:i/>
                  <w:iCs/>
                  <w:noProof/>
                  <w:lang w:val="en-US"/>
                </w:rPr>
              </w:pPr>
              <w:r w:rsidRPr="00C77F02">
                <w:rPr>
                  <w:rFonts w:cstheme="minorHAnsi"/>
                  <w:i/>
                  <w:iCs/>
                  <w:noProof/>
                  <w:lang w:val="en-US"/>
                </w:rPr>
                <w:t>Klipfolio. (n.d.). What are Financial Metrics. Retrieved from Klipfolio: https://www.klipfolio.com/resources/kpi-examples/financial#:~:text=Financial%20metrics%20are%20used%20to,statement%2C%20and%20cash%20flow%20statement.</w:t>
              </w:r>
            </w:p>
            <w:p w14:paraId="195CC1E8" w14:textId="77777777" w:rsidR="00C77F02" w:rsidRPr="00C77F02" w:rsidRDefault="00C77F02" w:rsidP="00C77F02">
              <w:pPr>
                <w:pStyle w:val="Bibliography"/>
                <w:ind w:left="720" w:hanging="720"/>
                <w:rPr>
                  <w:rFonts w:cstheme="minorHAnsi"/>
                  <w:i/>
                  <w:iCs/>
                  <w:noProof/>
                  <w:lang w:val="en-US"/>
                </w:rPr>
              </w:pPr>
              <w:r w:rsidRPr="00C77F02">
                <w:rPr>
                  <w:rFonts w:cstheme="minorHAnsi"/>
                  <w:i/>
                  <w:iCs/>
                  <w:noProof/>
                  <w:lang w:val="en-US"/>
                </w:rPr>
                <w:t>midigator.com. (n.d.). Average Monthly Transaction Volume. Retrieved from MiDiGATOR: https://midigator.com/glossary/average-monthly-transaction-volume/#:~:text=A%20merchant%27s%20average%20monthly%20transaction,asked%20to%20provide%20an%20estimate.</w:t>
              </w:r>
            </w:p>
            <w:p w14:paraId="7CD1D48A" w14:textId="67A15A26" w:rsidR="00C77F02" w:rsidRDefault="00C77F02" w:rsidP="00C77F02">
              <w:r w:rsidRPr="00C77F02">
                <w:rPr>
                  <w:rFonts w:cstheme="minorHAnsi"/>
                  <w:b/>
                  <w:bCs/>
                  <w:i/>
                  <w:iCs/>
                  <w:noProof/>
                </w:rPr>
                <w:fldChar w:fldCharType="end"/>
              </w:r>
            </w:p>
          </w:sdtContent>
        </w:sdt>
      </w:sdtContent>
    </w:sdt>
    <w:p w14:paraId="12FA09A3" w14:textId="77777777" w:rsidR="00C77F02" w:rsidRDefault="00C77F02"/>
    <w:sectPr w:rsidR="00C77F0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C40C93" w14:textId="77777777" w:rsidR="00B20200" w:rsidRDefault="00B20200" w:rsidP="00837E50">
      <w:pPr>
        <w:spacing w:after="0" w:line="240" w:lineRule="auto"/>
      </w:pPr>
      <w:r>
        <w:separator/>
      </w:r>
    </w:p>
  </w:endnote>
  <w:endnote w:type="continuationSeparator" w:id="0">
    <w:p w14:paraId="6AB595F3" w14:textId="77777777" w:rsidR="00B20200" w:rsidRDefault="00B20200" w:rsidP="00837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6A0AD7" w14:textId="77777777" w:rsidR="00B20200" w:rsidRDefault="00B20200" w:rsidP="00837E50">
      <w:pPr>
        <w:spacing w:after="0" w:line="240" w:lineRule="auto"/>
      </w:pPr>
      <w:r>
        <w:separator/>
      </w:r>
    </w:p>
  </w:footnote>
  <w:footnote w:type="continuationSeparator" w:id="0">
    <w:p w14:paraId="0BC5B313" w14:textId="77777777" w:rsidR="00B20200" w:rsidRDefault="00B20200" w:rsidP="00837E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E54AF"/>
    <w:multiLevelType w:val="hybridMultilevel"/>
    <w:tmpl w:val="AE6ACE3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15:restartNumberingAfterBreak="0">
    <w:nsid w:val="070C0618"/>
    <w:multiLevelType w:val="multilevel"/>
    <w:tmpl w:val="CFF0B9E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8A37492"/>
    <w:multiLevelType w:val="hybridMultilevel"/>
    <w:tmpl w:val="9AC4C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7662BB"/>
    <w:multiLevelType w:val="hybridMultilevel"/>
    <w:tmpl w:val="F24287D8"/>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4" w15:restartNumberingAfterBreak="0">
    <w:nsid w:val="18774EF4"/>
    <w:multiLevelType w:val="hybridMultilevel"/>
    <w:tmpl w:val="8432F05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01">
      <w:start w:val="1"/>
      <w:numFmt w:val="bullet"/>
      <w:lvlText w:val=""/>
      <w:lvlJc w:val="left"/>
      <w:pPr>
        <w:ind w:left="2160" w:hanging="36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AD61DE"/>
    <w:multiLevelType w:val="hybridMultilevel"/>
    <w:tmpl w:val="9D02F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23143D"/>
    <w:multiLevelType w:val="multilevel"/>
    <w:tmpl w:val="15C6B7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550380F"/>
    <w:multiLevelType w:val="multilevel"/>
    <w:tmpl w:val="8E76DE3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27D30435"/>
    <w:multiLevelType w:val="multilevel"/>
    <w:tmpl w:val="407E80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42A6CBE"/>
    <w:multiLevelType w:val="multilevel"/>
    <w:tmpl w:val="F3605A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7A02914"/>
    <w:multiLevelType w:val="multilevel"/>
    <w:tmpl w:val="48FEA59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389614E6"/>
    <w:multiLevelType w:val="multilevel"/>
    <w:tmpl w:val="FAF2E2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8C65593"/>
    <w:multiLevelType w:val="hybridMultilevel"/>
    <w:tmpl w:val="4B0A3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9F3DBF"/>
    <w:multiLevelType w:val="multilevel"/>
    <w:tmpl w:val="0E669E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ABC79C5"/>
    <w:multiLevelType w:val="multilevel"/>
    <w:tmpl w:val="B93CE8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EFE57B8"/>
    <w:multiLevelType w:val="multilevel"/>
    <w:tmpl w:val="120E0C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F1B21ED"/>
    <w:multiLevelType w:val="multilevel"/>
    <w:tmpl w:val="5894BE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1B16379"/>
    <w:multiLevelType w:val="multilevel"/>
    <w:tmpl w:val="ED58F0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1C43CEB"/>
    <w:multiLevelType w:val="hybridMultilevel"/>
    <w:tmpl w:val="64D0F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2917E4"/>
    <w:multiLevelType w:val="hybridMultilevel"/>
    <w:tmpl w:val="52202C7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44D02411"/>
    <w:multiLevelType w:val="hybridMultilevel"/>
    <w:tmpl w:val="AFF4A58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1" w15:restartNumberingAfterBreak="0">
    <w:nsid w:val="44D15293"/>
    <w:multiLevelType w:val="multilevel"/>
    <w:tmpl w:val="38187DD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485D65C3"/>
    <w:multiLevelType w:val="multilevel"/>
    <w:tmpl w:val="790EAD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EA30151"/>
    <w:multiLevelType w:val="hybridMultilevel"/>
    <w:tmpl w:val="3FA8712C"/>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4" w15:restartNumberingAfterBreak="0">
    <w:nsid w:val="4F5834DC"/>
    <w:multiLevelType w:val="multilevel"/>
    <w:tmpl w:val="57F8299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4FB76D27"/>
    <w:multiLevelType w:val="multilevel"/>
    <w:tmpl w:val="703C11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41164F3"/>
    <w:multiLevelType w:val="hybridMultilevel"/>
    <w:tmpl w:val="109EF40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7" w15:restartNumberingAfterBreak="0">
    <w:nsid w:val="687A543E"/>
    <w:multiLevelType w:val="multilevel"/>
    <w:tmpl w:val="1BD88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B637615"/>
    <w:multiLevelType w:val="multilevel"/>
    <w:tmpl w:val="A24EF1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C3A472F"/>
    <w:multiLevelType w:val="multilevel"/>
    <w:tmpl w:val="422C0A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6365965"/>
    <w:multiLevelType w:val="multilevel"/>
    <w:tmpl w:val="5DD048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6C828EF"/>
    <w:multiLevelType w:val="multilevel"/>
    <w:tmpl w:val="46B63F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8"/>
  </w:num>
  <w:num w:numId="2">
    <w:abstractNumId w:val="8"/>
  </w:num>
  <w:num w:numId="3">
    <w:abstractNumId w:val="6"/>
  </w:num>
  <w:num w:numId="4">
    <w:abstractNumId w:val="13"/>
  </w:num>
  <w:num w:numId="5">
    <w:abstractNumId w:val="14"/>
  </w:num>
  <w:num w:numId="6">
    <w:abstractNumId w:val="31"/>
  </w:num>
  <w:num w:numId="7">
    <w:abstractNumId w:val="30"/>
  </w:num>
  <w:num w:numId="8">
    <w:abstractNumId w:val="29"/>
  </w:num>
  <w:num w:numId="9">
    <w:abstractNumId w:val="25"/>
  </w:num>
  <w:num w:numId="10">
    <w:abstractNumId w:val="16"/>
  </w:num>
  <w:num w:numId="11">
    <w:abstractNumId w:val="27"/>
  </w:num>
  <w:num w:numId="12">
    <w:abstractNumId w:val="15"/>
  </w:num>
  <w:num w:numId="13">
    <w:abstractNumId w:val="17"/>
  </w:num>
  <w:num w:numId="14">
    <w:abstractNumId w:val="9"/>
  </w:num>
  <w:num w:numId="15">
    <w:abstractNumId w:val="22"/>
  </w:num>
  <w:num w:numId="16">
    <w:abstractNumId w:val="11"/>
  </w:num>
  <w:num w:numId="17">
    <w:abstractNumId w:val="4"/>
  </w:num>
  <w:num w:numId="18">
    <w:abstractNumId w:val="19"/>
  </w:num>
  <w:num w:numId="19">
    <w:abstractNumId w:val="20"/>
  </w:num>
  <w:num w:numId="20">
    <w:abstractNumId w:val="0"/>
  </w:num>
  <w:num w:numId="21">
    <w:abstractNumId w:val="3"/>
  </w:num>
  <w:num w:numId="22">
    <w:abstractNumId w:val="23"/>
  </w:num>
  <w:num w:numId="23">
    <w:abstractNumId w:val="26"/>
  </w:num>
  <w:num w:numId="24">
    <w:abstractNumId w:val="2"/>
  </w:num>
  <w:num w:numId="25">
    <w:abstractNumId w:val="12"/>
  </w:num>
  <w:num w:numId="26">
    <w:abstractNumId w:val="18"/>
  </w:num>
  <w:num w:numId="27">
    <w:abstractNumId w:val="5"/>
  </w:num>
  <w:num w:numId="28">
    <w:abstractNumId w:val="24"/>
  </w:num>
  <w:num w:numId="29">
    <w:abstractNumId w:val="21"/>
  </w:num>
  <w:num w:numId="30">
    <w:abstractNumId w:val="1"/>
  </w:num>
  <w:num w:numId="31">
    <w:abstractNumId w:val="7"/>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C69"/>
    <w:rsid w:val="0029704E"/>
    <w:rsid w:val="002A0196"/>
    <w:rsid w:val="002A6F83"/>
    <w:rsid w:val="00446F52"/>
    <w:rsid w:val="004C6AC1"/>
    <w:rsid w:val="006F4CA9"/>
    <w:rsid w:val="00837E50"/>
    <w:rsid w:val="00864D0C"/>
    <w:rsid w:val="009828EA"/>
    <w:rsid w:val="00991220"/>
    <w:rsid w:val="009F5C69"/>
    <w:rsid w:val="00AB76D6"/>
    <w:rsid w:val="00B20200"/>
    <w:rsid w:val="00B63606"/>
    <w:rsid w:val="00C77F02"/>
    <w:rsid w:val="00D10BC7"/>
    <w:rsid w:val="00D210AF"/>
    <w:rsid w:val="00DB5CF9"/>
    <w:rsid w:val="00DC04B7"/>
    <w:rsid w:val="00EC0272"/>
    <w:rsid w:val="00F96A44"/>
    <w:rsid w:val="00FE75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75E84"/>
  <w15:chartTrackingRefBased/>
  <w15:docId w15:val="{27CC47E8-6F14-45DE-AB18-CF2EA54F6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77F02"/>
    <w:pPr>
      <w:keepNext/>
      <w:keepLines/>
      <w:spacing w:before="240" w:after="0"/>
      <w:outlineLvl w:val="0"/>
    </w:pPr>
    <w:rPr>
      <w:rFonts w:asciiTheme="majorHAnsi" w:eastAsiaTheme="majorEastAsia" w:hAnsiTheme="majorHAnsi" w:cstheme="majorBidi"/>
      <w:color w:val="2F5496" w:themeColor="accent1" w:themeShade="BF"/>
      <w:kern w:val="0"/>
      <w:sz w:val="32"/>
      <w:szCs w:val="32"/>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5C69"/>
    <w:pPr>
      <w:ind w:left="720"/>
      <w:contextualSpacing/>
    </w:pPr>
  </w:style>
  <w:style w:type="table" w:styleId="TableGrid">
    <w:name w:val="Table Grid"/>
    <w:basedOn w:val="TableNormal"/>
    <w:uiPriority w:val="39"/>
    <w:rsid w:val="00EC0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828EA"/>
    <w:rPr>
      <w:sz w:val="16"/>
      <w:szCs w:val="16"/>
    </w:rPr>
  </w:style>
  <w:style w:type="paragraph" w:styleId="CommentText">
    <w:name w:val="annotation text"/>
    <w:basedOn w:val="Normal"/>
    <w:link w:val="CommentTextChar"/>
    <w:unhideWhenUsed/>
    <w:rsid w:val="009828EA"/>
    <w:pPr>
      <w:spacing w:line="240" w:lineRule="auto"/>
    </w:pPr>
    <w:rPr>
      <w:sz w:val="20"/>
      <w:szCs w:val="20"/>
    </w:rPr>
  </w:style>
  <w:style w:type="character" w:customStyle="1" w:styleId="CommentTextChar">
    <w:name w:val="Comment Text Char"/>
    <w:basedOn w:val="DefaultParagraphFont"/>
    <w:link w:val="CommentText"/>
    <w:uiPriority w:val="99"/>
    <w:semiHidden/>
    <w:rsid w:val="009828EA"/>
    <w:rPr>
      <w:sz w:val="20"/>
      <w:szCs w:val="20"/>
    </w:rPr>
  </w:style>
  <w:style w:type="paragraph" w:styleId="CommentSubject">
    <w:name w:val="annotation subject"/>
    <w:basedOn w:val="CommentText"/>
    <w:next w:val="CommentText"/>
    <w:link w:val="CommentSubjectChar"/>
    <w:uiPriority w:val="99"/>
    <w:semiHidden/>
    <w:unhideWhenUsed/>
    <w:rsid w:val="009828EA"/>
    <w:rPr>
      <w:b/>
      <w:bCs/>
    </w:rPr>
  </w:style>
  <w:style w:type="character" w:customStyle="1" w:styleId="CommentSubjectChar">
    <w:name w:val="Comment Subject Char"/>
    <w:basedOn w:val="CommentTextChar"/>
    <w:link w:val="CommentSubject"/>
    <w:uiPriority w:val="99"/>
    <w:semiHidden/>
    <w:rsid w:val="009828EA"/>
    <w:rPr>
      <w:b/>
      <w:bCs/>
      <w:sz w:val="20"/>
      <w:szCs w:val="20"/>
    </w:rPr>
  </w:style>
  <w:style w:type="paragraph" w:styleId="BalloonText">
    <w:name w:val="Balloon Text"/>
    <w:basedOn w:val="Normal"/>
    <w:link w:val="BalloonTextChar"/>
    <w:uiPriority w:val="99"/>
    <w:semiHidden/>
    <w:unhideWhenUsed/>
    <w:rsid w:val="009828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8EA"/>
    <w:rPr>
      <w:rFonts w:ascii="Segoe UI" w:hAnsi="Segoe UI" w:cs="Segoe UI"/>
      <w:sz w:val="18"/>
      <w:szCs w:val="18"/>
    </w:rPr>
  </w:style>
  <w:style w:type="paragraph" w:styleId="Header">
    <w:name w:val="header"/>
    <w:basedOn w:val="Normal"/>
    <w:link w:val="HeaderChar"/>
    <w:uiPriority w:val="99"/>
    <w:unhideWhenUsed/>
    <w:rsid w:val="00837E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7E50"/>
  </w:style>
  <w:style w:type="paragraph" w:styleId="Footer">
    <w:name w:val="footer"/>
    <w:basedOn w:val="Normal"/>
    <w:link w:val="FooterChar"/>
    <w:uiPriority w:val="99"/>
    <w:unhideWhenUsed/>
    <w:rsid w:val="00837E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7E50"/>
  </w:style>
  <w:style w:type="paragraph" w:styleId="Revision">
    <w:name w:val="Revision"/>
    <w:hidden/>
    <w:uiPriority w:val="99"/>
    <w:semiHidden/>
    <w:rsid w:val="00837E50"/>
    <w:pPr>
      <w:spacing w:after="0" w:line="240" w:lineRule="auto"/>
    </w:pPr>
  </w:style>
  <w:style w:type="character" w:customStyle="1" w:styleId="Heading1Char">
    <w:name w:val="Heading 1 Char"/>
    <w:basedOn w:val="DefaultParagraphFont"/>
    <w:link w:val="Heading1"/>
    <w:uiPriority w:val="9"/>
    <w:rsid w:val="00C77F02"/>
    <w:rPr>
      <w:rFonts w:asciiTheme="majorHAnsi" w:eastAsiaTheme="majorEastAsia" w:hAnsiTheme="majorHAnsi" w:cstheme="majorBidi"/>
      <w:color w:val="2F5496" w:themeColor="accent1" w:themeShade="BF"/>
      <w:kern w:val="0"/>
      <w:sz w:val="32"/>
      <w:szCs w:val="32"/>
      <w:lang w:val="en-US"/>
      <w14:ligatures w14:val="none"/>
    </w:rPr>
  </w:style>
  <w:style w:type="paragraph" w:styleId="Bibliography">
    <w:name w:val="Bibliography"/>
    <w:basedOn w:val="Normal"/>
    <w:next w:val="Normal"/>
    <w:uiPriority w:val="37"/>
    <w:unhideWhenUsed/>
    <w:rsid w:val="00C77F02"/>
  </w:style>
  <w:style w:type="paragraph" w:customStyle="1" w:styleId="TableStyle2">
    <w:name w:val="Table Style 2"/>
    <w:rsid w:val="00DC04B7"/>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sz w:val="20"/>
      <w:szCs w:val="20"/>
      <w:bdr w:val="nil"/>
      <w:lang w:val="de-DE"/>
      <w14:textOutline w14:w="0" w14:cap="flat" w14:cmpd="sng" w14:algn="ctr">
        <w14:noFill/>
        <w14:prstDash w14:val="solid"/>
        <w14:bevel/>
      </w14:textOutli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10161">
      <w:bodyDiv w:val="1"/>
      <w:marLeft w:val="0"/>
      <w:marRight w:val="0"/>
      <w:marTop w:val="0"/>
      <w:marBottom w:val="0"/>
      <w:divBdr>
        <w:top w:val="none" w:sz="0" w:space="0" w:color="auto"/>
        <w:left w:val="none" w:sz="0" w:space="0" w:color="auto"/>
        <w:bottom w:val="none" w:sz="0" w:space="0" w:color="auto"/>
        <w:right w:val="none" w:sz="0" w:space="0" w:color="auto"/>
      </w:divBdr>
    </w:div>
    <w:div w:id="438064962">
      <w:bodyDiv w:val="1"/>
      <w:marLeft w:val="0"/>
      <w:marRight w:val="0"/>
      <w:marTop w:val="0"/>
      <w:marBottom w:val="0"/>
      <w:divBdr>
        <w:top w:val="none" w:sz="0" w:space="0" w:color="auto"/>
        <w:left w:val="none" w:sz="0" w:space="0" w:color="auto"/>
        <w:bottom w:val="none" w:sz="0" w:space="0" w:color="auto"/>
        <w:right w:val="none" w:sz="0" w:space="0" w:color="auto"/>
      </w:divBdr>
    </w:div>
    <w:div w:id="990720430">
      <w:bodyDiv w:val="1"/>
      <w:marLeft w:val="0"/>
      <w:marRight w:val="0"/>
      <w:marTop w:val="0"/>
      <w:marBottom w:val="0"/>
      <w:divBdr>
        <w:top w:val="none" w:sz="0" w:space="0" w:color="auto"/>
        <w:left w:val="none" w:sz="0" w:space="0" w:color="auto"/>
        <w:bottom w:val="none" w:sz="0" w:space="0" w:color="auto"/>
        <w:right w:val="none" w:sz="0" w:space="0" w:color="auto"/>
      </w:divBdr>
    </w:div>
    <w:div w:id="1015111365">
      <w:bodyDiv w:val="1"/>
      <w:marLeft w:val="0"/>
      <w:marRight w:val="0"/>
      <w:marTop w:val="0"/>
      <w:marBottom w:val="0"/>
      <w:divBdr>
        <w:top w:val="none" w:sz="0" w:space="0" w:color="auto"/>
        <w:left w:val="none" w:sz="0" w:space="0" w:color="auto"/>
        <w:bottom w:val="none" w:sz="0" w:space="0" w:color="auto"/>
        <w:right w:val="none" w:sz="0" w:space="0" w:color="auto"/>
      </w:divBdr>
    </w:div>
    <w:div w:id="1102190530">
      <w:bodyDiv w:val="1"/>
      <w:marLeft w:val="0"/>
      <w:marRight w:val="0"/>
      <w:marTop w:val="0"/>
      <w:marBottom w:val="0"/>
      <w:divBdr>
        <w:top w:val="none" w:sz="0" w:space="0" w:color="auto"/>
        <w:left w:val="none" w:sz="0" w:space="0" w:color="auto"/>
        <w:bottom w:val="none" w:sz="0" w:space="0" w:color="auto"/>
        <w:right w:val="none" w:sz="0" w:space="0" w:color="auto"/>
      </w:divBdr>
    </w:div>
    <w:div w:id="1342203095">
      <w:bodyDiv w:val="1"/>
      <w:marLeft w:val="0"/>
      <w:marRight w:val="0"/>
      <w:marTop w:val="0"/>
      <w:marBottom w:val="0"/>
      <w:divBdr>
        <w:top w:val="none" w:sz="0" w:space="0" w:color="auto"/>
        <w:left w:val="none" w:sz="0" w:space="0" w:color="auto"/>
        <w:bottom w:val="none" w:sz="0" w:space="0" w:color="auto"/>
        <w:right w:val="none" w:sz="0" w:space="0" w:color="auto"/>
      </w:divBdr>
    </w:div>
    <w:div w:id="1467047242">
      <w:bodyDiv w:val="1"/>
      <w:marLeft w:val="0"/>
      <w:marRight w:val="0"/>
      <w:marTop w:val="0"/>
      <w:marBottom w:val="0"/>
      <w:divBdr>
        <w:top w:val="none" w:sz="0" w:space="0" w:color="auto"/>
        <w:left w:val="none" w:sz="0" w:space="0" w:color="auto"/>
        <w:bottom w:val="none" w:sz="0" w:space="0" w:color="auto"/>
        <w:right w:val="none" w:sz="0" w:space="0" w:color="auto"/>
      </w:divBdr>
    </w:div>
    <w:div w:id="1692100802">
      <w:bodyDiv w:val="1"/>
      <w:marLeft w:val="0"/>
      <w:marRight w:val="0"/>
      <w:marTop w:val="0"/>
      <w:marBottom w:val="0"/>
      <w:divBdr>
        <w:top w:val="none" w:sz="0" w:space="0" w:color="auto"/>
        <w:left w:val="none" w:sz="0" w:space="0" w:color="auto"/>
        <w:bottom w:val="none" w:sz="0" w:space="0" w:color="auto"/>
        <w:right w:val="none" w:sz="0" w:space="0" w:color="auto"/>
      </w:divBdr>
    </w:div>
    <w:div w:id="2031296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mid</b:Tag>
    <b:SourceType>InternetSite</b:SourceType>
    <b:Guid>{C381776E-2F41-49E6-907F-2104E412C37D}</b:Guid>
    <b:Title>Average Monthly Transaction Volume</b:Title>
    <b:Author>
      <b:Author>
        <b:NameList>
          <b:Person>
            <b:Last>midigator.com</b:Last>
          </b:Person>
        </b:NameList>
      </b:Author>
    </b:Author>
    <b:InternetSiteTitle>MiDiGATOR</b:InternetSiteTitle>
    <b:URL>https://midigator.com/glossary/average-monthly-transaction-volume/#:~:text=A%20merchant%27s%20average%20monthly%20transaction,asked%20to%20provide%20an%20estimate.</b:URL>
    <b:RefOrder>2</b:RefOrder>
  </b:Source>
  <b:Source>
    <b:Tag>Kli</b:Tag>
    <b:SourceType>InternetSite</b:SourceType>
    <b:Guid>{563516C9-9E9A-48FB-BE47-CD2907160556}</b:Guid>
    <b:Author>
      <b:Author>
        <b:NameList>
          <b:Person>
            <b:Last>Klipfolio</b:Last>
          </b:Person>
        </b:NameList>
      </b:Author>
    </b:Author>
    <b:Title>What are Financial Metrics</b:Title>
    <b:InternetSiteTitle>Klipfolio</b:InternetSiteTitle>
    <b:URL>https://www.klipfolio.com/resources/kpi-examples/financial#:~:text=Financial%20metrics%20are%20used%20to,statement%2C%20and%20cash%20flow%20statement.</b:URL>
    <b:RefOrder>3</b:RefOrder>
  </b:Source>
  <b:Source>
    <b:Tag>Ada22</b:Tag>
    <b:SourceType>InternetSite</b:SourceType>
    <b:Guid>{E4E6112E-D48F-488C-870B-E9CE81B7FA4C}</b:Guid>
    <b:Author>
      <b:Author>
        <b:NameList>
          <b:Person>
            <b:Last>Hayes</b:Last>
            <b:First>Adam</b:First>
          </b:Person>
        </b:NameList>
      </b:Author>
    </b:Author>
    <b:Title>Market Share: What It Is and the Formula for Calculating It</b:Title>
    <b:InternetSiteTitle>Investopedia </b:InternetSiteTitle>
    <b:Year>2022</b:Year>
    <b:Month>August</b:Month>
    <b:Day>23</b:Day>
    <b:URL>https://www.investopedia.com/terms/m/marketshare.asp</b:URL>
    <b:RefOrder>1</b:RefOrder>
  </b:Source>
</b:Sources>
</file>

<file path=customXml/itemProps1.xml><?xml version="1.0" encoding="utf-8"?>
<ds:datastoreItem xmlns:ds="http://schemas.openxmlformats.org/officeDocument/2006/customXml" ds:itemID="{5A317472-0A8B-41F6-8B12-08A1BF244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1907</Words>
  <Characters>10870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Watt</dc:creator>
  <cp:keywords/>
  <dc:description/>
  <cp:lastModifiedBy>Microsoft account</cp:lastModifiedBy>
  <cp:revision>2</cp:revision>
  <dcterms:created xsi:type="dcterms:W3CDTF">2023-08-16T19:48:00Z</dcterms:created>
  <dcterms:modified xsi:type="dcterms:W3CDTF">2023-08-16T19:48:00Z</dcterms:modified>
</cp:coreProperties>
</file>