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2314" w14:textId="3963CA1A" w:rsidR="000B4DA8" w:rsidRDefault="00D05F3F">
      <w:pPr>
        <w:rPr>
          <w:b/>
          <w:bCs/>
          <w:sz w:val="28"/>
          <w:szCs w:val="28"/>
          <w:lang w:val="en-US"/>
        </w:rPr>
      </w:pPr>
      <w:r w:rsidRPr="00D05F3F">
        <w:rPr>
          <w:b/>
          <w:bCs/>
          <w:sz w:val="28"/>
          <w:szCs w:val="28"/>
          <w:lang w:val="en-US"/>
        </w:rPr>
        <w:t>Marriot Inc.</w:t>
      </w:r>
    </w:p>
    <w:p w14:paraId="13E0340C" w14:textId="77FD66BA" w:rsidR="00D05F3F" w:rsidRPr="00EB6CE7" w:rsidRDefault="00D05F3F">
      <w:pPr>
        <w:rPr>
          <w:b/>
          <w:bCs/>
          <w:sz w:val="24"/>
          <w:szCs w:val="24"/>
          <w:lang w:val="en-US"/>
        </w:rPr>
      </w:pPr>
      <w:r w:rsidRPr="00EB6CE7">
        <w:rPr>
          <w:b/>
          <w:bCs/>
          <w:sz w:val="24"/>
          <w:szCs w:val="24"/>
          <w:lang w:val="en-US"/>
        </w:rPr>
        <w:t>Revenue Drivers</w:t>
      </w:r>
    </w:p>
    <w:p w14:paraId="132BC624" w14:textId="236FA19A" w:rsidR="00843DAF" w:rsidRPr="00BB719B" w:rsidRDefault="00363080">
      <w:pPr>
        <w:rPr>
          <w:b/>
          <w:bCs/>
          <w:lang w:val="en-US"/>
        </w:rPr>
      </w:pPr>
      <w:r>
        <w:rPr>
          <w:b/>
          <w:bCs/>
          <w:lang w:val="en-US"/>
        </w:rPr>
        <w:t>Number of Rooms</w:t>
      </w:r>
    </w:p>
    <w:p w14:paraId="35FE99A0" w14:textId="543A49B3" w:rsidR="007A4D57" w:rsidRDefault="00A5479D">
      <w:r>
        <w:rPr>
          <w:noProof/>
        </w:rPr>
        <w:drawing>
          <wp:inline distT="0" distB="0" distL="0" distR="0" wp14:anchorId="5B2A3AB5" wp14:editId="0C2EFD3F">
            <wp:extent cx="3087665" cy="2799080"/>
            <wp:effectExtent l="0" t="0" r="17780" b="1270"/>
            <wp:docPr id="597100958" name="Chart 5971009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365210">
        <w:rPr>
          <w:noProof/>
        </w:rPr>
        <w:drawing>
          <wp:anchor distT="0" distB="0" distL="114300" distR="114300" simplePos="0" relativeHeight="251658240" behindDoc="0" locked="0" layoutInCell="1" allowOverlap="1" wp14:anchorId="6C0D7824" wp14:editId="4BB4F454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3390900" cy="2857500"/>
            <wp:effectExtent l="0" t="0" r="0" b="0"/>
            <wp:wrapSquare wrapText="bothSides"/>
            <wp:docPr id="204264867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8678D" w14:textId="77777777" w:rsidR="00C527FC" w:rsidRPr="00C527FC" w:rsidRDefault="003C0C3B" w:rsidP="00C42917">
      <w:pPr>
        <w:pStyle w:val="ListParagraph"/>
        <w:numPr>
          <w:ilvl w:val="0"/>
          <w:numId w:val="1"/>
        </w:numPr>
      </w:pPr>
      <w:r>
        <w:rPr>
          <w:lang w:val="en-US"/>
        </w:rPr>
        <w:t>US and Canada region</w:t>
      </w:r>
      <w:r w:rsidR="00851776">
        <w:rPr>
          <w:lang w:val="en-US"/>
        </w:rPr>
        <w:t xml:space="preserve"> accounts for over 60% of the number of rooms</w:t>
      </w:r>
      <w:r w:rsidR="008C212C">
        <w:rPr>
          <w:lang w:val="en-US"/>
        </w:rPr>
        <w:t xml:space="preserve"> in the last three </w:t>
      </w:r>
      <w:r w:rsidR="00F56675">
        <w:rPr>
          <w:lang w:val="en-US"/>
        </w:rPr>
        <w:t>financial year</w:t>
      </w:r>
      <w:r w:rsidR="00C527FC">
        <w:rPr>
          <w:lang w:val="en-US"/>
        </w:rPr>
        <w:t>.</w:t>
      </w:r>
    </w:p>
    <w:p w14:paraId="73B7A651" w14:textId="47D1687E" w:rsidR="00C978E0" w:rsidRDefault="00C527FC" w:rsidP="00C978E0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The number of rooms </w:t>
      </w:r>
      <w:r w:rsidR="00000DA6">
        <w:rPr>
          <w:lang w:val="en-US"/>
        </w:rPr>
        <w:t xml:space="preserve">increases for </w:t>
      </w:r>
      <w:r w:rsidR="008046CA">
        <w:rPr>
          <w:lang w:val="en-US"/>
        </w:rPr>
        <w:t xml:space="preserve">each region </w:t>
      </w:r>
      <w:r w:rsidR="00317137">
        <w:rPr>
          <w:lang w:val="en-US"/>
        </w:rPr>
        <w:t xml:space="preserve">over the three years except for </w:t>
      </w:r>
      <w:r w:rsidR="001D6933">
        <w:rPr>
          <w:lang w:val="en-US"/>
        </w:rPr>
        <w:t xml:space="preserve">timeshare </w:t>
      </w:r>
      <w:r w:rsidR="00213AFF">
        <w:rPr>
          <w:lang w:val="en-US"/>
        </w:rPr>
        <w:t xml:space="preserve">which reduced </w:t>
      </w:r>
      <w:r w:rsidR="008A099C">
        <w:rPr>
          <w:lang w:val="en-US"/>
        </w:rPr>
        <w:t xml:space="preserve">slightly </w:t>
      </w:r>
      <w:r w:rsidR="00213AFF">
        <w:rPr>
          <w:lang w:val="en-US"/>
        </w:rPr>
        <w:t>in FY2021</w:t>
      </w:r>
      <w:r w:rsidR="008A099C">
        <w:rPr>
          <w:lang w:val="en-US"/>
        </w:rPr>
        <w:t xml:space="preserve"> and then increased in FY2022</w:t>
      </w:r>
      <w:r w:rsidR="007C7FDC">
        <w:br w:type="textWrapping" w:clear="all"/>
      </w:r>
    </w:p>
    <w:p w14:paraId="40E4EC9A" w14:textId="77777777" w:rsidR="00C978E0" w:rsidRDefault="00C978E0" w:rsidP="00C978E0"/>
    <w:p w14:paraId="5A6A842F" w14:textId="4E217B87" w:rsidR="00B91A5E" w:rsidRPr="002C4C5D" w:rsidRDefault="0006494C">
      <w:pPr>
        <w:rPr>
          <w:b/>
          <w:bCs/>
        </w:rPr>
      </w:pPr>
      <w:r>
        <w:rPr>
          <w:b/>
          <w:bCs/>
          <w:lang w:val="en-US"/>
        </w:rPr>
        <w:t xml:space="preserve">Revenue Per Available </w:t>
      </w:r>
      <w:r w:rsidR="003758B8">
        <w:rPr>
          <w:b/>
          <w:bCs/>
          <w:lang w:val="en-US"/>
        </w:rPr>
        <w:t xml:space="preserve">Room </w:t>
      </w:r>
      <w:r w:rsidR="00494E4D" w:rsidRPr="002C4C5D">
        <w:rPr>
          <w:b/>
          <w:bCs/>
          <w:lang w:val="en-US"/>
        </w:rPr>
        <w:t>(</w:t>
      </w:r>
      <w:r w:rsidR="002C4C5D" w:rsidRPr="002C4C5D">
        <w:rPr>
          <w:b/>
          <w:bCs/>
          <w:lang w:val="en-US"/>
        </w:rPr>
        <w:t>RevPAR)</w:t>
      </w:r>
    </w:p>
    <w:p w14:paraId="735E738E" w14:textId="50DDD05F" w:rsidR="009F7E1C" w:rsidRDefault="00893B12">
      <w:r>
        <w:rPr>
          <w:noProof/>
        </w:rPr>
        <w:drawing>
          <wp:inline distT="0" distB="0" distL="0" distR="0" wp14:anchorId="73436D21" wp14:editId="3816CEDC">
            <wp:extent cx="3739019" cy="2536521"/>
            <wp:effectExtent l="0" t="0" r="13970" b="16510"/>
            <wp:docPr id="129169276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5DE7F9" w14:textId="58BACE11" w:rsidR="00B91A5E" w:rsidRPr="00A27E13" w:rsidRDefault="0007721A" w:rsidP="00D32BB7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Revenue </w:t>
      </w:r>
      <w:r w:rsidR="006B0458">
        <w:rPr>
          <w:lang w:val="en-US"/>
        </w:rPr>
        <w:t xml:space="preserve">par Available room increased significantly </w:t>
      </w:r>
      <w:r w:rsidR="00AE652C">
        <w:rPr>
          <w:lang w:val="en-US"/>
        </w:rPr>
        <w:t xml:space="preserve">each year </w:t>
      </w:r>
      <w:r w:rsidR="00042CD7">
        <w:rPr>
          <w:lang w:val="en-US"/>
        </w:rPr>
        <w:t>in U.S &amp; Canada,</w:t>
      </w:r>
      <w:r w:rsidR="00CB1AC8">
        <w:rPr>
          <w:lang w:val="en-US"/>
        </w:rPr>
        <w:t xml:space="preserve"> Caribbean &amp; Latin America, Europe </w:t>
      </w:r>
      <w:r w:rsidR="007A39EC">
        <w:rPr>
          <w:lang w:val="en-US"/>
        </w:rPr>
        <w:t xml:space="preserve">and Middle East and Africa region while it </w:t>
      </w:r>
      <w:r w:rsidR="00AE652C">
        <w:rPr>
          <w:lang w:val="en-US"/>
        </w:rPr>
        <w:t>reduced greater China from 2021 to 2022.</w:t>
      </w:r>
    </w:p>
    <w:p w14:paraId="008B0B9F" w14:textId="39C30AA6" w:rsidR="00A27E13" w:rsidRPr="009D131B" w:rsidRDefault="00A27E13" w:rsidP="00D32BB7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In </w:t>
      </w:r>
      <w:r w:rsidR="00AC17EF">
        <w:rPr>
          <w:lang w:val="en-US"/>
        </w:rPr>
        <w:t>the Asia</w:t>
      </w:r>
      <w:r>
        <w:rPr>
          <w:lang w:val="en-US"/>
        </w:rPr>
        <w:t xml:space="preserve"> Pacific region, the revenue per available room reduced </w:t>
      </w:r>
      <w:r w:rsidR="00382614">
        <w:rPr>
          <w:lang w:val="en-US"/>
        </w:rPr>
        <w:t>slightly from 202</w:t>
      </w:r>
      <w:r w:rsidR="000A1E76">
        <w:rPr>
          <w:lang w:val="en-US"/>
        </w:rPr>
        <w:t>0</w:t>
      </w:r>
      <w:r w:rsidR="00382614">
        <w:rPr>
          <w:lang w:val="en-US"/>
        </w:rPr>
        <w:t xml:space="preserve"> to 202</w:t>
      </w:r>
      <w:r w:rsidR="00596089">
        <w:rPr>
          <w:lang w:val="en-US"/>
        </w:rPr>
        <w:t>1</w:t>
      </w:r>
      <w:r w:rsidR="00382614">
        <w:rPr>
          <w:lang w:val="en-US"/>
        </w:rPr>
        <w:t xml:space="preserve"> and the</w:t>
      </w:r>
      <w:r w:rsidR="000A1E76">
        <w:rPr>
          <w:lang w:val="en-US"/>
        </w:rPr>
        <w:t>n</w:t>
      </w:r>
      <w:r w:rsidR="00382614">
        <w:rPr>
          <w:lang w:val="en-US"/>
        </w:rPr>
        <w:t xml:space="preserve"> increased significantly in </w:t>
      </w:r>
      <w:r w:rsidR="00596089">
        <w:rPr>
          <w:lang w:val="en-US"/>
        </w:rPr>
        <w:t>2022.</w:t>
      </w:r>
    </w:p>
    <w:p w14:paraId="4F4217AD" w14:textId="0E5E17FD" w:rsidR="009D131B" w:rsidRPr="00802565" w:rsidRDefault="009D131B" w:rsidP="00D32BB7">
      <w:pPr>
        <w:pStyle w:val="ListParagraph"/>
        <w:numPr>
          <w:ilvl w:val="0"/>
          <w:numId w:val="2"/>
        </w:numPr>
      </w:pPr>
      <w:r>
        <w:rPr>
          <w:lang w:val="en-US"/>
        </w:rPr>
        <w:t>The Higher revenue per available room</w:t>
      </w:r>
      <w:r w:rsidR="007A4EFC">
        <w:rPr>
          <w:lang w:val="en-US"/>
        </w:rPr>
        <w:t xml:space="preserve"> in a region</w:t>
      </w:r>
      <w:r>
        <w:rPr>
          <w:lang w:val="en-US"/>
        </w:rPr>
        <w:t>, the higher the revenue</w:t>
      </w:r>
      <w:r w:rsidR="007A4EFC">
        <w:rPr>
          <w:lang w:val="en-US"/>
        </w:rPr>
        <w:t xml:space="preserve"> in that region.</w:t>
      </w:r>
    </w:p>
    <w:p w14:paraId="3645CAF8" w14:textId="77777777" w:rsidR="00802565" w:rsidRDefault="00802565" w:rsidP="00802565"/>
    <w:p w14:paraId="14B4CB61" w14:textId="77777777" w:rsidR="00802565" w:rsidRDefault="00802565" w:rsidP="00802565"/>
    <w:p w14:paraId="32E68933" w14:textId="77777777" w:rsidR="00802565" w:rsidRDefault="00802565" w:rsidP="00802565"/>
    <w:p w14:paraId="5E1F368B" w14:textId="77777777" w:rsidR="00802565" w:rsidRDefault="00802565" w:rsidP="00802565"/>
    <w:p w14:paraId="3230096A" w14:textId="6DC9FBF1" w:rsidR="00802565" w:rsidRPr="00717B4C" w:rsidRDefault="003758B8" w:rsidP="00802565">
      <w:pPr>
        <w:rPr>
          <w:b/>
          <w:bCs/>
          <w:lang w:val="en-US"/>
        </w:rPr>
      </w:pPr>
      <w:r>
        <w:rPr>
          <w:b/>
          <w:bCs/>
          <w:lang w:val="en-US"/>
        </w:rPr>
        <w:t>Average Daily Rate (ADR)</w:t>
      </w:r>
    </w:p>
    <w:p w14:paraId="049920B0" w14:textId="4C7915FD" w:rsidR="00B91A5E" w:rsidRDefault="00980CAA">
      <w:r>
        <w:rPr>
          <w:noProof/>
        </w:rPr>
        <w:drawing>
          <wp:inline distT="0" distB="0" distL="0" distR="0" wp14:anchorId="5C4D7874" wp14:editId="2B87F4AD">
            <wp:extent cx="3676650" cy="2266950"/>
            <wp:effectExtent l="0" t="0" r="0" b="0"/>
            <wp:docPr id="46908717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513CAA" w14:textId="62455908" w:rsidR="007C3972" w:rsidRPr="00DD4D1D" w:rsidRDefault="00C67ED8" w:rsidP="00717B4C">
      <w:pPr>
        <w:pStyle w:val="ListParagraph"/>
        <w:numPr>
          <w:ilvl w:val="0"/>
          <w:numId w:val="3"/>
        </w:numPr>
      </w:pPr>
      <w:r>
        <w:rPr>
          <w:lang w:val="en-US"/>
        </w:rPr>
        <w:t xml:space="preserve">Average daily rate </w:t>
      </w:r>
      <w:r w:rsidR="00003B43">
        <w:rPr>
          <w:lang w:val="en-US"/>
        </w:rPr>
        <w:t xml:space="preserve">increased </w:t>
      </w:r>
      <w:r>
        <w:rPr>
          <w:lang w:val="en-US"/>
        </w:rPr>
        <w:t xml:space="preserve">each year </w:t>
      </w:r>
      <w:r w:rsidR="00F2085F">
        <w:rPr>
          <w:lang w:val="en-US"/>
        </w:rPr>
        <w:t xml:space="preserve">in U.S &amp; Canada, </w:t>
      </w:r>
      <w:r w:rsidR="00925EC1">
        <w:rPr>
          <w:lang w:val="en-US"/>
        </w:rPr>
        <w:t>Europe,</w:t>
      </w:r>
      <w:r w:rsidR="00F2085F">
        <w:rPr>
          <w:lang w:val="en-US"/>
        </w:rPr>
        <w:t xml:space="preserve"> and Middle</w:t>
      </w:r>
      <w:r w:rsidR="00003B43">
        <w:rPr>
          <w:lang w:val="en-US"/>
        </w:rPr>
        <w:t xml:space="preserve"> East &amp; Africa region. </w:t>
      </w:r>
      <w:r w:rsidR="00D40663">
        <w:rPr>
          <w:lang w:val="en-US"/>
        </w:rPr>
        <w:t xml:space="preserve">It reduced slightly from 2020 to 2021 in </w:t>
      </w:r>
      <w:r w:rsidR="00A2176C">
        <w:rPr>
          <w:lang w:val="en-US"/>
        </w:rPr>
        <w:t xml:space="preserve">Asia Pacific and Caribbean </w:t>
      </w:r>
      <w:r w:rsidR="003E58A3">
        <w:rPr>
          <w:lang w:val="en-US"/>
        </w:rPr>
        <w:t xml:space="preserve">&amp; Latin America region </w:t>
      </w:r>
      <w:r w:rsidR="0032332E">
        <w:rPr>
          <w:lang w:val="en-US"/>
        </w:rPr>
        <w:t>but rose again in 2022.</w:t>
      </w:r>
    </w:p>
    <w:p w14:paraId="084DE336" w14:textId="7BC5D77E" w:rsidR="00DD4D1D" w:rsidRDefault="00DD4D1D" w:rsidP="00717B4C">
      <w:pPr>
        <w:pStyle w:val="ListParagraph"/>
        <w:numPr>
          <w:ilvl w:val="0"/>
          <w:numId w:val="3"/>
        </w:numPr>
      </w:pPr>
      <w:r>
        <w:rPr>
          <w:lang w:val="en-US"/>
        </w:rPr>
        <w:t xml:space="preserve">Average Daily Rate </w:t>
      </w:r>
      <w:r w:rsidR="008640F3">
        <w:rPr>
          <w:lang w:val="en-US"/>
        </w:rPr>
        <w:t xml:space="preserve">decreased from 2021 to 2022 </w:t>
      </w:r>
      <w:r w:rsidR="007D3283">
        <w:rPr>
          <w:lang w:val="en-US"/>
        </w:rPr>
        <w:t>in Greater China region.</w:t>
      </w:r>
    </w:p>
    <w:p w14:paraId="543B0A6A" w14:textId="77777777" w:rsidR="00717B4C" w:rsidRDefault="00717B4C"/>
    <w:p w14:paraId="52B5E0FA" w14:textId="7660EDF8" w:rsidR="00717B4C" w:rsidRPr="00F97042" w:rsidRDefault="003758B8">
      <w:pPr>
        <w:rPr>
          <w:b/>
          <w:bCs/>
          <w:lang w:val="en-US"/>
        </w:rPr>
      </w:pPr>
      <w:r>
        <w:rPr>
          <w:b/>
          <w:bCs/>
          <w:lang w:val="en-US"/>
        </w:rPr>
        <w:t>Occupancy Rate</w:t>
      </w:r>
    </w:p>
    <w:p w14:paraId="13EA0956" w14:textId="5B218958" w:rsidR="00F76B7D" w:rsidRDefault="00DD510F">
      <w:r>
        <w:rPr>
          <w:noProof/>
        </w:rPr>
        <w:drawing>
          <wp:inline distT="0" distB="0" distL="0" distR="0" wp14:anchorId="374A3935" wp14:editId="5C7C9C4B">
            <wp:extent cx="3619500" cy="2305050"/>
            <wp:effectExtent l="0" t="0" r="0" b="0"/>
            <wp:docPr id="89090673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23B5A8" w14:textId="64095478" w:rsidR="003B3399" w:rsidRPr="00FA179C" w:rsidRDefault="000806B5" w:rsidP="009725B7">
      <w:pPr>
        <w:pStyle w:val="ListParagraph"/>
        <w:numPr>
          <w:ilvl w:val="0"/>
          <w:numId w:val="4"/>
        </w:numPr>
      </w:pPr>
      <w:r w:rsidRPr="001F30F6">
        <w:rPr>
          <w:lang w:val="en-US"/>
        </w:rPr>
        <w:t>Occupancy rate rose each year</w:t>
      </w:r>
      <w:r w:rsidR="0030492C" w:rsidRPr="001F30F6">
        <w:rPr>
          <w:lang w:val="en-US"/>
        </w:rPr>
        <w:t xml:space="preserve"> for all regions except </w:t>
      </w:r>
      <w:r w:rsidR="00AE5F46" w:rsidRPr="001F30F6">
        <w:rPr>
          <w:lang w:val="en-US"/>
        </w:rPr>
        <w:t>Asian Pacific region which decreased slightly from 202</w:t>
      </w:r>
      <w:r w:rsidR="001F30F6" w:rsidRPr="001F30F6">
        <w:rPr>
          <w:lang w:val="en-US"/>
        </w:rPr>
        <w:t>0 to 2021 and increased in 202</w:t>
      </w:r>
      <w:r w:rsidR="001F30F6">
        <w:rPr>
          <w:lang w:val="en-US"/>
        </w:rPr>
        <w:t xml:space="preserve">2 and </w:t>
      </w:r>
      <w:r w:rsidR="00FA179C">
        <w:rPr>
          <w:lang w:val="en-US"/>
        </w:rPr>
        <w:t>Greater China region which decreased from 2021 to 2022.</w:t>
      </w:r>
    </w:p>
    <w:p w14:paraId="24B5B872" w14:textId="75681787" w:rsidR="00FA179C" w:rsidRPr="00E3740D" w:rsidRDefault="00E3740D" w:rsidP="009725B7">
      <w:pPr>
        <w:pStyle w:val="ListParagraph"/>
        <w:numPr>
          <w:ilvl w:val="0"/>
          <w:numId w:val="4"/>
        </w:numPr>
      </w:pPr>
      <w:r>
        <w:rPr>
          <w:lang w:val="en-US"/>
        </w:rPr>
        <w:t>A higher</w:t>
      </w:r>
      <w:r w:rsidR="004D0742">
        <w:rPr>
          <w:lang w:val="en-US"/>
        </w:rPr>
        <w:t xml:space="preserve"> occupancy rate together with </w:t>
      </w:r>
      <w:r>
        <w:rPr>
          <w:lang w:val="en-US"/>
        </w:rPr>
        <w:t>a higher</w:t>
      </w:r>
      <w:r w:rsidR="004D0742">
        <w:rPr>
          <w:lang w:val="en-US"/>
        </w:rPr>
        <w:t xml:space="preserve"> average daily rate leads to</w:t>
      </w:r>
      <w:r>
        <w:rPr>
          <w:lang w:val="en-US"/>
        </w:rPr>
        <w:t xml:space="preserve"> a</w:t>
      </w:r>
      <w:r w:rsidR="004D0742">
        <w:rPr>
          <w:lang w:val="en-US"/>
        </w:rPr>
        <w:t xml:space="preserve"> higher </w:t>
      </w:r>
      <w:r>
        <w:rPr>
          <w:lang w:val="en-US"/>
        </w:rPr>
        <w:t>revenue per available room and then a higher revenue.</w:t>
      </w:r>
    </w:p>
    <w:p w14:paraId="44B13354" w14:textId="77777777" w:rsidR="00E3740D" w:rsidRDefault="00E3740D" w:rsidP="00E3740D"/>
    <w:p w14:paraId="6272229A" w14:textId="77777777" w:rsidR="00E3740D" w:rsidRDefault="00E3740D" w:rsidP="00E3740D"/>
    <w:p w14:paraId="69EF2B42" w14:textId="77777777" w:rsidR="00AF77B4" w:rsidRDefault="00AF77B4"/>
    <w:p w14:paraId="059A61CA" w14:textId="77777777" w:rsidR="005E570C" w:rsidRDefault="005E570C"/>
    <w:p w14:paraId="17AF7EA4" w14:textId="77777777" w:rsidR="005E570C" w:rsidRDefault="005E570C"/>
    <w:p w14:paraId="1E66DF2E" w14:textId="77777777" w:rsidR="005E570C" w:rsidRDefault="005E570C"/>
    <w:p w14:paraId="0FB3C960" w14:textId="77777777" w:rsidR="005E570C" w:rsidRDefault="005E570C"/>
    <w:p w14:paraId="00A35349" w14:textId="77777777" w:rsidR="005E570C" w:rsidRDefault="005E570C"/>
    <w:p w14:paraId="79E7FE52" w14:textId="70A094AB" w:rsidR="005E570C" w:rsidRPr="008E406D" w:rsidRDefault="005E570C">
      <w:pPr>
        <w:rPr>
          <w:b/>
          <w:bCs/>
          <w:sz w:val="24"/>
          <w:szCs w:val="24"/>
          <w:lang w:val="en-US"/>
        </w:rPr>
      </w:pPr>
      <w:r w:rsidRPr="008E406D">
        <w:rPr>
          <w:b/>
          <w:bCs/>
          <w:sz w:val="24"/>
          <w:szCs w:val="24"/>
          <w:lang w:val="en-US"/>
        </w:rPr>
        <w:lastRenderedPageBreak/>
        <w:t>C</w:t>
      </w:r>
      <w:r w:rsidR="008E406D">
        <w:rPr>
          <w:b/>
          <w:bCs/>
          <w:sz w:val="24"/>
          <w:szCs w:val="24"/>
          <w:lang w:val="en-US"/>
        </w:rPr>
        <w:t>osts Drivers</w:t>
      </w:r>
    </w:p>
    <w:p w14:paraId="372A97C1" w14:textId="1A4D56EE" w:rsidR="005E570C" w:rsidRDefault="002178C6">
      <w:r>
        <w:rPr>
          <w:noProof/>
        </w:rPr>
        <w:drawing>
          <wp:inline distT="0" distB="0" distL="0" distR="0" wp14:anchorId="5A4DBB47" wp14:editId="6841D4F8">
            <wp:extent cx="3281819" cy="2868461"/>
            <wp:effectExtent l="0" t="0" r="13970" b="8255"/>
            <wp:docPr id="195073012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66C91">
        <w:rPr>
          <w:lang w:val="en-US"/>
        </w:rPr>
        <w:t xml:space="preserve">  </w:t>
      </w:r>
      <w:r w:rsidR="00AE36F1">
        <w:rPr>
          <w:noProof/>
        </w:rPr>
        <w:drawing>
          <wp:inline distT="0" distB="0" distL="0" distR="0" wp14:anchorId="22FF1841" wp14:editId="55E54C1E">
            <wp:extent cx="3200400" cy="2887014"/>
            <wp:effectExtent l="0" t="0" r="0" b="8890"/>
            <wp:docPr id="180269538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65DB5C4" w14:textId="5B95E263" w:rsidR="00AF77B4" w:rsidRPr="001B186B" w:rsidRDefault="000467F9" w:rsidP="000467F9">
      <w:pPr>
        <w:pStyle w:val="ListParagraph"/>
        <w:numPr>
          <w:ilvl w:val="0"/>
          <w:numId w:val="6"/>
        </w:numPr>
      </w:pPr>
      <w:r>
        <w:rPr>
          <w:lang w:val="en-US"/>
        </w:rPr>
        <w:t xml:space="preserve">Operating </w:t>
      </w:r>
      <w:r w:rsidR="0046169E">
        <w:rPr>
          <w:lang w:val="en-US"/>
        </w:rPr>
        <w:t>costs</w:t>
      </w:r>
      <w:r>
        <w:rPr>
          <w:lang w:val="en-US"/>
        </w:rPr>
        <w:t xml:space="preserve"> increase</w:t>
      </w:r>
      <w:r w:rsidR="002E30E7">
        <w:rPr>
          <w:lang w:val="en-US"/>
        </w:rPr>
        <w:t>d</w:t>
      </w:r>
      <w:r>
        <w:rPr>
          <w:lang w:val="en-US"/>
        </w:rPr>
        <w:t xml:space="preserve"> </w:t>
      </w:r>
      <w:r w:rsidR="001B186B">
        <w:rPr>
          <w:lang w:val="en-US"/>
        </w:rPr>
        <w:t xml:space="preserve">from 2020 to </w:t>
      </w:r>
      <w:r w:rsidR="00AC226E">
        <w:rPr>
          <w:lang w:val="en-US"/>
        </w:rPr>
        <w:t>2022.</w:t>
      </w:r>
    </w:p>
    <w:p w14:paraId="74098FB5" w14:textId="30A5670B" w:rsidR="001B186B" w:rsidRDefault="001B186B" w:rsidP="000467F9">
      <w:pPr>
        <w:pStyle w:val="ListParagraph"/>
        <w:numPr>
          <w:ilvl w:val="0"/>
          <w:numId w:val="6"/>
        </w:numPr>
      </w:pPr>
      <w:r>
        <w:rPr>
          <w:lang w:val="en-US"/>
        </w:rPr>
        <w:t>Reimbur</w:t>
      </w:r>
      <w:r w:rsidR="002E30E7">
        <w:rPr>
          <w:lang w:val="en-US"/>
        </w:rPr>
        <w:t>sement expenses</w:t>
      </w:r>
      <w:r w:rsidR="00AC226E">
        <w:rPr>
          <w:lang w:val="en-US"/>
        </w:rPr>
        <w:t xml:space="preserve"> </w:t>
      </w:r>
      <w:r w:rsidR="001A4636">
        <w:rPr>
          <w:lang w:val="en-US"/>
        </w:rPr>
        <w:t xml:space="preserve">form </w:t>
      </w:r>
      <w:r w:rsidR="00677CB2">
        <w:rPr>
          <w:lang w:val="en-US"/>
        </w:rPr>
        <w:t>a</w:t>
      </w:r>
      <w:r w:rsidR="001A4636">
        <w:rPr>
          <w:lang w:val="en-US"/>
        </w:rPr>
        <w:t xml:space="preserve"> major part of the costs </w:t>
      </w:r>
      <w:r w:rsidR="00510F7C">
        <w:rPr>
          <w:lang w:val="en-US"/>
        </w:rPr>
        <w:t xml:space="preserve">and </w:t>
      </w:r>
      <w:r w:rsidR="007227F9">
        <w:rPr>
          <w:lang w:val="en-US"/>
        </w:rPr>
        <w:t xml:space="preserve">constituted over 80% of the total costs </w:t>
      </w:r>
      <w:r w:rsidR="00677CB2">
        <w:rPr>
          <w:lang w:val="en-US"/>
        </w:rPr>
        <w:t>from 2020 to 2022.</w:t>
      </w:r>
    </w:p>
    <w:p w14:paraId="72801F07" w14:textId="77777777" w:rsidR="00B62595" w:rsidRDefault="00B62595">
      <w:pPr>
        <w:rPr>
          <w:lang w:val="en-US"/>
        </w:rPr>
      </w:pPr>
    </w:p>
    <w:p w14:paraId="0CBE9BC6" w14:textId="040C856E" w:rsidR="00B62595" w:rsidRDefault="00B62595">
      <w:pPr>
        <w:rPr>
          <w:b/>
          <w:bCs/>
          <w:lang w:val="en-US"/>
        </w:rPr>
      </w:pPr>
      <w:r w:rsidRPr="00B62595">
        <w:rPr>
          <w:b/>
          <w:bCs/>
          <w:lang w:val="en-US"/>
        </w:rPr>
        <w:t>PEER COMPARISON</w:t>
      </w:r>
    </w:p>
    <w:p w14:paraId="50FD0B19" w14:textId="269FDAF7" w:rsidR="00B62595" w:rsidRDefault="00B62595">
      <w:pPr>
        <w:rPr>
          <w:b/>
          <w:bCs/>
          <w:lang w:val="en-US"/>
        </w:rPr>
      </w:pPr>
      <w:r>
        <w:rPr>
          <w:b/>
          <w:bCs/>
          <w:lang w:val="en-US"/>
        </w:rPr>
        <w:t>Revenue</w:t>
      </w:r>
    </w:p>
    <w:p w14:paraId="5D5A6A0D" w14:textId="45099079" w:rsidR="00B62595" w:rsidRPr="00B62595" w:rsidRDefault="00B62595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1AF85C48" wp14:editId="1575CF9D">
            <wp:extent cx="3713967" cy="2129424"/>
            <wp:effectExtent l="0" t="0" r="1270" b="4445"/>
            <wp:docPr id="187213544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091BC0A" w14:textId="77777777" w:rsidR="00B62595" w:rsidRDefault="00B62595">
      <w:pPr>
        <w:rPr>
          <w:lang w:val="en-US"/>
        </w:rPr>
      </w:pPr>
    </w:p>
    <w:p w14:paraId="4F83A0B1" w14:textId="77777777" w:rsidR="00CA6F7B" w:rsidRDefault="0072151C" w:rsidP="00CA6F7B">
      <w:pPr>
        <w:rPr>
          <w:b/>
          <w:bCs/>
          <w:lang w:val="en-US"/>
        </w:rPr>
      </w:pPr>
      <w:r w:rsidRPr="0072151C">
        <w:rPr>
          <w:b/>
          <w:bCs/>
          <w:lang w:val="en-US"/>
        </w:rPr>
        <w:t>Cost</w:t>
      </w:r>
      <w:r w:rsidR="00CA6F7B">
        <w:rPr>
          <w:b/>
          <w:bCs/>
          <w:lang w:val="en-US"/>
        </w:rPr>
        <w:t>s</w:t>
      </w:r>
    </w:p>
    <w:p w14:paraId="50E5411A" w14:textId="6E8C191C" w:rsidR="00D26C04" w:rsidRDefault="00D26C04" w:rsidP="00CA6F7B">
      <w:pPr>
        <w:rPr>
          <w:rFonts w:ascii="Calibri" w:eastAsia="Times New Roman" w:hAnsi="Calibri" w:cs="Calibri"/>
          <w:b/>
          <w:bCs/>
          <w:color w:val="000000"/>
          <w:kern w:val="0"/>
          <w:lang w:val="en-US" w:eastAsia="en-NG"/>
          <w14:ligatures w14:val="none"/>
        </w:rPr>
      </w:pPr>
      <w:r w:rsidRPr="00D26C04"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  <w:t>Owned, leased, and other-direct</w:t>
      </w:r>
      <w:r>
        <w:rPr>
          <w:rFonts w:ascii="Calibri" w:eastAsia="Times New Roman" w:hAnsi="Calibri" w:cs="Calibri"/>
          <w:b/>
          <w:bCs/>
          <w:color w:val="000000"/>
          <w:kern w:val="0"/>
          <w:lang w:val="en-US" w:eastAsia="en-NG"/>
          <w14:ligatures w14:val="none"/>
        </w:rPr>
        <w:t>.</w:t>
      </w:r>
    </w:p>
    <w:p w14:paraId="5BD9C69F" w14:textId="51184D8F" w:rsidR="00CA6F7B" w:rsidRDefault="00CA6F7B" w:rsidP="00CA6F7B">
      <w:pPr>
        <w:rPr>
          <w:b/>
          <w:bCs/>
          <w:lang w:val="en-US"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0"/>
          <w:lang w:val="en-US" w:eastAsia="en-NG"/>
        </w:rPr>
        <w:drawing>
          <wp:inline distT="0" distB="0" distL="0" distR="0" wp14:anchorId="2C643BB2" wp14:editId="03339ADD">
            <wp:extent cx="3488499" cy="1816274"/>
            <wp:effectExtent l="0" t="0" r="17145" b="12700"/>
            <wp:docPr id="768097169" name="Chart 7680971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3A53B17" w14:textId="77777777" w:rsidR="00C046D0" w:rsidRDefault="00C046D0" w:rsidP="00C046D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  <w:r w:rsidRPr="00C046D0"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  <w:lastRenderedPageBreak/>
        <w:t>General, administrative, and other</w:t>
      </w:r>
    </w:p>
    <w:p w14:paraId="0953D0E4" w14:textId="77777777" w:rsidR="00AC4EAE" w:rsidRDefault="00AC4EAE" w:rsidP="00C046D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</w:p>
    <w:p w14:paraId="1EA804B4" w14:textId="78D00A59" w:rsidR="00C046D0" w:rsidRDefault="00C046D0" w:rsidP="00C046D0">
      <w:r>
        <w:rPr>
          <w:noProof/>
        </w:rPr>
        <w:drawing>
          <wp:inline distT="0" distB="0" distL="0" distR="0" wp14:anchorId="6029E401" wp14:editId="3BB2ED6F">
            <wp:extent cx="3551129" cy="2048005"/>
            <wp:effectExtent l="0" t="0" r="11430" b="9525"/>
            <wp:docPr id="194131124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CAF4D89" w14:textId="77777777" w:rsidR="00D33B55" w:rsidRDefault="00D33B55" w:rsidP="00C046D0"/>
    <w:p w14:paraId="0DC96DB5" w14:textId="378CF085" w:rsidR="00025342" w:rsidRDefault="00025342" w:rsidP="000253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  <w:r w:rsidRPr="00025342"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  <w:t>Reimbursed expenses</w:t>
      </w:r>
    </w:p>
    <w:p w14:paraId="71D06CB4" w14:textId="77777777" w:rsidR="009E5B01" w:rsidRPr="00C74C35" w:rsidRDefault="009E5B01" w:rsidP="000253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en-NG"/>
          <w14:ligatures w14:val="none"/>
        </w:rPr>
      </w:pPr>
    </w:p>
    <w:p w14:paraId="4CD6BEFC" w14:textId="42520B58" w:rsidR="00D33B55" w:rsidRPr="00C046D0" w:rsidRDefault="001762E5" w:rsidP="00C046D0">
      <w:r>
        <w:rPr>
          <w:noProof/>
        </w:rPr>
        <w:drawing>
          <wp:inline distT="0" distB="0" distL="0" distR="0" wp14:anchorId="6089FA7F" wp14:editId="63E73823">
            <wp:extent cx="3663863" cy="2273474"/>
            <wp:effectExtent l="0" t="0" r="13335" b="12700"/>
            <wp:docPr id="122225457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65AEE56" w14:textId="77777777" w:rsidR="00CA6F7B" w:rsidRPr="00CA6F7B" w:rsidRDefault="00CA6F7B" w:rsidP="00CA6F7B">
      <w:pPr>
        <w:rPr>
          <w:b/>
          <w:bCs/>
          <w:lang w:val="en-US"/>
        </w:rPr>
      </w:pPr>
    </w:p>
    <w:p w14:paraId="3E8771AD" w14:textId="55583489" w:rsidR="0072151C" w:rsidRPr="0072151C" w:rsidRDefault="0072151C">
      <w:pPr>
        <w:rPr>
          <w:b/>
          <w:bCs/>
          <w:lang w:val="en-US"/>
        </w:rPr>
      </w:pPr>
    </w:p>
    <w:sectPr w:rsidR="0072151C" w:rsidRPr="0072151C" w:rsidSect="001B27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30FF" w14:textId="77777777" w:rsidR="002620B4" w:rsidRDefault="002620B4" w:rsidP="000B4DA8">
      <w:pPr>
        <w:spacing w:after="0" w:line="240" w:lineRule="auto"/>
      </w:pPr>
      <w:r>
        <w:separator/>
      </w:r>
    </w:p>
  </w:endnote>
  <w:endnote w:type="continuationSeparator" w:id="0">
    <w:p w14:paraId="1EE357AB" w14:textId="77777777" w:rsidR="002620B4" w:rsidRDefault="002620B4" w:rsidP="000B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1250" w14:textId="77777777" w:rsidR="002620B4" w:rsidRDefault="002620B4" w:rsidP="000B4DA8">
      <w:pPr>
        <w:spacing w:after="0" w:line="240" w:lineRule="auto"/>
      </w:pPr>
      <w:r>
        <w:separator/>
      </w:r>
    </w:p>
  </w:footnote>
  <w:footnote w:type="continuationSeparator" w:id="0">
    <w:p w14:paraId="5407BF8D" w14:textId="77777777" w:rsidR="002620B4" w:rsidRDefault="002620B4" w:rsidP="000B4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1DE"/>
    <w:multiLevelType w:val="hybridMultilevel"/>
    <w:tmpl w:val="F1FC0A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0613A"/>
    <w:multiLevelType w:val="hybridMultilevel"/>
    <w:tmpl w:val="95AC80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06297"/>
    <w:multiLevelType w:val="hybridMultilevel"/>
    <w:tmpl w:val="2F1814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274B6"/>
    <w:multiLevelType w:val="hybridMultilevel"/>
    <w:tmpl w:val="6C72BB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87774"/>
    <w:multiLevelType w:val="hybridMultilevel"/>
    <w:tmpl w:val="E4F2D5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B4791"/>
    <w:multiLevelType w:val="hybridMultilevel"/>
    <w:tmpl w:val="866415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039157">
    <w:abstractNumId w:val="4"/>
  </w:num>
  <w:num w:numId="2" w16cid:durableId="2090730386">
    <w:abstractNumId w:val="0"/>
  </w:num>
  <w:num w:numId="3" w16cid:durableId="965769124">
    <w:abstractNumId w:val="2"/>
  </w:num>
  <w:num w:numId="4" w16cid:durableId="1457328802">
    <w:abstractNumId w:val="5"/>
  </w:num>
  <w:num w:numId="5" w16cid:durableId="1356081341">
    <w:abstractNumId w:val="1"/>
  </w:num>
  <w:num w:numId="6" w16cid:durableId="1656032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5E"/>
    <w:rsid w:val="00000DA6"/>
    <w:rsid w:val="00003B43"/>
    <w:rsid w:val="00006195"/>
    <w:rsid w:val="000064C1"/>
    <w:rsid w:val="00023A2B"/>
    <w:rsid w:val="00025342"/>
    <w:rsid w:val="00042655"/>
    <w:rsid w:val="00042CD7"/>
    <w:rsid w:val="000452F2"/>
    <w:rsid w:val="000467F9"/>
    <w:rsid w:val="000503CD"/>
    <w:rsid w:val="000611AD"/>
    <w:rsid w:val="0006494C"/>
    <w:rsid w:val="00066C91"/>
    <w:rsid w:val="00067A58"/>
    <w:rsid w:val="00076111"/>
    <w:rsid w:val="0007721A"/>
    <w:rsid w:val="00077A99"/>
    <w:rsid w:val="000806B5"/>
    <w:rsid w:val="00082AE8"/>
    <w:rsid w:val="000A1E76"/>
    <w:rsid w:val="000A5142"/>
    <w:rsid w:val="000A76ED"/>
    <w:rsid w:val="000B4DA8"/>
    <w:rsid w:val="000C62A5"/>
    <w:rsid w:val="000D1CD0"/>
    <w:rsid w:val="000D1F57"/>
    <w:rsid w:val="000F194D"/>
    <w:rsid w:val="000F370A"/>
    <w:rsid w:val="000F6890"/>
    <w:rsid w:val="00115188"/>
    <w:rsid w:val="001259F7"/>
    <w:rsid w:val="001379FC"/>
    <w:rsid w:val="001526C4"/>
    <w:rsid w:val="001744E8"/>
    <w:rsid w:val="001762E5"/>
    <w:rsid w:val="001A4636"/>
    <w:rsid w:val="001B10ED"/>
    <w:rsid w:val="001B186B"/>
    <w:rsid w:val="001B2750"/>
    <w:rsid w:val="001B2DC3"/>
    <w:rsid w:val="001B5F78"/>
    <w:rsid w:val="001D6933"/>
    <w:rsid w:val="001E77E5"/>
    <w:rsid w:val="001F30F6"/>
    <w:rsid w:val="00200C29"/>
    <w:rsid w:val="00202778"/>
    <w:rsid w:val="00212E40"/>
    <w:rsid w:val="00213AFF"/>
    <w:rsid w:val="002178C6"/>
    <w:rsid w:val="0023560A"/>
    <w:rsid w:val="002404A2"/>
    <w:rsid w:val="0024353F"/>
    <w:rsid w:val="00254181"/>
    <w:rsid w:val="002620B4"/>
    <w:rsid w:val="002810CE"/>
    <w:rsid w:val="00287CFC"/>
    <w:rsid w:val="0029293A"/>
    <w:rsid w:val="002C11A3"/>
    <w:rsid w:val="002C4C5D"/>
    <w:rsid w:val="002D6389"/>
    <w:rsid w:val="002E165A"/>
    <w:rsid w:val="002E30E7"/>
    <w:rsid w:val="002E4002"/>
    <w:rsid w:val="002F5D83"/>
    <w:rsid w:val="0030492C"/>
    <w:rsid w:val="00317137"/>
    <w:rsid w:val="00317659"/>
    <w:rsid w:val="0032332E"/>
    <w:rsid w:val="00336237"/>
    <w:rsid w:val="00341838"/>
    <w:rsid w:val="00345F2A"/>
    <w:rsid w:val="00356A20"/>
    <w:rsid w:val="00360F42"/>
    <w:rsid w:val="00363080"/>
    <w:rsid w:val="00365210"/>
    <w:rsid w:val="00370E2C"/>
    <w:rsid w:val="00374595"/>
    <w:rsid w:val="003758B8"/>
    <w:rsid w:val="00382614"/>
    <w:rsid w:val="00396ED2"/>
    <w:rsid w:val="003B3399"/>
    <w:rsid w:val="003C0C3B"/>
    <w:rsid w:val="003C7562"/>
    <w:rsid w:val="003E58A3"/>
    <w:rsid w:val="004065FC"/>
    <w:rsid w:val="00414D8A"/>
    <w:rsid w:val="00415561"/>
    <w:rsid w:val="00420FBA"/>
    <w:rsid w:val="0046169E"/>
    <w:rsid w:val="00494E4D"/>
    <w:rsid w:val="004B5AC9"/>
    <w:rsid w:val="004C13A0"/>
    <w:rsid w:val="004D0742"/>
    <w:rsid w:val="004D36FF"/>
    <w:rsid w:val="004E1482"/>
    <w:rsid w:val="004E5251"/>
    <w:rsid w:val="004E5C1E"/>
    <w:rsid w:val="005003F6"/>
    <w:rsid w:val="00510F7C"/>
    <w:rsid w:val="005164A7"/>
    <w:rsid w:val="005203A6"/>
    <w:rsid w:val="00522D9F"/>
    <w:rsid w:val="00544822"/>
    <w:rsid w:val="00552DE0"/>
    <w:rsid w:val="00553BE6"/>
    <w:rsid w:val="00560BDF"/>
    <w:rsid w:val="00596089"/>
    <w:rsid w:val="005C18D4"/>
    <w:rsid w:val="005D6D2E"/>
    <w:rsid w:val="005E570C"/>
    <w:rsid w:val="00600CE7"/>
    <w:rsid w:val="0060564F"/>
    <w:rsid w:val="00615760"/>
    <w:rsid w:val="006224B6"/>
    <w:rsid w:val="006366E6"/>
    <w:rsid w:val="00636E35"/>
    <w:rsid w:val="00637503"/>
    <w:rsid w:val="00660176"/>
    <w:rsid w:val="00662416"/>
    <w:rsid w:val="006731DA"/>
    <w:rsid w:val="00677CB2"/>
    <w:rsid w:val="006A10C0"/>
    <w:rsid w:val="006B0458"/>
    <w:rsid w:val="006C1973"/>
    <w:rsid w:val="006C6A58"/>
    <w:rsid w:val="006E7E58"/>
    <w:rsid w:val="00701E9F"/>
    <w:rsid w:val="00706EFB"/>
    <w:rsid w:val="00710969"/>
    <w:rsid w:val="00716BC0"/>
    <w:rsid w:val="00717B4C"/>
    <w:rsid w:val="0072151C"/>
    <w:rsid w:val="007227F9"/>
    <w:rsid w:val="00755145"/>
    <w:rsid w:val="00766900"/>
    <w:rsid w:val="00770108"/>
    <w:rsid w:val="00780270"/>
    <w:rsid w:val="00782988"/>
    <w:rsid w:val="007844B8"/>
    <w:rsid w:val="007A39EC"/>
    <w:rsid w:val="007A4D57"/>
    <w:rsid w:val="007A4EFC"/>
    <w:rsid w:val="007C3972"/>
    <w:rsid w:val="007C7FDC"/>
    <w:rsid w:val="007D0367"/>
    <w:rsid w:val="007D0E1F"/>
    <w:rsid w:val="007D3283"/>
    <w:rsid w:val="007E5298"/>
    <w:rsid w:val="007F0261"/>
    <w:rsid w:val="007F3AB9"/>
    <w:rsid w:val="00802565"/>
    <w:rsid w:val="008045E2"/>
    <w:rsid w:val="008046CA"/>
    <w:rsid w:val="008071EF"/>
    <w:rsid w:val="00814D19"/>
    <w:rsid w:val="00824B9E"/>
    <w:rsid w:val="008319FE"/>
    <w:rsid w:val="00843DAF"/>
    <w:rsid w:val="008442A4"/>
    <w:rsid w:val="00851776"/>
    <w:rsid w:val="008571C7"/>
    <w:rsid w:val="00860733"/>
    <w:rsid w:val="0086217E"/>
    <w:rsid w:val="008640F3"/>
    <w:rsid w:val="008821A4"/>
    <w:rsid w:val="008919E6"/>
    <w:rsid w:val="00893B12"/>
    <w:rsid w:val="00897A8A"/>
    <w:rsid w:val="008A099C"/>
    <w:rsid w:val="008A6D8B"/>
    <w:rsid w:val="008B0576"/>
    <w:rsid w:val="008B2A5D"/>
    <w:rsid w:val="008C212C"/>
    <w:rsid w:val="008C6E9F"/>
    <w:rsid w:val="008E406D"/>
    <w:rsid w:val="008E6BB8"/>
    <w:rsid w:val="00925EC1"/>
    <w:rsid w:val="0093541A"/>
    <w:rsid w:val="009618C5"/>
    <w:rsid w:val="00980CAA"/>
    <w:rsid w:val="0098223E"/>
    <w:rsid w:val="00993045"/>
    <w:rsid w:val="00995674"/>
    <w:rsid w:val="009B00AA"/>
    <w:rsid w:val="009D131B"/>
    <w:rsid w:val="009E1097"/>
    <w:rsid w:val="009E5B01"/>
    <w:rsid w:val="009F7E1C"/>
    <w:rsid w:val="00A21519"/>
    <w:rsid w:val="00A2176C"/>
    <w:rsid w:val="00A27E13"/>
    <w:rsid w:val="00A3261F"/>
    <w:rsid w:val="00A32E13"/>
    <w:rsid w:val="00A37AB7"/>
    <w:rsid w:val="00A46C17"/>
    <w:rsid w:val="00A5479D"/>
    <w:rsid w:val="00A85C6A"/>
    <w:rsid w:val="00A9339F"/>
    <w:rsid w:val="00AC17EF"/>
    <w:rsid w:val="00AC226E"/>
    <w:rsid w:val="00AC4EAE"/>
    <w:rsid w:val="00AD4665"/>
    <w:rsid w:val="00AD6A53"/>
    <w:rsid w:val="00AD6F24"/>
    <w:rsid w:val="00AD7DE4"/>
    <w:rsid w:val="00AE36F1"/>
    <w:rsid w:val="00AE5F46"/>
    <w:rsid w:val="00AE652C"/>
    <w:rsid w:val="00AF77B4"/>
    <w:rsid w:val="00B01C5B"/>
    <w:rsid w:val="00B06ADE"/>
    <w:rsid w:val="00B17F93"/>
    <w:rsid w:val="00B47601"/>
    <w:rsid w:val="00B62595"/>
    <w:rsid w:val="00B627C1"/>
    <w:rsid w:val="00B63F7E"/>
    <w:rsid w:val="00B91A5E"/>
    <w:rsid w:val="00B96941"/>
    <w:rsid w:val="00BA1AF6"/>
    <w:rsid w:val="00BB719B"/>
    <w:rsid w:val="00BC0DF5"/>
    <w:rsid w:val="00BC7E94"/>
    <w:rsid w:val="00BE4FFD"/>
    <w:rsid w:val="00BF7422"/>
    <w:rsid w:val="00C046D0"/>
    <w:rsid w:val="00C04BCF"/>
    <w:rsid w:val="00C243B5"/>
    <w:rsid w:val="00C42917"/>
    <w:rsid w:val="00C433F8"/>
    <w:rsid w:val="00C45F98"/>
    <w:rsid w:val="00C51363"/>
    <w:rsid w:val="00C527FC"/>
    <w:rsid w:val="00C57F9C"/>
    <w:rsid w:val="00C66DE3"/>
    <w:rsid w:val="00C66E28"/>
    <w:rsid w:val="00C67ED8"/>
    <w:rsid w:val="00C73780"/>
    <w:rsid w:val="00C74C35"/>
    <w:rsid w:val="00C93EE8"/>
    <w:rsid w:val="00C95CE4"/>
    <w:rsid w:val="00C978E0"/>
    <w:rsid w:val="00CA0EF5"/>
    <w:rsid w:val="00CA6F7B"/>
    <w:rsid w:val="00CB1AC8"/>
    <w:rsid w:val="00CD1E69"/>
    <w:rsid w:val="00CD6D6E"/>
    <w:rsid w:val="00D05F3F"/>
    <w:rsid w:val="00D22094"/>
    <w:rsid w:val="00D26C04"/>
    <w:rsid w:val="00D309A4"/>
    <w:rsid w:val="00D32BB7"/>
    <w:rsid w:val="00D33B55"/>
    <w:rsid w:val="00D40663"/>
    <w:rsid w:val="00D53A6D"/>
    <w:rsid w:val="00D62387"/>
    <w:rsid w:val="00D724D3"/>
    <w:rsid w:val="00D76397"/>
    <w:rsid w:val="00D76774"/>
    <w:rsid w:val="00D82E75"/>
    <w:rsid w:val="00D875DC"/>
    <w:rsid w:val="00D91AE9"/>
    <w:rsid w:val="00DB2A6E"/>
    <w:rsid w:val="00DD4D1D"/>
    <w:rsid w:val="00DD510F"/>
    <w:rsid w:val="00DE2482"/>
    <w:rsid w:val="00DF1D77"/>
    <w:rsid w:val="00E3740D"/>
    <w:rsid w:val="00E6232D"/>
    <w:rsid w:val="00E83801"/>
    <w:rsid w:val="00E86820"/>
    <w:rsid w:val="00EB6CE7"/>
    <w:rsid w:val="00EC006E"/>
    <w:rsid w:val="00ED5279"/>
    <w:rsid w:val="00EE6320"/>
    <w:rsid w:val="00EF589E"/>
    <w:rsid w:val="00F11CCA"/>
    <w:rsid w:val="00F2085F"/>
    <w:rsid w:val="00F30FB1"/>
    <w:rsid w:val="00F3657C"/>
    <w:rsid w:val="00F37702"/>
    <w:rsid w:val="00F41593"/>
    <w:rsid w:val="00F443D6"/>
    <w:rsid w:val="00F56675"/>
    <w:rsid w:val="00F61763"/>
    <w:rsid w:val="00F61D2A"/>
    <w:rsid w:val="00F76B7D"/>
    <w:rsid w:val="00F97042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E71F4"/>
  <w15:chartTrackingRefBased/>
  <w15:docId w15:val="{467FF0FD-A936-4DF9-A5AE-22F85CB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DA8"/>
  </w:style>
  <w:style w:type="paragraph" w:styleId="Footer">
    <w:name w:val="footer"/>
    <w:basedOn w:val="Normal"/>
    <w:link w:val="FooterChar"/>
    <w:uiPriority w:val="99"/>
    <w:unhideWhenUsed/>
    <w:rsid w:val="000B4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DA8"/>
  </w:style>
  <w:style w:type="paragraph" w:styleId="ListParagraph">
    <w:name w:val="List Paragraph"/>
    <w:basedOn w:val="Normal"/>
    <w:uiPriority w:val="34"/>
    <w:qFormat/>
    <w:rsid w:val="00C4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Proportion of Rooms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>
        <c:manualLayout>
          <c:layoutTarget val="inner"/>
          <c:xMode val="edge"/>
          <c:yMode val="edge"/>
          <c:x val="0.13454590800584315"/>
          <c:y val="0.22451555511096499"/>
          <c:w val="0.83033909120060112"/>
          <c:h val="0.499410163339382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Asia Pacific</c:v>
                </c:pt>
                <c:pt idx="2">
                  <c:v>Caribbean &amp; Latin America</c:v>
                </c:pt>
                <c:pt idx="3">
                  <c:v>Europe</c:v>
                </c:pt>
                <c:pt idx="4">
                  <c:v>Middle East &amp; Africa</c:v>
                </c:pt>
                <c:pt idx="5">
                  <c:v>timeshare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0.6493755639319656</c:v>
                </c:pt>
                <c:pt idx="1">
                  <c:v>0.16657531320184057</c:v>
                </c:pt>
                <c:pt idx="2">
                  <c:v>3.6950368365278936E-2</c:v>
                </c:pt>
                <c:pt idx="3">
                  <c:v>8.8915030034208364E-2</c:v>
                </c:pt>
                <c:pt idx="4">
                  <c:v>4.2193354527337176E-2</c:v>
                </c:pt>
                <c:pt idx="5">
                  <c:v>1.5990369939369409E-2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8B-4B15-8582-9C24AB1445C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Asia Pacific</c:v>
                </c:pt>
                <c:pt idx="2">
                  <c:v>Caribbean &amp; Latin America</c:v>
                </c:pt>
                <c:pt idx="3">
                  <c:v>Europe</c:v>
                </c:pt>
                <c:pt idx="4">
                  <c:v>Middle East &amp; Africa</c:v>
                </c:pt>
                <c:pt idx="5">
                  <c:v>timeshare</c:v>
                </c:pt>
              </c:strCache>
            </c:strRef>
          </c:cat>
          <c:val>
            <c:numRef>
              <c:f>Sheet1!$C$2:$C$7</c:f>
              <c:numCache>
                <c:formatCode>0.0%</c:formatCode>
                <c:ptCount val="6"/>
                <c:pt idx="0">
                  <c:v>0.63953517457995279</c:v>
                </c:pt>
                <c:pt idx="1">
                  <c:v>0.16901199922389379</c:v>
                </c:pt>
                <c:pt idx="2">
                  <c:v>4.1881340933044617E-2</c:v>
                </c:pt>
                <c:pt idx="3">
                  <c:v>8.9927588209405357E-2</c:v>
                </c:pt>
                <c:pt idx="4">
                  <c:v>4.4296870088069124E-2</c:v>
                </c:pt>
                <c:pt idx="5">
                  <c:v>1.5347026965634315E-2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8B-4B15-8582-9C24AB1445C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Asia Pacific</c:v>
                </c:pt>
                <c:pt idx="2">
                  <c:v>Caribbean &amp; Latin America</c:v>
                </c:pt>
                <c:pt idx="3">
                  <c:v>Europe</c:v>
                </c:pt>
                <c:pt idx="4">
                  <c:v>Middle East &amp; Africa</c:v>
                </c:pt>
                <c:pt idx="5">
                  <c:v>timeshare</c:v>
                </c:pt>
              </c:strCache>
            </c:strRef>
          </c:cat>
          <c:val>
            <c:numRef>
              <c:f>Sheet1!$D$2:$D$7</c:f>
              <c:numCache>
                <c:formatCode>0.0%</c:formatCode>
                <c:ptCount val="6"/>
                <c:pt idx="0">
                  <c:v>0.63223257792838239</c:v>
                </c:pt>
                <c:pt idx="1">
                  <c:v>0.17368872700859508</c:v>
                </c:pt>
                <c:pt idx="2">
                  <c:v>4.3231740774757166E-2</c:v>
                </c:pt>
                <c:pt idx="3">
                  <c:v>8.8552104454745525E-2</c:v>
                </c:pt>
                <c:pt idx="4">
                  <c:v>4.7286396351924435E-2</c:v>
                </c:pt>
                <c:pt idx="5">
                  <c:v>1.4910774632606249E-2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8B-4B15-8582-9C24AB1445C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838081295"/>
        <c:axId val="2031691423"/>
      </c:barChart>
      <c:catAx>
        <c:axId val="8380812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031691423"/>
        <c:crosses val="autoZero"/>
        <c:auto val="1"/>
        <c:lblAlgn val="ctr"/>
        <c:lblOffset val="100"/>
        <c:noMultiLvlLbl val="0"/>
      </c:catAx>
      <c:valAx>
        <c:axId val="2031691423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838081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/>
              <a:t>General, administrative, and other (million)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Marriot Inc.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762</c:v>
                </c:pt>
                <c:pt idx="1">
                  <c:v>823</c:v>
                </c:pt>
                <c:pt idx="2">
                  <c:v>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05-4B6B-A7B4-6F4AF80636C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Hilton Worldwide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371</c:v>
                </c:pt>
                <c:pt idx="1">
                  <c:v>450</c:v>
                </c:pt>
                <c:pt idx="2">
                  <c:v>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05-4B6B-A7B4-6F4AF80636C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Hyatt Hotels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321</c:v>
                </c:pt>
                <c:pt idx="1">
                  <c:v>366</c:v>
                </c:pt>
                <c:pt idx="2">
                  <c:v>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05-4B6B-A7B4-6F4AF80636C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9933056"/>
        <c:axId val="116339040"/>
      </c:barChart>
      <c:catAx>
        <c:axId val="7993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116339040"/>
        <c:crosses val="autoZero"/>
        <c:auto val="1"/>
        <c:lblAlgn val="ctr"/>
        <c:lblOffset val="100"/>
        <c:noMultiLvlLbl val="0"/>
      </c:catAx>
      <c:valAx>
        <c:axId val="116339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7993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/>
              <a:t>Reimbursed costs(million) 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Marriot Inc.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8435</c:v>
                </c:pt>
                <c:pt idx="1">
                  <c:v>10322</c:v>
                </c:pt>
                <c:pt idx="2">
                  <c:v>15141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7-4A4F-9A81-1D4808CEEE7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Hilton Worldwide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3104</c:v>
                </c:pt>
                <c:pt idx="1">
                  <c:v>3454</c:v>
                </c:pt>
                <c:pt idx="2">
                  <c:v>5076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C7-4A4F-9A81-1D4808CEEE7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Hyatt Hotels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1375</c:v>
                </c:pt>
                <c:pt idx="1">
                  <c:v>1639</c:v>
                </c:pt>
                <c:pt idx="2">
                  <c:v>2632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C7-4A4F-9A81-1D4808CEEE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28892319"/>
        <c:axId val="834827119"/>
      </c:barChart>
      <c:catAx>
        <c:axId val="2028892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834827119"/>
        <c:crosses val="autoZero"/>
        <c:auto val="1"/>
        <c:lblAlgn val="ctr"/>
        <c:lblOffset val="100"/>
        <c:noMultiLvlLbl val="0"/>
      </c:catAx>
      <c:valAx>
        <c:axId val="834827119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0288923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Rooms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U.S. &amp; Canada</c:v>
                </c:pt>
                <c:pt idx="1">
                  <c:v>Asia Pacific</c:v>
                </c:pt>
                <c:pt idx="2">
                  <c:v>Caribbean &amp; Latin America</c:v>
                </c:pt>
                <c:pt idx="3">
                  <c:v>Europe</c:v>
                </c:pt>
                <c:pt idx="4">
                  <c:v>Middle East &amp; Africa</c:v>
                </c:pt>
                <c:pt idx="5">
                  <c:v>timeshare</c:v>
                </c:pt>
                <c:pt idx="6">
                  <c:v>Yacht</c:v>
                </c:pt>
              </c:strCache>
            </c:strRef>
          </c:cat>
          <c:val>
            <c:numRef>
              <c:f>Sheet1!$B$2:$B$8</c:f>
              <c:numCache>
                <c:formatCode>#,##0</c:formatCode>
                <c:ptCount val="7"/>
                <c:pt idx="0">
                  <c:v>924090</c:v>
                </c:pt>
                <c:pt idx="1">
                  <c:v>237044</c:v>
                </c:pt>
                <c:pt idx="2">
                  <c:v>52582</c:v>
                </c:pt>
                <c:pt idx="3">
                  <c:v>126530</c:v>
                </c:pt>
                <c:pt idx="4">
                  <c:v>60043</c:v>
                </c:pt>
                <c:pt idx="5">
                  <c:v>22755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3D-4006-8B44-CD16990C90F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U.S. &amp; Canada</c:v>
                </c:pt>
                <c:pt idx="1">
                  <c:v>Asia Pacific</c:v>
                </c:pt>
                <c:pt idx="2">
                  <c:v>Caribbean &amp; Latin America</c:v>
                </c:pt>
                <c:pt idx="3">
                  <c:v>Europe</c:v>
                </c:pt>
                <c:pt idx="4">
                  <c:v>Middle East &amp; Africa</c:v>
                </c:pt>
                <c:pt idx="5">
                  <c:v>timeshare</c:v>
                </c:pt>
                <c:pt idx="6">
                  <c:v>Yacht</c:v>
                </c:pt>
              </c:strCache>
            </c:strRef>
          </c:cat>
          <c:val>
            <c:numRef>
              <c:f>Sheet1!$C$2:$C$8</c:f>
              <c:numCache>
                <c:formatCode>#,##0</c:formatCode>
                <c:ptCount val="7"/>
                <c:pt idx="0">
                  <c:v>945987</c:v>
                </c:pt>
                <c:pt idx="1">
                  <c:v>249999</c:v>
                </c:pt>
                <c:pt idx="2">
                  <c:v>61950</c:v>
                </c:pt>
                <c:pt idx="3">
                  <c:v>133019</c:v>
                </c:pt>
                <c:pt idx="4">
                  <c:v>65523</c:v>
                </c:pt>
                <c:pt idx="5">
                  <c:v>22701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3D-4006-8B44-CD16990C90F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U.S. &amp; Canada</c:v>
                </c:pt>
                <c:pt idx="1">
                  <c:v>Asia Pacific</c:v>
                </c:pt>
                <c:pt idx="2">
                  <c:v>Caribbean &amp; Latin America</c:v>
                </c:pt>
                <c:pt idx="3">
                  <c:v>Europe</c:v>
                </c:pt>
                <c:pt idx="4">
                  <c:v>Middle East &amp; Africa</c:v>
                </c:pt>
                <c:pt idx="5">
                  <c:v>timeshare</c:v>
                </c:pt>
                <c:pt idx="6">
                  <c:v>Yacht</c:v>
                </c:pt>
              </c:strCache>
            </c:strRef>
          </c:cat>
          <c:val>
            <c:numRef>
              <c:f>Sheet1!$D$2:$D$8</c:f>
              <c:numCache>
                <c:formatCode>#,##0</c:formatCode>
                <c:ptCount val="7"/>
                <c:pt idx="0">
                  <c:v>964412</c:v>
                </c:pt>
                <c:pt idx="1">
                  <c:v>264946</c:v>
                </c:pt>
                <c:pt idx="2">
                  <c:v>65946</c:v>
                </c:pt>
                <c:pt idx="3">
                  <c:v>135078</c:v>
                </c:pt>
                <c:pt idx="4">
                  <c:v>72131</c:v>
                </c:pt>
                <c:pt idx="5">
                  <c:v>22745</c:v>
                </c:pt>
                <c:pt idx="6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3D-4006-8B44-CD16990C90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66274512"/>
        <c:axId val="1768144704"/>
      </c:barChart>
      <c:catAx>
        <c:axId val="176627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1768144704"/>
        <c:crosses val="autoZero"/>
        <c:auto val="1"/>
        <c:lblAlgn val="ctr"/>
        <c:lblOffset val="100"/>
        <c:noMultiLvlLbl val="0"/>
      </c:catAx>
      <c:valAx>
        <c:axId val="1768144704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76627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revpar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Greater China</c:v>
                </c:pt>
                <c:pt idx="2">
                  <c:v>Asia Pacific excluding China</c:v>
                </c:pt>
                <c:pt idx="3">
                  <c:v>Caribbean &amp; Latin America</c:v>
                </c:pt>
                <c:pt idx="4">
                  <c:v>Europe</c:v>
                </c:pt>
                <c:pt idx="5">
                  <c:v>Middle East &amp; Africa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48.28</c:v>
                </c:pt>
                <c:pt idx="1">
                  <c:v>0</c:v>
                </c:pt>
                <c:pt idx="2">
                  <c:v>46.51</c:v>
                </c:pt>
                <c:pt idx="3">
                  <c:v>38.81</c:v>
                </c:pt>
                <c:pt idx="4">
                  <c:v>32.53</c:v>
                </c:pt>
                <c:pt idx="5">
                  <c:v>46.27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EA-4654-B4AB-C1419130B5D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Greater China</c:v>
                </c:pt>
                <c:pt idx="2">
                  <c:v>Asia Pacific excluding China</c:v>
                </c:pt>
                <c:pt idx="3">
                  <c:v>Caribbean &amp; Latin America</c:v>
                </c:pt>
                <c:pt idx="4">
                  <c:v>Europe</c:v>
                </c:pt>
                <c:pt idx="5">
                  <c:v>Middle East &amp; Africa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81.55</c:v>
                </c:pt>
                <c:pt idx="1">
                  <c:v>64.06</c:v>
                </c:pt>
                <c:pt idx="2">
                  <c:v>43.23</c:v>
                </c:pt>
                <c:pt idx="3">
                  <c:v>63.98</c:v>
                </c:pt>
                <c:pt idx="4">
                  <c:v>56.23</c:v>
                </c:pt>
                <c:pt idx="5">
                  <c:v>77.69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EA-4654-B4AB-C1419130B5D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Greater China</c:v>
                </c:pt>
                <c:pt idx="2">
                  <c:v>Asia Pacific excluding China</c:v>
                </c:pt>
                <c:pt idx="3">
                  <c:v>Caribbean &amp; Latin America</c:v>
                </c:pt>
                <c:pt idx="4">
                  <c:v>Europe</c:v>
                </c:pt>
                <c:pt idx="5">
                  <c:v>Middle East &amp; Africa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118.97</c:v>
                </c:pt>
                <c:pt idx="1">
                  <c:v>51.38</c:v>
                </c:pt>
                <c:pt idx="2">
                  <c:v>83.87</c:v>
                </c:pt>
                <c:pt idx="3">
                  <c:v>105.26</c:v>
                </c:pt>
                <c:pt idx="4">
                  <c:v>121.38</c:v>
                </c:pt>
                <c:pt idx="5">
                  <c:v>116.91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EA-4654-B4AB-C1419130B5D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765407664"/>
        <c:axId val="1712858080"/>
      </c:barChart>
      <c:catAx>
        <c:axId val="1765407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1712858080"/>
        <c:crosses val="autoZero"/>
        <c:auto val="1"/>
        <c:lblAlgn val="ctr"/>
        <c:lblOffset val="100"/>
        <c:noMultiLvlLbl val="0"/>
      </c:catAx>
      <c:valAx>
        <c:axId val="1712858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6540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Adr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Greater China</c:v>
                </c:pt>
                <c:pt idx="2">
                  <c:v>Asia Pacific excluding China</c:v>
                </c:pt>
                <c:pt idx="3">
                  <c:v>Caribbean &amp; Latin America</c:v>
                </c:pt>
                <c:pt idx="4">
                  <c:v>Europe</c:v>
                </c:pt>
                <c:pt idx="5">
                  <c:v>Middle East &amp; Africa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129.96</c:v>
                </c:pt>
                <c:pt idx="1">
                  <c:v>0</c:v>
                </c:pt>
                <c:pt idx="2">
                  <c:v>119.89</c:v>
                </c:pt>
                <c:pt idx="3">
                  <c:v>159.12</c:v>
                </c:pt>
                <c:pt idx="4">
                  <c:v>149.58000000000001</c:v>
                </c:pt>
                <c:pt idx="5">
                  <c:v>134.87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43-44B2-A47D-F927C7F5718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Greater China</c:v>
                </c:pt>
                <c:pt idx="2">
                  <c:v>Asia Pacific excluding China</c:v>
                </c:pt>
                <c:pt idx="3">
                  <c:v>Caribbean &amp; Latin America</c:v>
                </c:pt>
                <c:pt idx="4">
                  <c:v>Europe</c:v>
                </c:pt>
                <c:pt idx="5">
                  <c:v>Middle East &amp; Africa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147.84</c:v>
                </c:pt>
                <c:pt idx="1">
                  <c:v>118.09</c:v>
                </c:pt>
                <c:pt idx="2">
                  <c:v>114.5</c:v>
                </c:pt>
                <c:pt idx="3">
                  <c:v>152.94</c:v>
                </c:pt>
                <c:pt idx="4">
                  <c:v>172.71</c:v>
                </c:pt>
                <c:pt idx="5">
                  <c:v>153.52000000000001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43-44B2-A47D-F927C7F5718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Greater China</c:v>
                </c:pt>
                <c:pt idx="2">
                  <c:v>Asia Pacific excluding China</c:v>
                </c:pt>
                <c:pt idx="3">
                  <c:v>Caribbean &amp; Latin America</c:v>
                </c:pt>
                <c:pt idx="4">
                  <c:v>Europe</c:v>
                </c:pt>
                <c:pt idx="5">
                  <c:v>Middle East &amp; Africa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177.47</c:v>
                </c:pt>
                <c:pt idx="1">
                  <c:v>109.71</c:v>
                </c:pt>
                <c:pt idx="2">
                  <c:v>141.47</c:v>
                </c:pt>
                <c:pt idx="3">
                  <c:v>181.42</c:v>
                </c:pt>
                <c:pt idx="4">
                  <c:v>198.67</c:v>
                </c:pt>
                <c:pt idx="5">
                  <c:v>182.07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43-44B2-A47D-F927C7F5718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3287584"/>
        <c:axId val="153148352"/>
      </c:barChart>
      <c:catAx>
        <c:axId val="4328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153148352"/>
        <c:crosses val="autoZero"/>
        <c:auto val="1"/>
        <c:lblAlgn val="ctr"/>
        <c:lblOffset val="100"/>
        <c:noMultiLvlLbl val="0"/>
      </c:catAx>
      <c:valAx>
        <c:axId val="153148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328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Occupancy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Greater China</c:v>
                </c:pt>
                <c:pt idx="2">
                  <c:v>Asia Pacific excluding China</c:v>
                </c:pt>
                <c:pt idx="3">
                  <c:v>Caribbean &amp; Latin America</c:v>
                </c:pt>
                <c:pt idx="4">
                  <c:v>Europe</c:v>
                </c:pt>
                <c:pt idx="5">
                  <c:v>Middle East &amp; Africa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0.372</c:v>
                </c:pt>
                <c:pt idx="1">
                  <c:v>0</c:v>
                </c:pt>
                <c:pt idx="2">
                  <c:v>0.38800000000000001</c:v>
                </c:pt>
                <c:pt idx="3">
                  <c:v>0.24399999999999999</c:v>
                </c:pt>
                <c:pt idx="4">
                  <c:v>0.217</c:v>
                </c:pt>
                <c:pt idx="5">
                  <c:v>0.34300000000000003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6A-4D36-A57C-781E2A40673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Greater China</c:v>
                </c:pt>
                <c:pt idx="2">
                  <c:v>Asia Pacific excluding China</c:v>
                </c:pt>
                <c:pt idx="3">
                  <c:v>Caribbean &amp; Latin America</c:v>
                </c:pt>
                <c:pt idx="4">
                  <c:v>Europe</c:v>
                </c:pt>
                <c:pt idx="5">
                  <c:v>Middle East &amp; Africa</c:v>
                </c:pt>
              </c:strCache>
            </c:strRef>
          </c:cat>
          <c:val>
            <c:numRef>
              <c:f>Sheet1!$C$2:$C$7</c:f>
              <c:numCache>
                <c:formatCode>0.0%</c:formatCode>
                <c:ptCount val="6"/>
                <c:pt idx="0">
                  <c:v>0.55200000000000005</c:v>
                </c:pt>
                <c:pt idx="1">
                  <c:v>0.54200000000000004</c:v>
                </c:pt>
                <c:pt idx="2">
                  <c:v>0.378</c:v>
                </c:pt>
                <c:pt idx="3">
                  <c:v>0.41799999999999998</c:v>
                </c:pt>
                <c:pt idx="4">
                  <c:v>0.32600000000000001</c:v>
                </c:pt>
                <c:pt idx="5">
                  <c:v>0.50600000000000001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6A-4D36-A57C-781E2A40673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U.S. &amp; Canada</c:v>
                </c:pt>
                <c:pt idx="1">
                  <c:v>Greater China</c:v>
                </c:pt>
                <c:pt idx="2">
                  <c:v>Asia Pacific excluding China</c:v>
                </c:pt>
                <c:pt idx="3">
                  <c:v>Caribbean &amp; Latin America</c:v>
                </c:pt>
                <c:pt idx="4">
                  <c:v>Europe</c:v>
                </c:pt>
                <c:pt idx="5">
                  <c:v>Middle East &amp; Africa</c:v>
                </c:pt>
              </c:strCache>
            </c:strRef>
          </c:cat>
          <c:val>
            <c:numRef>
              <c:f>Sheet1!$D$2:$D$7</c:f>
              <c:numCache>
                <c:formatCode>0.0%</c:formatCode>
                <c:ptCount val="6"/>
                <c:pt idx="0">
                  <c:v>0.67</c:v>
                </c:pt>
                <c:pt idx="1">
                  <c:v>0.46800000000000003</c:v>
                </c:pt>
                <c:pt idx="2">
                  <c:v>0.59299999999999997</c:v>
                </c:pt>
                <c:pt idx="3">
                  <c:v>0.57999999999999996</c:v>
                </c:pt>
                <c:pt idx="4">
                  <c:v>0.61099999999999999</c:v>
                </c:pt>
                <c:pt idx="5">
                  <c:v>0.64200000000000002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6A-4D36-A57C-781E2A4067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140632384"/>
        <c:axId val="37964160"/>
      </c:barChart>
      <c:catAx>
        <c:axId val="1140632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37964160"/>
        <c:crosses val="autoZero"/>
        <c:auto val="1"/>
        <c:lblAlgn val="ctr"/>
        <c:lblOffset val="100"/>
        <c:noMultiLvlLbl val="0"/>
      </c:catAx>
      <c:valAx>
        <c:axId val="37964160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14063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Operating</a:t>
            </a:r>
            <a:r>
              <a:rPr lang="en-US" sz="1100" baseline="0"/>
              <a:t> Cost(million)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Owned, leased, and other-direct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677</c:v>
                </c:pt>
                <c:pt idx="1">
                  <c:v>734</c:v>
                </c:pt>
                <c:pt idx="2" formatCode="#,##0">
                  <c:v>1074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A1-48A6-9B71-1EDF7D4659F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General, administrative, and other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762</c:v>
                </c:pt>
                <c:pt idx="1">
                  <c:v>823</c:v>
                </c:pt>
                <c:pt idx="2">
                  <c:v>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A1-48A6-9B71-1EDF7D4659F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Reimbursed expenses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8435</c:v>
                </c:pt>
                <c:pt idx="1">
                  <c:v>10322</c:v>
                </c:pt>
                <c:pt idx="2">
                  <c:v>15141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A1-48A6-9B71-1EDF7D4659F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1872464"/>
        <c:axId val="844141471"/>
      </c:barChart>
      <c:catAx>
        <c:axId val="23187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844141471"/>
        <c:crosses val="autoZero"/>
        <c:auto val="1"/>
        <c:lblAlgn val="ctr"/>
        <c:lblOffset val="100"/>
        <c:noMultiLvlLbl val="0"/>
      </c:catAx>
      <c:valAx>
        <c:axId val="8441414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3187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As</a:t>
            </a:r>
            <a:r>
              <a:rPr lang="en-US" sz="1100" baseline="0"/>
              <a:t> a % of Total cost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Owned, leased, and other-direct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0.0%</c:formatCode>
                <c:ptCount val="3"/>
                <c:pt idx="0">
                  <c:v>6.8563905205590442E-2</c:v>
                </c:pt>
                <c:pt idx="1">
                  <c:v>6.1789712938799563E-2</c:v>
                </c:pt>
                <c:pt idx="2">
                  <c:v>6.2784987723605759E-2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EE-419E-BD7B-90886B240B0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General, administrative, and other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0.0%</c:formatCode>
                <c:ptCount val="3"/>
                <c:pt idx="0">
                  <c:v>7.7172371885760579E-2</c:v>
                </c:pt>
                <c:pt idx="1">
                  <c:v>6.9281926088054543E-2</c:v>
                </c:pt>
                <c:pt idx="2">
                  <c:v>5.2086987022097513E-2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EE-419E-BD7B-90886B240B0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Reimbursed expenses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0.0%</c:formatCode>
                <c:ptCount val="3"/>
                <c:pt idx="0">
                  <c:v>0.85426372290864894</c:v>
                </c:pt>
                <c:pt idx="1">
                  <c:v>0.86892836097314585</c:v>
                </c:pt>
                <c:pt idx="2">
                  <c:v>0.88512802525429679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EE-419E-BD7B-90886B240B0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37954559"/>
        <c:axId val="844140479"/>
      </c:barChart>
      <c:catAx>
        <c:axId val="2037954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844140479"/>
        <c:crosses val="autoZero"/>
        <c:auto val="1"/>
        <c:lblAlgn val="ctr"/>
        <c:lblOffset val="100"/>
        <c:noMultiLvlLbl val="0"/>
      </c:catAx>
      <c:valAx>
        <c:axId val="844140479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0379545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Revenue(million)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Marriot Inc.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10571</c:v>
                </c:pt>
                <c:pt idx="1">
                  <c:v>13857</c:v>
                </c:pt>
                <c:pt idx="2">
                  <c:v>20773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63-4A83-8852-2EC8CC652EF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Hilton Worldwide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4307</c:v>
                </c:pt>
                <c:pt idx="1">
                  <c:v>5788</c:v>
                </c:pt>
                <c:pt idx="2">
                  <c:v>8773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63-4A83-8852-2EC8CC652EF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Hyatt Hotels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N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2066</c:v>
                </c:pt>
                <c:pt idx="1">
                  <c:v>3028</c:v>
                </c:pt>
                <c:pt idx="2">
                  <c:v>5891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63-4A83-8852-2EC8CC652E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7955519"/>
        <c:axId val="549582992"/>
      </c:barChart>
      <c:catAx>
        <c:axId val="20379555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549582992"/>
        <c:crosses val="autoZero"/>
        <c:auto val="1"/>
        <c:lblAlgn val="ctr"/>
        <c:lblOffset val="100"/>
        <c:noMultiLvlLbl val="0"/>
      </c:catAx>
      <c:valAx>
        <c:axId val="54958299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0379555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0" i="0" u="none" strike="noStrike" baseline="0">
                <a:effectLst/>
              </a:rPr>
              <a:t>Owned, leased, and other-direct</a:t>
            </a:r>
            <a:r>
              <a:rPr lang="en-GB" sz="1100" b="0" i="0" u="none" strike="noStrike" baseline="0"/>
              <a:t> (million)</a:t>
            </a:r>
            <a:endParaRPr lang="en-NG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Marriot Inc.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677</c:v>
                </c:pt>
                <c:pt idx="1">
                  <c:v>734</c:v>
                </c:pt>
                <c:pt idx="2" formatCode="#,##0">
                  <c:v>1074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03-4696-9958-B398E1C19ED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Hilton Worldwide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620</c:v>
                </c:pt>
                <c:pt idx="1">
                  <c:v>697</c:v>
                </c:pt>
                <c:pt idx="2">
                  <c:v>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03-4696-9958-B398E1C19ED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Hyatt Hotels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692</c:v>
                </c:pt>
                <c:pt idx="1">
                  <c:v>852</c:v>
                </c:pt>
                <c:pt idx="2">
                  <c:v>1196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03-4696-9958-B398E1C19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0225999"/>
        <c:axId val="236607152"/>
      </c:barChart>
      <c:catAx>
        <c:axId val="840225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236607152"/>
        <c:crosses val="autoZero"/>
        <c:auto val="1"/>
        <c:lblAlgn val="ctr"/>
        <c:lblOffset val="100"/>
        <c:noMultiLvlLbl val="0"/>
      </c:catAx>
      <c:valAx>
        <c:axId val="236607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NG"/>
          </a:p>
        </c:txPr>
        <c:crossAx val="8402259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NG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N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ADEYINKA OMIKUNLE</dc:creator>
  <cp:keywords/>
  <dc:description/>
  <cp:lastModifiedBy>ADEYINKA OMIKUNLE</cp:lastModifiedBy>
  <cp:revision>288</cp:revision>
  <dcterms:created xsi:type="dcterms:W3CDTF">2023-09-10T19:56:00Z</dcterms:created>
  <dcterms:modified xsi:type="dcterms:W3CDTF">2023-09-21T18:03:00Z</dcterms:modified>
</cp:coreProperties>
</file>