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DCD2" w14:textId="20E82C3F" w:rsidR="00515C85" w:rsidRDefault="0037281F" w:rsidP="0037281F">
      <w:pPr>
        <w:jc w:val="center"/>
        <w:rPr>
          <w:sz w:val="36"/>
          <w:szCs w:val="36"/>
        </w:rPr>
      </w:pPr>
      <w:r w:rsidRPr="0037281F">
        <w:rPr>
          <w:sz w:val="36"/>
          <w:szCs w:val="36"/>
        </w:rPr>
        <w:t>Marriot inc</w:t>
      </w:r>
    </w:p>
    <w:p w14:paraId="502D0B79" w14:textId="77777777" w:rsidR="0037281F" w:rsidRDefault="0037281F" w:rsidP="0037281F">
      <w:pPr>
        <w:jc w:val="center"/>
        <w:rPr>
          <w:sz w:val="36"/>
          <w:szCs w:val="36"/>
        </w:rPr>
      </w:pPr>
    </w:p>
    <w:p w14:paraId="7698C7E2" w14:textId="6849DE38" w:rsidR="0037281F" w:rsidRDefault="0037281F" w:rsidP="0037281F">
      <w:pPr>
        <w:rPr>
          <w:sz w:val="36"/>
          <w:szCs w:val="36"/>
        </w:rPr>
      </w:pPr>
      <w:r>
        <w:rPr>
          <w:noProof/>
          <w:sz w:val="36"/>
          <w:szCs w:val="36"/>
        </w:rPr>
        <w:drawing>
          <wp:inline distT="0" distB="0" distL="0" distR="0" wp14:anchorId="74DEF111" wp14:editId="55DBF7B3">
            <wp:extent cx="5486400" cy="3168650"/>
            <wp:effectExtent l="0" t="0" r="0" b="12700"/>
            <wp:docPr id="8920225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95637D0" w14:textId="396B6A56"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50% increase in gross fees in comparison to 2021</w:t>
      </w:r>
    </w:p>
    <w:p w14:paraId="3E5202CA" w14:textId="64149125"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Management fees reached $529 million.</w:t>
      </w:r>
    </w:p>
    <w:p w14:paraId="009EAA49" w14:textId="5DAC3ABD" w:rsidR="00DF57D0" w:rsidRPr="00007B35" w:rsidRDefault="00DF57D0" w:rsidP="00DF57D0">
      <w:pPr>
        <w:pStyle w:val="ListParagraph"/>
        <w:numPr>
          <w:ilvl w:val="0"/>
          <w:numId w:val="1"/>
        </w:numPr>
        <w:rPr>
          <w:rFonts w:cstheme="minorHAnsi"/>
          <w:sz w:val="20"/>
          <w:szCs w:val="20"/>
        </w:rPr>
      </w:pPr>
      <w:r w:rsidRPr="00007B35">
        <w:rPr>
          <w:rFonts w:cstheme="minorHAnsi"/>
          <w:sz w:val="20"/>
          <w:szCs w:val="20"/>
        </w:rPr>
        <w:t>Added more than 65,000 rooms on a gross basis, achieving 3.1 percent net rooms growth year over year.</w:t>
      </w:r>
    </w:p>
    <w:p w14:paraId="697A40A8"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In 2022, Marriot Inc. had 8,300 properties, an increase of approximately 1,000 hotels from their portfolio pre-pandemic, and approximately 1.5 million rooms in 138 countries and territories.</w:t>
      </w:r>
    </w:p>
    <w:p w14:paraId="350ECDED" w14:textId="0067E919"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The Development team signed nearly 108,000 rooms worldwide, nearly half of which were in markets other than the United States. Nearly 40% of the rooms signed were in high-value luxury and premium brands, and nearly 20% were conversions. At the end of the year, the company's global development pipeline included over 3,000 properties representing more than 496,000 hotel rooms.</w:t>
      </w:r>
    </w:p>
    <w:p w14:paraId="52EC267C"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The acquisition of the City Express brand portfolio, which included approximately 17,000 rooms in Mexico and three other Latin American countries, helped boost revenue.</w:t>
      </w:r>
    </w:p>
    <w:p w14:paraId="33C73D79"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In 2022, Marriott launched the sailing of Evrima, the first yacht in The Ritz-Carlton Yacht Collection, offering yachting experiences around the globe and contributing to the company's expansion in areas other than lodging.</w:t>
      </w:r>
    </w:p>
    <w:p w14:paraId="01AF199F"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By the end of 2022, Marriott's Bonvoy programme had over 177 million members. It has been a significant demand generator for the company's hotels and other lodging offerings, as well as adjacent products such as its co-branded credit cards.</w:t>
      </w:r>
    </w:p>
    <w:p w14:paraId="37A10162" w14:textId="77777777" w:rsidR="00833EFD" w:rsidRPr="00007B35" w:rsidRDefault="00833EFD" w:rsidP="00DF57D0">
      <w:pPr>
        <w:pStyle w:val="ListParagraph"/>
        <w:numPr>
          <w:ilvl w:val="0"/>
          <w:numId w:val="1"/>
        </w:numPr>
        <w:rPr>
          <w:rFonts w:cstheme="minorHAnsi"/>
          <w:sz w:val="20"/>
          <w:szCs w:val="20"/>
        </w:rPr>
      </w:pPr>
      <w:r w:rsidRPr="00007B35">
        <w:rPr>
          <w:rFonts w:cstheme="minorHAnsi"/>
          <w:sz w:val="20"/>
          <w:szCs w:val="20"/>
        </w:rPr>
        <w:t>Last year, their growing portfolio of co-branded credit cards, which is now available in nine countries following the launch of a card in Saudi Arabia in November, had record global cardmember acquisitions and card spending.</w:t>
      </w:r>
    </w:p>
    <w:p w14:paraId="5C51EB2B" w14:textId="67D0BA3E" w:rsidR="00DF57D0" w:rsidRPr="00007B35" w:rsidRDefault="00833EFD" w:rsidP="00833EFD">
      <w:pPr>
        <w:pStyle w:val="ListParagraph"/>
        <w:numPr>
          <w:ilvl w:val="0"/>
          <w:numId w:val="1"/>
        </w:numPr>
        <w:rPr>
          <w:rFonts w:cstheme="minorHAnsi"/>
          <w:sz w:val="20"/>
          <w:szCs w:val="20"/>
        </w:rPr>
      </w:pPr>
      <w:r w:rsidRPr="00007B35">
        <w:rPr>
          <w:rFonts w:cstheme="minorHAnsi"/>
          <w:sz w:val="20"/>
          <w:szCs w:val="20"/>
        </w:rPr>
        <w:t>As a component of the Marriott Bonvoy programme, in 2022, their mobile app users increased by 32% annually, digital room nights increased by 27%, and digital revenues increased by 41%. They have seen significant increases in contributions from their digital platforms, which are highly profitable channels for their owners, and they anticipate many more enhancements in the coming years.</w:t>
      </w:r>
    </w:p>
    <w:p w14:paraId="787F0F07" w14:textId="63CA70E7" w:rsidR="00112166" w:rsidRPr="00007B35" w:rsidRDefault="00112166" w:rsidP="00833EFD">
      <w:pPr>
        <w:pStyle w:val="ListParagraph"/>
        <w:numPr>
          <w:ilvl w:val="0"/>
          <w:numId w:val="1"/>
        </w:numPr>
        <w:rPr>
          <w:rFonts w:cstheme="minorHAnsi"/>
          <w:sz w:val="20"/>
          <w:szCs w:val="20"/>
        </w:rPr>
      </w:pPr>
      <w:r w:rsidRPr="00007B35">
        <w:rPr>
          <w:rFonts w:cstheme="minorHAnsi"/>
          <w:sz w:val="20"/>
          <w:szCs w:val="20"/>
        </w:rPr>
        <w:t>There are two types of management fees that Marriot collect: a base management fee, which is a percentage of the hotel's revenue, and an incentive management fee, which is based on the hotel's profits.</w:t>
      </w:r>
    </w:p>
    <w:p w14:paraId="7B0E03DD" w14:textId="5596D6A9" w:rsidR="00112166" w:rsidRPr="00007B35" w:rsidRDefault="00112166" w:rsidP="00833EFD">
      <w:pPr>
        <w:pStyle w:val="ListParagraph"/>
        <w:numPr>
          <w:ilvl w:val="0"/>
          <w:numId w:val="1"/>
        </w:numPr>
        <w:rPr>
          <w:rFonts w:cstheme="minorHAnsi"/>
          <w:sz w:val="20"/>
          <w:szCs w:val="20"/>
        </w:rPr>
      </w:pPr>
      <w:r w:rsidRPr="00007B35">
        <w:rPr>
          <w:rFonts w:cstheme="minorHAnsi"/>
          <w:sz w:val="20"/>
          <w:szCs w:val="20"/>
        </w:rPr>
        <w:lastRenderedPageBreak/>
        <w:t xml:space="preserve">There are a variety of Marriot lease agreements, including fixed annual rents and additional rents based on a specified percentage of annual revenues </w:t>
      </w:r>
      <w:r w:rsidR="004D4B89" w:rsidRPr="00007B35">
        <w:rPr>
          <w:rFonts w:cstheme="minorHAnsi"/>
          <w:sz w:val="20"/>
          <w:szCs w:val="20"/>
        </w:rPr>
        <w:t>more than</w:t>
      </w:r>
      <w:r w:rsidRPr="00007B35">
        <w:rPr>
          <w:rFonts w:cstheme="minorHAnsi"/>
          <w:sz w:val="20"/>
          <w:szCs w:val="20"/>
        </w:rPr>
        <w:t xml:space="preserve"> a fixed amount.</w:t>
      </w:r>
    </w:p>
    <w:p w14:paraId="5A96DC56" w14:textId="77777777" w:rsidR="00E171B8" w:rsidRPr="00007B35" w:rsidRDefault="00E171B8" w:rsidP="00833EFD">
      <w:pPr>
        <w:pStyle w:val="ListParagraph"/>
        <w:numPr>
          <w:ilvl w:val="0"/>
          <w:numId w:val="1"/>
        </w:numPr>
        <w:rPr>
          <w:rFonts w:cstheme="minorHAnsi"/>
          <w:sz w:val="20"/>
          <w:szCs w:val="20"/>
        </w:rPr>
      </w:pPr>
      <w:r w:rsidRPr="00007B35">
        <w:rPr>
          <w:rFonts w:cstheme="minorHAnsi"/>
          <w:sz w:val="20"/>
          <w:szCs w:val="20"/>
        </w:rPr>
        <w:t>In accordance with their hotel franchising agreements, Marriott Inc. typically collects an initial application fee and ongoing royalty fees ranging from four to seven percent of room revenues for all brands, plus two to three percent of food and beverage revenues for certain full-service brands.</w:t>
      </w:r>
    </w:p>
    <w:p w14:paraId="252B96A5" w14:textId="77777777" w:rsidR="00CB5E08" w:rsidRPr="00007B35" w:rsidRDefault="00CB5E08" w:rsidP="00833EFD">
      <w:pPr>
        <w:pStyle w:val="ListParagraph"/>
        <w:numPr>
          <w:ilvl w:val="0"/>
          <w:numId w:val="1"/>
        </w:numPr>
        <w:rPr>
          <w:rFonts w:cstheme="minorHAnsi"/>
          <w:sz w:val="20"/>
          <w:szCs w:val="20"/>
        </w:rPr>
      </w:pPr>
      <w:r w:rsidRPr="00007B35">
        <w:rPr>
          <w:rFonts w:cstheme="minorHAnsi"/>
          <w:sz w:val="20"/>
          <w:szCs w:val="20"/>
        </w:rPr>
        <w:t>Marriott receives royalties under licence agreements with Marriott Vacations Worldwide Corporation and its affiliates (collectively "MVW") for certain brands, including Marriott Vacation Club, Grand Residences by Marriott, The Ritz-Carlton Destination Club, Westin, Sheraton, and for certain existing properties, St. Regis and The Luxury Collection. They receive licence fees from MVW consisting of a fixed annual fee, adjusted for inflation, in addition to certain variable fees based on sales volume.</w:t>
      </w:r>
    </w:p>
    <w:p w14:paraId="20248344" w14:textId="5A0FA4A1" w:rsidR="00833EFD" w:rsidRPr="00007B35" w:rsidRDefault="00CB5E08" w:rsidP="00833EFD">
      <w:pPr>
        <w:pStyle w:val="ListParagraph"/>
        <w:numPr>
          <w:ilvl w:val="0"/>
          <w:numId w:val="1"/>
        </w:numPr>
        <w:rPr>
          <w:rFonts w:cstheme="minorHAnsi"/>
          <w:sz w:val="20"/>
          <w:szCs w:val="20"/>
        </w:rPr>
      </w:pPr>
      <w:r w:rsidRPr="00007B35">
        <w:rPr>
          <w:rFonts w:cstheme="minorHAnsi"/>
          <w:sz w:val="20"/>
          <w:szCs w:val="20"/>
        </w:rPr>
        <w:t>Marriott uses trademark licences for the sale of residential real estate, frequently in conjunction with hotel development, and receives branding fees for the sale of branded residential real estate by third parties.</w:t>
      </w:r>
    </w:p>
    <w:p w14:paraId="11F1972F" w14:textId="3930E7AD" w:rsidR="00007B35" w:rsidRPr="00007B35" w:rsidRDefault="00007B35" w:rsidP="00833EFD">
      <w:pPr>
        <w:rPr>
          <w:rFonts w:cstheme="minorHAnsi"/>
          <w:b/>
          <w:bCs/>
          <w:sz w:val="20"/>
          <w:szCs w:val="20"/>
        </w:rPr>
      </w:pPr>
      <w:r w:rsidRPr="00007B35">
        <w:rPr>
          <w:rFonts w:cstheme="minorHAnsi"/>
          <w:b/>
          <w:bCs/>
          <w:sz w:val="20"/>
          <w:szCs w:val="20"/>
        </w:rPr>
        <w:t>Definitions:</w:t>
      </w:r>
    </w:p>
    <w:p w14:paraId="67161380" w14:textId="50C1BDD0" w:rsidR="000348CD" w:rsidRPr="00007B35" w:rsidRDefault="000348CD" w:rsidP="00833EFD">
      <w:pPr>
        <w:rPr>
          <w:rFonts w:cstheme="minorHAnsi"/>
          <w:sz w:val="20"/>
          <w:szCs w:val="20"/>
        </w:rPr>
      </w:pPr>
      <w:r w:rsidRPr="00007B35">
        <w:rPr>
          <w:rFonts w:cstheme="minorHAnsi"/>
          <w:sz w:val="20"/>
          <w:szCs w:val="20"/>
        </w:rPr>
        <w:t>Not all line revenue drivers could be decomposed into price volume due to the nature of the origination of those revenue drivers</w:t>
      </w:r>
      <w:r w:rsidR="00007B35" w:rsidRPr="00007B35">
        <w:rPr>
          <w:rFonts w:cstheme="minorHAnsi"/>
          <w:sz w:val="20"/>
          <w:szCs w:val="20"/>
        </w:rPr>
        <w:t>.</w:t>
      </w:r>
    </w:p>
    <w:p w14:paraId="5F61FD6A" w14:textId="3E4D2748" w:rsidR="00A40262" w:rsidRPr="00007B35" w:rsidRDefault="00A40262" w:rsidP="00833EFD">
      <w:pPr>
        <w:rPr>
          <w:rFonts w:cstheme="minorHAnsi"/>
          <w:sz w:val="20"/>
          <w:szCs w:val="20"/>
        </w:rPr>
      </w:pPr>
      <w:r w:rsidRPr="00007B35">
        <w:rPr>
          <w:rFonts w:cstheme="minorHAnsi"/>
          <w:sz w:val="20"/>
          <w:szCs w:val="20"/>
        </w:rPr>
        <w:t>RevPAR</w:t>
      </w:r>
      <w:r w:rsidR="00007B35" w:rsidRPr="00007B35">
        <w:rPr>
          <w:rFonts w:cstheme="minorHAnsi"/>
          <w:sz w:val="20"/>
          <w:szCs w:val="20"/>
        </w:rPr>
        <w:t xml:space="preserve">: </w:t>
      </w:r>
      <w:r w:rsidRPr="00007B35">
        <w:rPr>
          <w:rFonts w:cstheme="minorHAnsi"/>
          <w:sz w:val="20"/>
          <w:szCs w:val="20"/>
        </w:rPr>
        <w:t xml:space="preserve">calculated by dividing room sales for comparable properties by room nights available for the period, is a meaningful indicator of our performance because it measures the period over-period change in room revenues for comparable properties. </w:t>
      </w:r>
    </w:p>
    <w:p w14:paraId="29F857BA" w14:textId="30E8D19E" w:rsidR="00007B35" w:rsidRPr="00007B35" w:rsidRDefault="00007B35" w:rsidP="00833EFD">
      <w:pPr>
        <w:rPr>
          <w:rFonts w:cstheme="minorHAnsi"/>
          <w:sz w:val="20"/>
          <w:szCs w:val="20"/>
        </w:rPr>
      </w:pPr>
      <w:r w:rsidRPr="00007B35">
        <w:rPr>
          <w:rFonts w:cstheme="minorHAnsi"/>
          <w:sz w:val="20"/>
          <w:szCs w:val="20"/>
        </w:rPr>
        <w:t>Occupancy rate: calculated by dividing occupied rooms by total rooms available measures the utilization of a property’s available capacity.</w:t>
      </w:r>
    </w:p>
    <w:p w14:paraId="2A319BA0" w14:textId="7F746262" w:rsidR="00A40262" w:rsidRPr="00007B35" w:rsidRDefault="00A40262" w:rsidP="00833EFD">
      <w:pPr>
        <w:rPr>
          <w:rFonts w:cstheme="minorHAnsi"/>
          <w:sz w:val="20"/>
          <w:szCs w:val="20"/>
        </w:rPr>
      </w:pPr>
      <w:r w:rsidRPr="00007B35">
        <w:rPr>
          <w:rFonts w:cstheme="minorHAnsi"/>
          <w:sz w:val="20"/>
          <w:szCs w:val="20"/>
        </w:rPr>
        <w:t>ADR</w:t>
      </w:r>
      <w:r w:rsidR="00007B35" w:rsidRPr="00007B35">
        <w:rPr>
          <w:rFonts w:cstheme="minorHAnsi"/>
          <w:b/>
          <w:bCs/>
          <w:sz w:val="20"/>
          <w:szCs w:val="20"/>
        </w:rPr>
        <w:t xml:space="preserve">: </w:t>
      </w:r>
      <w:r w:rsidRPr="00007B35">
        <w:rPr>
          <w:rFonts w:cstheme="minorHAnsi"/>
          <w:sz w:val="20"/>
          <w:szCs w:val="20"/>
        </w:rPr>
        <w:t>calculated by dividing property room revenue by total rooms sold help with assessing price levels.</w:t>
      </w:r>
    </w:p>
    <w:p w14:paraId="40FAAE12" w14:textId="77777777" w:rsidR="004A2EDD" w:rsidRPr="00007B35" w:rsidRDefault="004A2EDD" w:rsidP="00833EFD">
      <w:pPr>
        <w:rPr>
          <w:rFonts w:cstheme="minorHAnsi"/>
          <w:sz w:val="20"/>
          <w:szCs w:val="20"/>
        </w:rPr>
      </w:pPr>
    </w:p>
    <w:p w14:paraId="28560EF7" w14:textId="211E9AD5" w:rsidR="004A2EDD" w:rsidRPr="00007B35" w:rsidRDefault="004A2EDD" w:rsidP="00833EFD">
      <w:pPr>
        <w:rPr>
          <w:rFonts w:cstheme="minorHAnsi"/>
          <w:sz w:val="20"/>
          <w:szCs w:val="20"/>
        </w:rPr>
      </w:pPr>
      <w:r w:rsidRPr="00007B35">
        <w:rPr>
          <w:rFonts w:cstheme="minorHAnsi"/>
          <w:sz w:val="20"/>
          <w:szCs w:val="20"/>
        </w:rPr>
        <w:t>Calculations and performance:</w:t>
      </w:r>
    </w:p>
    <w:p w14:paraId="64E10046" w14:textId="5087A604" w:rsidR="004A2EDD" w:rsidRPr="00007B35" w:rsidRDefault="004A2EDD" w:rsidP="004A2EDD">
      <w:pPr>
        <w:rPr>
          <w:rFonts w:cstheme="minorHAnsi"/>
          <w:sz w:val="20"/>
          <w:szCs w:val="20"/>
        </w:rPr>
      </w:pPr>
      <w:r w:rsidRPr="00007B35">
        <w:rPr>
          <w:rFonts w:cstheme="minorHAnsi"/>
          <w:sz w:val="20"/>
          <w:szCs w:val="20"/>
        </w:rPr>
        <w:t xml:space="preserve">RevPAR: </w:t>
      </w:r>
    </w:p>
    <w:p w14:paraId="5BC7F64A" w14:textId="2F262187" w:rsidR="004A2EDD" w:rsidRPr="00007B35" w:rsidRDefault="004A2EDD" w:rsidP="004A2EDD">
      <w:pPr>
        <w:rPr>
          <w:rFonts w:cstheme="minorHAnsi"/>
          <w:sz w:val="20"/>
          <w:szCs w:val="20"/>
        </w:rPr>
      </w:pPr>
      <w:r w:rsidRPr="00007B35">
        <w:rPr>
          <w:rFonts w:cstheme="minorHAnsi"/>
          <w:sz w:val="20"/>
          <w:szCs w:val="20"/>
        </w:rPr>
        <w:t>In 2022 worldwide RevPAR exceeded 2019 levels by 4.6 percent, reflecting ADR growth of 12.8 percent, partially offset by a decline in occupancy of 5.1 percentage points compared to 2019 levels. The global recovery continued across all customer segments, led by robust leisure demand as well as strengthening group demand, which was higher than 2019 levels in certain regions in 2022. Business transient demand also continued to improve during 2022.</w:t>
      </w:r>
    </w:p>
    <w:p w14:paraId="18D21042" w14:textId="37CD3A4A" w:rsidR="004A2EDD" w:rsidRPr="00007B35" w:rsidRDefault="004A2EDD" w:rsidP="004A2EDD">
      <w:pPr>
        <w:rPr>
          <w:rFonts w:cstheme="minorHAnsi"/>
          <w:sz w:val="20"/>
          <w:szCs w:val="20"/>
        </w:rPr>
      </w:pPr>
      <w:r w:rsidRPr="00007B35">
        <w:rPr>
          <w:rFonts w:cstheme="minorHAnsi"/>
          <w:sz w:val="20"/>
          <w:szCs w:val="20"/>
        </w:rPr>
        <w:t xml:space="preserve">RevPAR in 2022 compared to 2021 improved 46.5 percent in U.S. &amp; Canada segment, 66.2 percent in international segment, and 51.0 percent worldwide. RevPAR in 2022 compared to pre-pandemic 2019 levels declined 4.0 percent worldwide, with improvement in the decline each succeeding quarter during 2022 for each of our segments and worldwide. In the U.S. &amp; Canada, RevPAR declined only 0.8 percent in 2022 compared to 2019, due to a decline in occupancy of 6.0 percentage points, partially offset by ADR growth of 8.1 percent. In the 2022 fourth quarter, U.S. &amp; Canada RevPAR improved 5.2 percent compared to the same period in 2019, due to ADR growth of 11.1 percent, partially offset by a decline in occupancy of 3.7 percentage points. The decline in occupancy as compared to 2019 improved sequentially in each quarter of 2022, reflecting strong demand recovery in many markets within the U.S. &amp; Canada. Internationally, RevPAR declined 11.9 percent in 2022 compared to 2019, due to a decline in occupancy of 12.2 percentage points, partially offset by ADR growth of 7.0 percent. In the 2022 fourth quarter, International RevPAR improved 3.4 percent compared to the same period in 2019, due to ADR growth of 17.3 percent, partially offset by a decline in occupancy of 8.3 percentage points. In the 2022 fourth quarter, RevPAR remained significantly below 2019 levels in Greater China, but exceeded pre-pandemic 2019 levels in the Caribbean &amp; Latin America, Europe, Middle East &amp; Africa, and Asia Pacific excluding China regions, driven by strengthening demand, especially from cross-border guests and meaningful growth in ADR. </w:t>
      </w:r>
    </w:p>
    <w:p w14:paraId="26F54C21" w14:textId="77777777" w:rsidR="004A2EDD" w:rsidRPr="00007B35" w:rsidRDefault="004A2EDD" w:rsidP="004A2EDD">
      <w:pPr>
        <w:rPr>
          <w:rFonts w:cstheme="minorHAnsi"/>
          <w:sz w:val="20"/>
          <w:szCs w:val="20"/>
        </w:rPr>
      </w:pPr>
    </w:p>
    <w:p w14:paraId="755805C4" w14:textId="142BDA2E" w:rsidR="004A2EDD" w:rsidRPr="00007B35" w:rsidRDefault="004A2EDD" w:rsidP="004A2EDD">
      <w:pPr>
        <w:rPr>
          <w:rFonts w:cstheme="minorHAnsi"/>
          <w:sz w:val="20"/>
          <w:szCs w:val="20"/>
        </w:rPr>
      </w:pPr>
      <w:r w:rsidRPr="00007B35">
        <w:rPr>
          <w:rFonts w:cstheme="minorHAnsi"/>
          <w:sz w:val="20"/>
          <w:szCs w:val="20"/>
        </w:rPr>
        <w:t>Management Fees</w:t>
      </w:r>
      <w:r w:rsidR="00796DCC" w:rsidRPr="00007B35">
        <w:rPr>
          <w:rFonts w:cstheme="minorHAnsi"/>
          <w:sz w:val="20"/>
          <w:szCs w:val="20"/>
        </w:rPr>
        <w:t xml:space="preserve"> (have been calculated based of total management fees incentive and base)</w:t>
      </w:r>
      <w:r w:rsidRPr="00007B35">
        <w:rPr>
          <w:rFonts w:cstheme="minorHAnsi"/>
          <w:sz w:val="20"/>
          <w:szCs w:val="20"/>
        </w:rPr>
        <w:t>:</w:t>
      </w:r>
    </w:p>
    <w:tbl>
      <w:tblPr>
        <w:tblStyle w:val="TableGrid"/>
        <w:tblW w:w="0" w:type="auto"/>
        <w:tblLook w:val="04A0" w:firstRow="1" w:lastRow="0" w:firstColumn="1" w:lastColumn="0" w:noHBand="0" w:noVBand="1"/>
      </w:tblPr>
      <w:tblGrid>
        <w:gridCol w:w="3005"/>
        <w:gridCol w:w="3005"/>
        <w:gridCol w:w="3006"/>
      </w:tblGrid>
      <w:tr w:rsidR="00732DAD" w:rsidRPr="00007B35" w14:paraId="159BE68B" w14:textId="77777777" w:rsidTr="00732DAD">
        <w:tc>
          <w:tcPr>
            <w:tcW w:w="3005" w:type="dxa"/>
          </w:tcPr>
          <w:p w14:paraId="73BE81DF" w14:textId="794C1190" w:rsidR="00732DAD" w:rsidRPr="00007B35" w:rsidRDefault="00732DAD" w:rsidP="004A2EDD">
            <w:pPr>
              <w:rPr>
                <w:rFonts w:cstheme="minorHAnsi"/>
                <w:sz w:val="20"/>
                <w:szCs w:val="20"/>
              </w:rPr>
            </w:pPr>
          </w:p>
        </w:tc>
        <w:tc>
          <w:tcPr>
            <w:tcW w:w="3005" w:type="dxa"/>
          </w:tcPr>
          <w:p w14:paraId="6E893ED8" w14:textId="6E83122A" w:rsidR="00732DAD" w:rsidRPr="00007B35" w:rsidRDefault="00732DAD" w:rsidP="004A2EDD">
            <w:pPr>
              <w:rPr>
                <w:rFonts w:cstheme="minorHAnsi"/>
                <w:sz w:val="20"/>
                <w:szCs w:val="20"/>
              </w:rPr>
            </w:pPr>
            <w:r w:rsidRPr="00007B35">
              <w:rPr>
                <w:rFonts w:cstheme="minorHAnsi"/>
                <w:sz w:val="20"/>
                <w:szCs w:val="20"/>
              </w:rPr>
              <w:t>2022</w:t>
            </w:r>
          </w:p>
        </w:tc>
        <w:tc>
          <w:tcPr>
            <w:tcW w:w="3006" w:type="dxa"/>
          </w:tcPr>
          <w:p w14:paraId="223CE7F8" w14:textId="6CEF7BDA" w:rsidR="00732DAD" w:rsidRPr="00007B35" w:rsidRDefault="00732DAD" w:rsidP="004A2EDD">
            <w:pPr>
              <w:rPr>
                <w:rFonts w:cstheme="minorHAnsi"/>
                <w:sz w:val="20"/>
                <w:szCs w:val="20"/>
              </w:rPr>
            </w:pPr>
            <w:r w:rsidRPr="00007B35">
              <w:rPr>
                <w:rFonts w:cstheme="minorHAnsi"/>
                <w:sz w:val="20"/>
                <w:szCs w:val="20"/>
              </w:rPr>
              <w:t>2021</w:t>
            </w:r>
          </w:p>
        </w:tc>
      </w:tr>
      <w:tr w:rsidR="00732DAD" w:rsidRPr="00007B35" w14:paraId="58C64F7D" w14:textId="77777777" w:rsidTr="00732DAD">
        <w:tc>
          <w:tcPr>
            <w:tcW w:w="3005" w:type="dxa"/>
          </w:tcPr>
          <w:p w14:paraId="18E826FC" w14:textId="2E109657" w:rsidR="00732DAD" w:rsidRPr="00007B35" w:rsidRDefault="00732DAD" w:rsidP="004A2EDD">
            <w:pPr>
              <w:rPr>
                <w:rFonts w:cstheme="minorHAnsi"/>
                <w:sz w:val="20"/>
                <w:szCs w:val="20"/>
              </w:rPr>
            </w:pPr>
            <w:r w:rsidRPr="00007B35">
              <w:rPr>
                <w:rFonts w:cstheme="minorHAnsi"/>
                <w:sz w:val="20"/>
                <w:szCs w:val="20"/>
              </w:rPr>
              <w:t>Per Room (change +71.7%)</w:t>
            </w:r>
          </w:p>
        </w:tc>
        <w:tc>
          <w:tcPr>
            <w:tcW w:w="3005" w:type="dxa"/>
          </w:tcPr>
          <w:p w14:paraId="0D1008A7" w14:textId="77777777" w:rsidR="00732DAD" w:rsidRPr="00007B35" w:rsidRDefault="00732DAD" w:rsidP="00732DAD">
            <w:pPr>
              <w:rPr>
                <w:rFonts w:cstheme="minorHAnsi"/>
                <w:color w:val="000000"/>
                <w:sz w:val="20"/>
                <w:szCs w:val="20"/>
              </w:rPr>
            </w:pPr>
            <w:r w:rsidRPr="00007B35">
              <w:rPr>
                <w:rFonts w:cstheme="minorHAnsi"/>
                <w:color w:val="000000"/>
                <w:sz w:val="20"/>
                <w:szCs w:val="20"/>
              </w:rPr>
              <w:t>2806.168</w:t>
            </w:r>
          </w:p>
          <w:p w14:paraId="1D2C45C6" w14:textId="77777777" w:rsidR="00732DAD" w:rsidRPr="00007B35" w:rsidRDefault="00732DAD" w:rsidP="004A2EDD">
            <w:pPr>
              <w:rPr>
                <w:rFonts w:cstheme="minorHAnsi"/>
                <w:sz w:val="20"/>
                <w:szCs w:val="20"/>
              </w:rPr>
            </w:pPr>
          </w:p>
        </w:tc>
        <w:tc>
          <w:tcPr>
            <w:tcW w:w="3006" w:type="dxa"/>
          </w:tcPr>
          <w:p w14:paraId="0732A1F4" w14:textId="77777777" w:rsidR="00732DAD" w:rsidRPr="00007B35" w:rsidRDefault="00732DAD" w:rsidP="00732DAD">
            <w:pPr>
              <w:rPr>
                <w:rFonts w:cstheme="minorHAnsi"/>
                <w:color w:val="000000"/>
                <w:sz w:val="20"/>
                <w:szCs w:val="20"/>
              </w:rPr>
            </w:pPr>
            <w:r w:rsidRPr="00007B35">
              <w:rPr>
                <w:rFonts w:cstheme="minorHAnsi"/>
                <w:color w:val="000000"/>
                <w:sz w:val="20"/>
                <w:szCs w:val="20"/>
              </w:rPr>
              <w:t>1634.211</w:t>
            </w:r>
          </w:p>
          <w:p w14:paraId="467D878F" w14:textId="77777777" w:rsidR="00732DAD" w:rsidRPr="00007B35" w:rsidRDefault="00732DAD" w:rsidP="004A2EDD">
            <w:pPr>
              <w:rPr>
                <w:rFonts w:cstheme="minorHAnsi"/>
                <w:sz w:val="20"/>
                <w:szCs w:val="20"/>
              </w:rPr>
            </w:pPr>
          </w:p>
        </w:tc>
      </w:tr>
      <w:tr w:rsidR="00732DAD" w:rsidRPr="00007B35" w14:paraId="70282760" w14:textId="77777777" w:rsidTr="00732DAD">
        <w:tc>
          <w:tcPr>
            <w:tcW w:w="3005" w:type="dxa"/>
          </w:tcPr>
          <w:p w14:paraId="4AE466BF" w14:textId="7E2083E7" w:rsidR="00732DAD" w:rsidRPr="00007B35" w:rsidRDefault="00732DAD" w:rsidP="004A2EDD">
            <w:pPr>
              <w:rPr>
                <w:rFonts w:cstheme="minorHAnsi"/>
                <w:sz w:val="20"/>
                <w:szCs w:val="20"/>
              </w:rPr>
            </w:pPr>
            <w:r w:rsidRPr="00007B35">
              <w:rPr>
                <w:rFonts w:cstheme="minorHAnsi"/>
                <w:sz w:val="20"/>
                <w:szCs w:val="20"/>
              </w:rPr>
              <w:t>Per property (change +69.98%)</w:t>
            </w:r>
          </w:p>
        </w:tc>
        <w:tc>
          <w:tcPr>
            <w:tcW w:w="3005" w:type="dxa"/>
          </w:tcPr>
          <w:p w14:paraId="3D144D6E" w14:textId="77777777" w:rsidR="00732DAD" w:rsidRPr="00007B35" w:rsidRDefault="00732DAD" w:rsidP="00732DAD">
            <w:pPr>
              <w:rPr>
                <w:rFonts w:cstheme="minorHAnsi"/>
                <w:color w:val="000000"/>
                <w:sz w:val="20"/>
                <w:szCs w:val="20"/>
              </w:rPr>
            </w:pPr>
            <w:r w:rsidRPr="00007B35">
              <w:rPr>
                <w:rFonts w:cstheme="minorHAnsi"/>
                <w:color w:val="000000"/>
                <w:sz w:val="20"/>
                <w:szCs w:val="20"/>
              </w:rPr>
              <w:t>790849.7</w:t>
            </w:r>
          </w:p>
          <w:p w14:paraId="37467C49" w14:textId="77777777" w:rsidR="00732DAD" w:rsidRPr="00007B35" w:rsidRDefault="00732DAD" w:rsidP="004A2EDD">
            <w:pPr>
              <w:rPr>
                <w:rFonts w:cstheme="minorHAnsi"/>
                <w:sz w:val="20"/>
                <w:szCs w:val="20"/>
              </w:rPr>
            </w:pPr>
          </w:p>
        </w:tc>
        <w:tc>
          <w:tcPr>
            <w:tcW w:w="3006" w:type="dxa"/>
          </w:tcPr>
          <w:p w14:paraId="048B0094" w14:textId="77777777" w:rsidR="00732DAD" w:rsidRPr="00007B35" w:rsidRDefault="00732DAD" w:rsidP="00732DAD">
            <w:pPr>
              <w:rPr>
                <w:rFonts w:cstheme="minorHAnsi"/>
                <w:color w:val="000000"/>
                <w:sz w:val="20"/>
                <w:szCs w:val="20"/>
              </w:rPr>
            </w:pPr>
            <w:r w:rsidRPr="00007B35">
              <w:rPr>
                <w:rFonts w:cstheme="minorHAnsi"/>
                <w:color w:val="000000"/>
                <w:sz w:val="20"/>
                <w:szCs w:val="20"/>
              </w:rPr>
              <w:t>465259.9</w:t>
            </w:r>
          </w:p>
          <w:p w14:paraId="261AE0A0" w14:textId="77777777" w:rsidR="00732DAD" w:rsidRPr="00007B35" w:rsidRDefault="00732DAD" w:rsidP="004A2EDD">
            <w:pPr>
              <w:rPr>
                <w:rFonts w:cstheme="minorHAnsi"/>
                <w:sz w:val="20"/>
                <w:szCs w:val="20"/>
              </w:rPr>
            </w:pPr>
          </w:p>
        </w:tc>
      </w:tr>
    </w:tbl>
    <w:p w14:paraId="70D1B97E" w14:textId="08F1B70D" w:rsidR="00732DAD" w:rsidRPr="00007B35" w:rsidRDefault="00732DAD" w:rsidP="004A2EDD">
      <w:pPr>
        <w:rPr>
          <w:rFonts w:cstheme="minorHAnsi"/>
          <w:sz w:val="20"/>
          <w:szCs w:val="20"/>
        </w:rPr>
      </w:pPr>
    </w:p>
    <w:p w14:paraId="4B3CEC54" w14:textId="67A6ED31" w:rsidR="00732DAD" w:rsidRPr="00007B35" w:rsidRDefault="00796DCC" w:rsidP="00796DCC">
      <w:pPr>
        <w:pStyle w:val="ListParagraph"/>
        <w:numPr>
          <w:ilvl w:val="0"/>
          <w:numId w:val="2"/>
        </w:numPr>
        <w:rPr>
          <w:rFonts w:cstheme="minorHAnsi"/>
          <w:sz w:val="20"/>
          <w:szCs w:val="20"/>
        </w:rPr>
      </w:pPr>
      <w:r w:rsidRPr="00007B35">
        <w:rPr>
          <w:rFonts w:cstheme="minorHAnsi"/>
          <w:sz w:val="20"/>
          <w:szCs w:val="20"/>
        </w:rPr>
        <w:t>Significant growth in management fee revenues was driven primarily by higher RevPAR and unit growth, partially offset by net unfavourable foreign exchange rates of $25 million.</w:t>
      </w:r>
    </w:p>
    <w:p w14:paraId="6BD52BDF" w14:textId="12690C6C" w:rsidR="00796DCC" w:rsidRPr="00007B35" w:rsidRDefault="00796DCC" w:rsidP="00796DCC">
      <w:pPr>
        <w:rPr>
          <w:rFonts w:cstheme="minorHAnsi"/>
          <w:sz w:val="20"/>
          <w:szCs w:val="20"/>
        </w:rPr>
      </w:pPr>
      <w:r w:rsidRPr="00007B35">
        <w:rPr>
          <w:rFonts w:cstheme="minorHAnsi"/>
          <w:sz w:val="20"/>
          <w:szCs w:val="20"/>
        </w:rPr>
        <w:t>Franchise fees:</w:t>
      </w:r>
    </w:p>
    <w:tbl>
      <w:tblPr>
        <w:tblStyle w:val="TableGrid"/>
        <w:tblW w:w="0" w:type="auto"/>
        <w:tblLook w:val="04A0" w:firstRow="1" w:lastRow="0" w:firstColumn="1" w:lastColumn="0" w:noHBand="0" w:noVBand="1"/>
      </w:tblPr>
      <w:tblGrid>
        <w:gridCol w:w="3005"/>
        <w:gridCol w:w="3005"/>
        <w:gridCol w:w="3006"/>
      </w:tblGrid>
      <w:tr w:rsidR="00796DCC" w:rsidRPr="00007B35" w14:paraId="101AD680" w14:textId="77777777" w:rsidTr="00796DCC">
        <w:tc>
          <w:tcPr>
            <w:tcW w:w="3005" w:type="dxa"/>
          </w:tcPr>
          <w:p w14:paraId="4C8F625C" w14:textId="77777777" w:rsidR="00796DCC" w:rsidRPr="00007B35" w:rsidRDefault="00796DCC" w:rsidP="00796DCC">
            <w:pPr>
              <w:rPr>
                <w:rFonts w:cstheme="minorHAnsi"/>
                <w:sz w:val="20"/>
                <w:szCs w:val="20"/>
              </w:rPr>
            </w:pPr>
          </w:p>
        </w:tc>
        <w:tc>
          <w:tcPr>
            <w:tcW w:w="3005" w:type="dxa"/>
          </w:tcPr>
          <w:p w14:paraId="33BD3DF0" w14:textId="70BAED5D" w:rsidR="00796DCC" w:rsidRPr="00007B35" w:rsidRDefault="00796DCC" w:rsidP="00796DCC">
            <w:pPr>
              <w:rPr>
                <w:rFonts w:cstheme="minorHAnsi"/>
                <w:sz w:val="20"/>
                <w:szCs w:val="20"/>
              </w:rPr>
            </w:pPr>
            <w:r w:rsidRPr="00007B35">
              <w:rPr>
                <w:rFonts w:cstheme="minorHAnsi"/>
                <w:sz w:val="20"/>
                <w:szCs w:val="20"/>
              </w:rPr>
              <w:t>2022</w:t>
            </w:r>
          </w:p>
        </w:tc>
        <w:tc>
          <w:tcPr>
            <w:tcW w:w="3006" w:type="dxa"/>
          </w:tcPr>
          <w:p w14:paraId="7DFDE3D8" w14:textId="79B2D819" w:rsidR="00796DCC" w:rsidRPr="00007B35" w:rsidRDefault="00796DCC" w:rsidP="00796DCC">
            <w:pPr>
              <w:rPr>
                <w:rFonts w:cstheme="minorHAnsi"/>
                <w:sz w:val="20"/>
                <w:szCs w:val="20"/>
              </w:rPr>
            </w:pPr>
            <w:r w:rsidRPr="00007B35">
              <w:rPr>
                <w:rFonts w:cstheme="minorHAnsi"/>
                <w:sz w:val="20"/>
                <w:szCs w:val="20"/>
              </w:rPr>
              <w:t>2021</w:t>
            </w:r>
          </w:p>
        </w:tc>
      </w:tr>
      <w:tr w:rsidR="00796DCC" w:rsidRPr="00007B35" w14:paraId="0D3C9554" w14:textId="77777777" w:rsidTr="00796DCC">
        <w:tc>
          <w:tcPr>
            <w:tcW w:w="3005" w:type="dxa"/>
          </w:tcPr>
          <w:p w14:paraId="70A397E1" w14:textId="16FD2220" w:rsidR="00796DCC" w:rsidRPr="00007B35" w:rsidRDefault="00796DCC" w:rsidP="00796DCC">
            <w:pPr>
              <w:rPr>
                <w:rFonts w:cstheme="minorHAnsi"/>
                <w:sz w:val="20"/>
                <w:szCs w:val="20"/>
              </w:rPr>
            </w:pPr>
            <w:r w:rsidRPr="00007B35">
              <w:rPr>
                <w:rFonts w:cstheme="minorHAnsi"/>
                <w:sz w:val="20"/>
                <w:szCs w:val="20"/>
              </w:rPr>
              <w:t>Per Room</w:t>
            </w:r>
            <w:r w:rsidR="001E759F" w:rsidRPr="00007B35">
              <w:rPr>
                <w:rFonts w:cstheme="minorHAnsi"/>
                <w:sz w:val="20"/>
                <w:szCs w:val="20"/>
              </w:rPr>
              <w:t xml:space="preserve"> +34.4%</w:t>
            </w:r>
          </w:p>
        </w:tc>
        <w:tc>
          <w:tcPr>
            <w:tcW w:w="3005" w:type="dxa"/>
          </w:tcPr>
          <w:p w14:paraId="4F069975" w14:textId="03D53DBA" w:rsidR="00796DCC" w:rsidRPr="00007B35" w:rsidRDefault="001E759F" w:rsidP="00796DCC">
            <w:pPr>
              <w:rPr>
                <w:rFonts w:cstheme="minorHAnsi"/>
                <w:sz w:val="20"/>
                <w:szCs w:val="20"/>
              </w:rPr>
            </w:pPr>
            <w:r w:rsidRPr="00007B35">
              <w:rPr>
                <w:rFonts w:cstheme="minorHAnsi"/>
                <w:sz w:val="20"/>
                <w:szCs w:val="20"/>
              </w:rPr>
              <w:t>2671.5</w:t>
            </w:r>
          </w:p>
        </w:tc>
        <w:tc>
          <w:tcPr>
            <w:tcW w:w="3006" w:type="dxa"/>
          </w:tcPr>
          <w:p w14:paraId="4B3A0E1F" w14:textId="538D8DDB" w:rsidR="00796DCC" w:rsidRPr="00007B35" w:rsidRDefault="001E759F" w:rsidP="00796DCC">
            <w:pPr>
              <w:rPr>
                <w:rFonts w:cstheme="minorHAnsi"/>
                <w:sz w:val="20"/>
                <w:szCs w:val="20"/>
              </w:rPr>
            </w:pPr>
            <w:r w:rsidRPr="00007B35">
              <w:rPr>
                <w:rFonts w:cstheme="minorHAnsi"/>
                <w:sz w:val="20"/>
                <w:szCs w:val="20"/>
              </w:rPr>
              <w:t>1987.92</w:t>
            </w:r>
          </w:p>
        </w:tc>
      </w:tr>
      <w:tr w:rsidR="00796DCC" w:rsidRPr="00007B35" w14:paraId="02EA051C" w14:textId="77777777" w:rsidTr="00796DCC">
        <w:tc>
          <w:tcPr>
            <w:tcW w:w="3005" w:type="dxa"/>
          </w:tcPr>
          <w:p w14:paraId="683977BA" w14:textId="30B9B8AB" w:rsidR="00796DCC" w:rsidRPr="00007B35" w:rsidRDefault="00796DCC" w:rsidP="00796DCC">
            <w:pPr>
              <w:rPr>
                <w:rFonts w:cstheme="minorHAnsi"/>
                <w:sz w:val="20"/>
                <w:szCs w:val="20"/>
              </w:rPr>
            </w:pPr>
            <w:r w:rsidRPr="00007B35">
              <w:rPr>
                <w:rFonts w:cstheme="minorHAnsi"/>
                <w:sz w:val="20"/>
                <w:szCs w:val="20"/>
              </w:rPr>
              <w:t>Per Property</w:t>
            </w:r>
            <w:r w:rsidR="001E759F" w:rsidRPr="00007B35">
              <w:rPr>
                <w:rFonts w:cstheme="minorHAnsi"/>
                <w:sz w:val="20"/>
                <w:szCs w:val="20"/>
              </w:rPr>
              <w:t xml:space="preserve"> +34.4%</w:t>
            </w:r>
          </w:p>
        </w:tc>
        <w:tc>
          <w:tcPr>
            <w:tcW w:w="3005" w:type="dxa"/>
          </w:tcPr>
          <w:p w14:paraId="7FB30DF5" w14:textId="05BE829D" w:rsidR="00796DCC" w:rsidRPr="00007B35" w:rsidRDefault="00796DCC" w:rsidP="00796DCC">
            <w:pPr>
              <w:rPr>
                <w:rFonts w:cstheme="minorHAnsi"/>
                <w:sz w:val="20"/>
                <w:szCs w:val="20"/>
              </w:rPr>
            </w:pPr>
            <w:r w:rsidRPr="00007B35">
              <w:rPr>
                <w:rFonts w:cstheme="minorHAnsi"/>
                <w:sz w:val="20"/>
                <w:szCs w:val="20"/>
              </w:rPr>
              <w:t>409180</w:t>
            </w:r>
          </w:p>
        </w:tc>
        <w:tc>
          <w:tcPr>
            <w:tcW w:w="3006" w:type="dxa"/>
          </w:tcPr>
          <w:p w14:paraId="132B65B8" w14:textId="54AD4A8E" w:rsidR="00796DCC" w:rsidRPr="00007B35" w:rsidRDefault="001E759F" w:rsidP="00796DCC">
            <w:pPr>
              <w:rPr>
                <w:rFonts w:cstheme="minorHAnsi"/>
                <w:sz w:val="20"/>
                <w:szCs w:val="20"/>
              </w:rPr>
            </w:pPr>
            <w:r w:rsidRPr="00007B35">
              <w:rPr>
                <w:rFonts w:cstheme="minorHAnsi"/>
                <w:sz w:val="20"/>
                <w:szCs w:val="20"/>
              </w:rPr>
              <w:t>304421.8</w:t>
            </w:r>
          </w:p>
        </w:tc>
      </w:tr>
    </w:tbl>
    <w:p w14:paraId="468B0324" w14:textId="77777777" w:rsidR="00796DCC" w:rsidRPr="00007B35" w:rsidRDefault="00796DCC" w:rsidP="00796DCC">
      <w:pPr>
        <w:rPr>
          <w:rFonts w:cstheme="minorHAnsi"/>
          <w:sz w:val="20"/>
          <w:szCs w:val="20"/>
        </w:rPr>
      </w:pPr>
    </w:p>
    <w:p w14:paraId="3478CE80" w14:textId="29356AE2" w:rsidR="00796DCC" w:rsidRPr="00007B35" w:rsidRDefault="00796DCC" w:rsidP="00796DCC">
      <w:pPr>
        <w:pStyle w:val="ListParagraph"/>
        <w:numPr>
          <w:ilvl w:val="0"/>
          <w:numId w:val="2"/>
        </w:numPr>
        <w:rPr>
          <w:rFonts w:cstheme="minorHAnsi"/>
          <w:sz w:val="20"/>
          <w:szCs w:val="20"/>
        </w:rPr>
      </w:pPr>
      <w:r w:rsidRPr="00007B35">
        <w:rPr>
          <w:rFonts w:cstheme="minorHAnsi"/>
          <w:sz w:val="20"/>
          <w:szCs w:val="20"/>
        </w:rPr>
        <w:t>Franchise fees increased by 40% between 2021 and 2022, primarily due to higher RevPAR, higher co-branded credit card fees ($119 million), and unit growth ($109 million), partially offsetting net unfavourable foreign exchange rates ($17 million).</w:t>
      </w:r>
    </w:p>
    <w:p w14:paraId="54F919F8" w14:textId="5315266D" w:rsidR="001E759F" w:rsidRPr="00007B35" w:rsidRDefault="001E759F" w:rsidP="001E759F">
      <w:pPr>
        <w:rPr>
          <w:rFonts w:cstheme="minorHAnsi"/>
          <w:sz w:val="20"/>
          <w:szCs w:val="20"/>
        </w:rPr>
      </w:pPr>
      <w:r w:rsidRPr="00007B35">
        <w:rPr>
          <w:rFonts w:cstheme="minorHAnsi"/>
          <w:sz w:val="20"/>
          <w:szCs w:val="20"/>
        </w:rPr>
        <w:t>Owned leased and other revenues:</w:t>
      </w:r>
    </w:p>
    <w:tbl>
      <w:tblPr>
        <w:tblStyle w:val="TableGrid"/>
        <w:tblW w:w="0" w:type="auto"/>
        <w:tblLook w:val="04A0" w:firstRow="1" w:lastRow="0" w:firstColumn="1" w:lastColumn="0" w:noHBand="0" w:noVBand="1"/>
      </w:tblPr>
      <w:tblGrid>
        <w:gridCol w:w="3005"/>
        <w:gridCol w:w="3005"/>
        <w:gridCol w:w="3006"/>
      </w:tblGrid>
      <w:tr w:rsidR="001E759F" w:rsidRPr="00007B35" w14:paraId="30B4584C" w14:textId="77777777" w:rsidTr="001E759F">
        <w:tc>
          <w:tcPr>
            <w:tcW w:w="3005" w:type="dxa"/>
          </w:tcPr>
          <w:p w14:paraId="40F4569C" w14:textId="77777777" w:rsidR="001E759F" w:rsidRPr="00007B35" w:rsidRDefault="001E759F" w:rsidP="001E759F">
            <w:pPr>
              <w:rPr>
                <w:rFonts w:cstheme="minorHAnsi"/>
                <w:sz w:val="20"/>
                <w:szCs w:val="20"/>
              </w:rPr>
            </w:pPr>
          </w:p>
        </w:tc>
        <w:tc>
          <w:tcPr>
            <w:tcW w:w="3005" w:type="dxa"/>
          </w:tcPr>
          <w:p w14:paraId="78AB83D2" w14:textId="590BB936" w:rsidR="001E759F" w:rsidRPr="00007B35" w:rsidRDefault="001E759F" w:rsidP="001E759F">
            <w:pPr>
              <w:rPr>
                <w:rFonts w:cstheme="minorHAnsi"/>
                <w:sz w:val="20"/>
                <w:szCs w:val="20"/>
              </w:rPr>
            </w:pPr>
            <w:r w:rsidRPr="00007B35">
              <w:rPr>
                <w:rFonts w:cstheme="minorHAnsi"/>
                <w:sz w:val="20"/>
                <w:szCs w:val="20"/>
              </w:rPr>
              <w:t>2022</w:t>
            </w:r>
          </w:p>
        </w:tc>
        <w:tc>
          <w:tcPr>
            <w:tcW w:w="3006" w:type="dxa"/>
          </w:tcPr>
          <w:p w14:paraId="66ED17BB" w14:textId="7777BDE4" w:rsidR="001E759F" w:rsidRPr="00007B35" w:rsidRDefault="001E759F" w:rsidP="001E759F">
            <w:pPr>
              <w:rPr>
                <w:rFonts w:cstheme="minorHAnsi"/>
                <w:sz w:val="20"/>
                <w:szCs w:val="20"/>
              </w:rPr>
            </w:pPr>
            <w:r w:rsidRPr="00007B35">
              <w:rPr>
                <w:rFonts w:cstheme="minorHAnsi"/>
                <w:sz w:val="20"/>
                <w:szCs w:val="20"/>
              </w:rPr>
              <w:t>2021</w:t>
            </w:r>
          </w:p>
        </w:tc>
      </w:tr>
      <w:tr w:rsidR="001E759F" w:rsidRPr="00007B35" w14:paraId="66696BBB" w14:textId="77777777" w:rsidTr="001E759F">
        <w:tc>
          <w:tcPr>
            <w:tcW w:w="3005" w:type="dxa"/>
          </w:tcPr>
          <w:p w14:paraId="11AC1CA6" w14:textId="351B21B8" w:rsidR="001E759F" w:rsidRPr="00007B35" w:rsidRDefault="001E759F" w:rsidP="001E759F">
            <w:pPr>
              <w:rPr>
                <w:rFonts w:cstheme="minorHAnsi"/>
                <w:sz w:val="20"/>
                <w:szCs w:val="20"/>
              </w:rPr>
            </w:pPr>
            <w:r w:rsidRPr="00007B35">
              <w:rPr>
                <w:rFonts w:cstheme="minorHAnsi"/>
                <w:sz w:val="20"/>
                <w:szCs w:val="20"/>
              </w:rPr>
              <w:t>Per Room</w:t>
            </w:r>
            <w:r w:rsidR="00DB1245" w:rsidRPr="00007B35">
              <w:rPr>
                <w:rFonts w:cstheme="minorHAnsi"/>
                <w:sz w:val="20"/>
                <w:szCs w:val="20"/>
              </w:rPr>
              <w:t xml:space="preserve"> +472%</w:t>
            </w:r>
          </w:p>
        </w:tc>
        <w:tc>
          <w:tcPr>
            <w:tcW w:w="3005" w:type="dxa"/>
          </w:tcPr>
          <w:p w14:paraId="12D3D942" w14:textId="655800EB" w:rsidR="001E759F" w:rsidRPr="00007B35" w:rsidRDefault="001E759F" w:rsidP="001E759F">
            <w:pPr>
              <w:rPr>
                <w:rFonts w:cstheme="minorHAnsi"/>
                <w:sz w:val="20"/>
                <w:szCs w:val="20"/>
              </w:rPr>
            </w:pPr>
            <w:r w:rsidRPr="00007B35">
              <w:rPr>
                <w:rFonts w:cstheme="minorHAnsi"/>
                <w:sz w:val="20"/>
                <w:szCs w:val="20"/>
              </w:rPr>
              <w:t>18671.93</w:t>
            </w:r>
          </w:p>
        </w:tc>
        <w:tc>
          <w:tcPr>
            <w:tcW w:w="3006" w:type="dxa"/>
          </w:tcPr>
          <w:p w14:paraId="6442815B" w14:textId="22807F35" w:rsidR="001E759F" w:rsidRPr="00007B35" w:rsidRDefault="001E759F" w:rsidP="001E759F">
            <w:pPr>
              <w:rPr>
                <w:rFonts w:cstheme="minorHAnsi"/>
                <w:sz w:val="20"/>
                <w:szCs w:val="20"/>
              </w:rPr>
            </w:pPr>
            <w:r w:rsidRPr="00007B35">
              <w:rPr>
                <w:rFonts w:cstheme="minorHAnsi"/>
                <w:sz w:val="20"/>
                <w:szCs w:val="20"/>
              </w:rPr>
              <w:t>3951.1</w:t>
            </w:r>
          </w:p>
        </w:tc>
      </w:tr>
      <w:tr w:rsidR="001E759F" w:rsidRPr="00007B35" w14:paraId="08CD572B" w14:textId="77777777" w:rsidTr="001E759F">
        <w:tc>
          <w:tcPr>
            <w:tcW w:w="3005" w:type="dxa"/>
          </w:tcPr>
          <w:p w14:paraId="7556BF72" w14:textId="0B06206D" w:rsidR="001E759F" w:rsidRPr="00007B35" w:rsidRDefault="001E759F" w:rsidP="001E759F">
            <w:pPr>
              <w:rPr>
                <w:rFonts w:cstheme="minorHAnsi"/>
                <w:sz w:val="20"/>
                <w:szCs w:val="20"/>
              </w:rPr>
            </w:pPr>
            <w:r w:rsidRPr="00007B35">
              <w:rPr>
                <w:rFonts w:cstheme="minorHAnsi"/>
                <w:sz w:val="20"/>
                <w:szCs w:val="20"/>
              </w:rPr>
              <w:t>Per property</w:t>
            </w:r>
            <w:r w:rsidR="00DB1245" w:rsidRPr="00007B35">
              <w:rPr>
                <w:rFonts w:cstheme="minorHAnsi"/>
                <w:sz w:val="20"/>
                <w:szCs w:val="20"/>
              </w:rPr>
              <w:t>+472%</w:t>
            </w:r>
          </w:p>
        </w:tc>
        <w:tc>
          <w:tcPr>
            <w:tcW w:w="3005" w:type="dxa"/>
          </w:tcPr>
          <w:p w14:paraId="1BFB6271" w14:textId="70258175" w:rsidR="001E759F" w:rsidRPr="00007B35" w:rsidRDefault="001E759F" w:rsidP="001E759F">
            <w:pPr>
              <w:rPr>
                <w:rFonts w:cstheme="minorHAnsi"/>
                <w:sz w:val="20"/>
                <w:szCs w:val="20"/>
              </w:rPr>
            </w:pPr>
            <w:r w:rsidRPr="00007B35">
              <w:rPr>
                <w:rFonts w:cstheme="minorHAnsi"/>
                <w:sz w:val="20"/>
                <w:szCs w:val="20"/>
              </w:rPr>
              <w:t>4578125</w:t>
            </w:r>
          </w:p>
        </w:tc>
        <w:tc>
          <w:tcPr>
            <w:tcW w:w="3006" w:type="dxa"/>
          </w:tcPr>
          <w:p w14:paraId="15FC3D6E" w14:textId="56311D6F" w:rsidR="001E759F" w:rsidRPr="00007B35" w:rsidRDefault="001E759F" w:rsidP="001E759F">
            <w:pPr>
              <w:rPr>
                <w:rFonts w:cstheme="minorHAnsi"/>
                <w:sz w:val="20"/>
                <w:szCs w:val="20"/>
              </w:rPr>
            </w:pPr>
            <w:r w:rsidRPr="00007B35">
              <w:rPr>
                <w:rFonts w:cstheme="minorHAnsi"/>
                <w:sz w:val="20"/>
                <w:szCs w:val="20"/>
              </w:rPr>
              <w:t>968750</w:t>
            </w:r>
          </w:p>
        </w:tc>
      </w:tr>
    </w:tbl>
    <w:p w14:paraId="7D8855C7" w14:textId="77777777" w:rsidR="001E759F" w:rsidRPr="00007B35" w:rsidRDefault="001E759F" w:rsidP="001E759F">
      <w:pPr>
        <w:rPr>
          <w:rFonts w:cstheme="minorHAnsi"/>
          <w:sz w:val="20"/>
          <w:szCs w:val="20"/>
        </w:rPr>
      </w:pPr>
    </w:p>
    <w:p w14:paraId="523B85BF" w14:textId="4573BF39"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Owned, leased, and other revenue, net of direct expenses, increased primarily due to net stronger results at owned and leased properties, partially offset by an estimated monetary payment related to a portfolio of 12 leased hotels in the U.S. &amp; Canada ($31 million) and lower termination fees ($18 million).</w:t>
      </w:r>
    </w:p>
    <w:p w14:paraId="72731F23" w14:textId="77777777" w:rsidR="00DB1245" w:rsidRPr="00007B35" w:rsidRDefault="00DB1245" w:rsidP="00DB1245">
      <w:pPr>
        <w:rPr>
          <w:rFonts w:cstheme="minorHAnsi"/>
          <w:sz w:val="20"/>
          <w:szCs w:val="20"/>
        </w:rPr>
      </w:pPr>
      <w:r w:rsidRPr="00007B35">
        <w:rPr>
          <w:rFonts w:cstheme="minorHAnsi"/>
          <w:sz w:val="20"/>
          <w:szCs w:val="20"/>
        </w:rPr>
        <w:t>Cost reimbursements:</w:t>
      </w:r>
    </w:p>
    <w:p w14:paraId="72222E56" w14:textId="547ECAF5"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 xml:space="preserve">Between 2021 and 2022, net cost reimbursements increased by $156 million, or 130 percent. </w:t>
      </w:r>
    </w:p>
    <w:p w14:paraId="3F0356C8" w14:textId="6F42D63F" w:rsidR="00DB1245" w:rsidRPr="00007B35" w:rsidRDefault="00DB1245" w:rsidP="00DB1245">
      <w:pPr>
        <w:pStyle w:val="ListParagraph"/>
        <w:numPr>
          <w:ilvl w:val="0"/>
          <w:numId w:val="2"/>
        </w:numPr>
        <w:rPr>
          <w:rFonts w:cstheme="minorHAnsi"/>
          <w:sz w:val="20"/>
          <w:szCs w:val="20"/>
        </w:rPr>
      </w:pPr>
      <w:r w:rsidRPr="00007B35">
        <w:rPr>
          <w:rFonts w:cstheme="minorHAnsi"/>
          <w:sz w:val="20"/>
          <w:szCs w:val="20"/>
        </w:rPr>
        <w:t xml:space="preserve">The increase in cost reimbursements, net primarily reflects higher revenues, net of expenses, for Marriott centralized programs and services as well as their insurance program.  </w:t>
      </w:r>
    </w:p>
    <w:p w14:paraId="49734128" w14:textId="77777777" w:rsidR="00DB1245" w:rsidRPr="00007B35" w:rsidRDefault="00DB1245" w:rsidP="00DB1245">
      <w:pPr>
        <w:rPr>
          <w:rFonts w:cstheme="minorHAnsi"/>
          <w:sz w:val="20"/>
          <w:szCs w:val="20"/>
        </w:rPr>
      </w:pPr>
    </w:p>
    <w:p w14:paraId="190275CC" w14:textId="425D4818" w:rsidR="00DB1245" w:rsidRPr="00007B35" w:rsidRDefault="00DB1245" w:rsidP="00DB1245">
      <w:pPr>
        <w:rPr>
          <w:rFonts w:cstheme="minorHAnsi"/>
          <w:sz w:val="20"/>
          <w:szCs w:val="20"/>
        </w:rPr>
      </w:pPr>
      <w:r w:rsidRPr="00007B35">
        <w:rPr>
          <w:rFonts w:cstheme="minorHAnsi"/>
          <w:sz w:val="20"/>
          <w:szCs w:val="20"/>
        </w:rPr>
        <w:t xml:space="preserve">Note: </w:t>
      </w:r>
      <w:r w:rsidR="00007B35" w:rsidRPr="00007B35">
        <w:rPr>
          <w:rFonts w:cstheme="minorHAnsi"/>
          <w:sz w:val="20"/>
          <w:szCs w:val="20"/>
        </w:rPr>
        <w:t xml:space="preserve">Even though Marriot is generating significant returns across nearly all revenue drivers, it should be noted that the periods being compared represent distinct market conditions. In 2021, Covid restrictions remained in place in several nations, restricting the movement of people and resulting in lower overall revenue. As restrictions were lifted in 2022, the global movement of people began to increase, leading to higher revenues.  </w:t>
      </w:r>
    </w:p>
    <w:p w14:paraId="4777C766" w14:textId="77777777" w:rsidR="00796DCC" w:rsidRDefault="00796DCC" w:rsidP="00796DCC"/>
    <w:p w14:paraId="5B030216" w14:textId="77777777" w:rsidR="00007B35" w:rsidRDefault="00007B35" w:rsidP="00796DCC"/>
    <w:p w14:paraId="7C3734C6" w14:textId="77777777" w:rsidR="00007B35" w:rsidRDefault="00007B35" w:rsidP="00796DCC"/>
    <w:p w14:paraId="6188F4AF" w14:textId="77777777" w:rsidR="00007B35" w:rsidRDefault="00007B35" w:rsidP="00796DCC"/>
    <w:p w14:paraId="2C28C82D" w14:textId="77777777" w:rsidR="00007B35" w:rsidRDefault="00007B35" w:rsidP="00796DCC"/>
    <w:p w14:paraId="56E5A056" w14:textId="368FEE63" w:rsidR="00007B35" w:rsidRDefault="00007B35" w:rsidP="00796DCC">
      <w:r>
        <w:lastRenderedPageBreak/>
        <w:t>Cost drivers:</w:t>
      </w:r>
    </w:p>
    <w:p w14:paraId="0C8A1F75" w14:textId="5D563F48" w:rsidR="000415EC" w:rsidRDefault="00A505AF" w:rsidP="00796DCC">
      <w:r>
        <w:t>Depreciation and amortization</w:t>
      </w:r>
      <w:r w:rsidR="000415EC">
        <w:t>:</w:t>
      </w:r>
      <w:r>
        <w:t xml:space="preserve"> This </w:t>
      </w:r>
      <w:r w:rsidR="00CC606E">
        <w:t>had decreased by 12% between 2021 and 2022 primarily due to lower impairment charges.</w:t>
      </w:r>
    </w:p>
    <w:p w14:paraId="55C345AC" w14:textId="0AE2C4EE" w:rsidR="00A505AF" w:rsidRDefault="000415EC" w:rsidP="00796DCC">
      <w:r>
        <w:t>General, administrative, and other:</w:t>
      </w:r>
      <w:r w:rsidR="00CC606E">
        <w:t xml:space="preserve"> </w:t>
      </w:r>
      <w:r w:rsidR="00D66F1F">
        <w:t xml:space="preserve">These charges can vary depending on </w:t>
      </w:r>
      <w:r w:rsidR="00010464">
        <w:t>many</w:t>
      </w:r>
      <w:r w:rsidR="00D66F1F">
        <w:t xml:space="preserve"> factors such as how many hotels are under management</w:t>
      </w:r>
      <w:r w:rsidR="00010464">
        <w:t xml:space="preserve">, staff under training etc, therefore we can class this as a variable cost. For Marriot inc there was an </w:t>
      </w:r>
      <w:r w:rsidR="008A7AAC">
        <w:t>$68 million increase (8%) between 2021 and 2022</w:t>
      </w:r>
      <w:r w:rsidR="00D92EF9">
        <w:t>, the increase was mainly attributable to higher administrative and compensation charges.</w:t>
      </w:r>
    </w:p>
    <w:p w14:paraId="34A45EF4" w14:textId="6D2DAADD" w:rsidR="00AB106C" w:rsidRDefault="00AB106C" w:rsidP="00796DCC">
      <w:r>
        <w:t xml:space="preserve">Restructuring and merger related charges increased by 50% between 2021 and 2022 due to the acquisition </w:t>
      </w:r>
      <w:r w:rsidR="00CB48A5">
        <w:t>of new</w:t>
      </w:r>
      <w:r>
        <w:t xml:space="preserve"> businesses</w:t>
      </w:r>
      <w:r w:rsidR="00CB48A5">
        <w:t>. These costs are variable as it’s not every year the company will be acquiring or merging with other companies.</w:t>
      </w:r>
    </w:p>
    <w:p w14:paraId="17B9B848" w14:textId="12BC704A" w:rsidR="00CB48A5" w:rsidRDefault="00E901BD" w:rsidP="00796DCC">
      <w:r>
        <w:t xml:space="preserve">Capital expenditures and other improvement: The company </w:t>
      </w:r>
      <w:r w:rsidR="0093354B">
        <w:t xml:space="preserve">made investments in </w:t>
      </w:r>
      <w:r w:rsidR="0093354B">
        <w:t xml:space="preserve">capital and technology expenditures of $332 million in 2022 and $183 million in 2021. Capital and technology expenditures in 2022 increased by $149 million compared to 2021, primarily reflecting higher spending on improvements to </w:t>
      </w:r>
      <w:r w:rsidR="0093354B">
        <w:t xml:space="preserve">their </w:t>
      </w:r>
      <w:r w:rsidR="0093354B">
        <w:t>worldwide technology systems.</w:t>
      </w:r>
      <w:r w:rsidR="0093354B">
        <w:t xml:space="preserve"> This is classed as a variable cost.</w:t>
      </w:r>
    </w:p>
    <w:p w14:paraId="35751744" w14:textId="68C09395" w:rsidR="00E05E9F" w:rsidRDefault="00E14139" w:rsidP="00796DCC">
      <w:r>
        <w:t xml:space="preserve">Loan Activity. Loan collections, net of loan advances, amounted to $3 million in 2022, compared to net collections of $27 million in 2021. At year-end 2022, </w:t>
      </w:r>
      <w:r w:rsidR="00E05E9F">
        <w:t>Marriot</w:t>
      </w:r>
      <w:r>
        <w:t xml:space="preserve"> had $162 million of senior, mezzanine, and other loans outstanding, compared to $153 million outstanding at year-end 2021.</w:t>
      </w:r>
      <w:r w:rsidR="00E05E9F">
        <w:t xml:space="preserve"> Variable cost, every year the amount of loans being issued </w:t>
      </w:r>
      <w:r w:rsidR="00953C2B">
        <w:t>will be different as there may not be as many investment opportunities available.</w:t>
      </w:r>
    </w:p>
    <w:p w14:paraId="49C9269A" w14:textId="1EE08BB2" w:rsidR="00953C2B" w:rsidRDefault="001F36A4" w:rsidP="00796DCC">
      <w:r>
        <w:t>Debt</w:t>
      </w:r>
      <w:r>
        <w:t xml:space="preserve"> Facilities:</w:t>
      </w:r>
      <w:r>
        <w:t xml:space="preserve"> Debt decreased by $74 million in 2022, to $10,064 million at year-end 2022 from $10,138 million at year-end 2021, primarily due to lower outstanding Credit Facility borrowings ($1,050 million), the maturity of  Series Q Notes ($399 million), the maturity of  Series DD Notes ($224 million), and the redemption of  Series L Notes ($173 million), partially offset by the issuance of  Series JJ Notes ($983 million) and higher outstanding commercial paper borrowings ($868 million). </w:t>
      </w:r>
      <w:r w:rsidR="00022C52">
        <w:t>These are classed as variable costs</w:t>
      </w:r>
      <w:r w:rsidR="00DE18F2">
        <w:t xml:space="preserve">, as debt amounts change yearly. </w:t>
      </w:r>
      <w:r w:rsidR="00D506AF">
        <w:t>Additionally, as</w:t>
      </w:r>
      <w:r w:rsidR="00DE18F2">
        <w:t xml:space="preserve"> stated by Marriot </w:t>
      </w:r>
      <w:r w:rsidR="00786D2B">
        <w:t>in their annual report there are</w:t>
      </w:r>
      <w:r w:rsidR="00DE18F2">
        <w:t xml:space="preserve"> plan</w:t>
      </w:r>
      <w:r w:rsidR="00786D2B">
        <w:t>s in place to</w:t>
      </w:r>
      <w:r w:rsidR="00DE18F2">
        <w:t xml:space="preserve"> change their financing mix and lower working capital means outstanding debt is bound to vary each year.</w:t>
      </w:r>
    </w:p>
    <w:p w14:paraId="69A9D41B" w14:textId="77777777" w:rsidR="004870DC" w:rsidRDefault="004870DC" w:rsidP="00796DCC"/>
    <w:p w14:paraId="7AC2A1B1" w14:textId="77777777" w:rsidR="004870DC" w:rsidRDefault="004870DC" w:rsidP="00796DCC"/>
    <w:p w14:paraId="07808F76" w14:textId="769DA2AF" w:rsidR="004870DC" w:rsidRDefault="004870DC" w:rsidP="00796DCC">
      <w:r>
        <w:t>Peers:</w:t>
      </w:r>
    </w:p>
    <w:tbl>
      <w:tblPr>
        <w:tblStyle w:val="TableGrid"/>
        <w:tblW w:w="0" w:type="auto"/>
        <w:tblLook w:val="04A0" w:firstRow="1" w:lastRow="0" w:firstColumn="1" w:lastColumn="0" w:noHBand="0" w:noVBand="1"/>
      </w:tblPr>
      <w:tblGrid>
        <w:gridCol w:w="2254"/>
        <w:gridCol w:w="2254"/>
        <w:gridCol w:w="2254"/>
        <w:gridCol w:w="2254"/>
      </w:tblGrid>
      <w:tr w:rsidR="00CF004A" w14:paraId="0DBE5422" w14:textId="77777777" w:rsidTr="00CF004A">
        <w:tc>
          <w:tcPr>
            <w:tcW w:w="2254" w:type="dxa"/>
          </w:tcPr>
          <w:p w14:paraId="48A2956B" w14:textId="77777777" w:rsidR="00CF004A" w:rsidRDefault="00CF004A" w:rsidP="00ED6806"/>
        </w:tc>
        <w:tc>
          <w:tcPr>
            <w:tcW w:w="2254" w:type="dxa"/>
          </w:tcPr>
          <w:p w14:paraId="204B0BCE" w14:textId="666CC049" w:rsidR="00CF004A" w:rsidRDefault="00CF004A" w:rsidP="00ED6806">
            <w:r>
              <w:t>Marriot Inc</w:t>
            </w:r>
          </w:p>
        </w:tc>
        <w:tc>
          <w:tcPr>
            <w:tcW w:w="2254" w:type="dxa"/>
          </w:tcPr>
          <w:p w14:paraId="7A10A0D2" w14:textId="1D571EA1" w:rsidR="00CF004A" w:rsidRDefault="00CF004A" w:rsidP="00ED6806">
            <w:r>
              <w:t>Hilton Holdings Inc</w:t>
            </w:r>
          </w:p>
        </w:tc>
        <w:tc>
          <w:tcPr>
            <w:tcW w:w="2254" w:type="dxa"/>
          </w:tcPr>
          <w:p w14:paraId="6AF680F6" w14:textId="6D2F3E95" w:rsidR="00CF004A" w:rsidRDefault="009C2537" w:rsidP="00ED6806">
            <w:r>
              <w:t>Intercontinental Hotel Groups</w:t>
            </w:r>
          </w:p>
        </w:tc>
      </w:tr>
      <w:tr w:rsidR="00CF004A" w14:paraId="72D7B653" w14:textId="77777777" w:rsidTr="00CF004A">
        <w:tc>
          <w:tcPr>
            <w:tcW w:w="2254" w:type="dxa"/>
          </w:tcPr>
          <w:p w14:paraId="59AE4C14" w14:textId="7741A72A" w:rsidR="00CF004A" w:rsidRDefault="009C2537" w:rsidP="00ED6806">
            <w:r>
              <w:t xml:space="preserve">Revenue YOY growth </w:t>
            </w:r>
          </w:p>
        </w:tc>
        <w:tc>
          <w:tcPr>
            <w:tcW w:w="2254" w:type="dxa"/>
          </w:tcPr>
          <w:p w14:paraId="0EA99028" w14:textId="78F60F08" w:rsidR="00CF004A" w:rsidRDefault="009C2537" w:rsidP="00ED6806">
            <w:r>
              <w:t>31.55%</w:t>
            </w:r>
          </w:p>
        </w:tc>
        <w:tc>
          <w:tcPr>
            <w:tcW w:w="2254" w:type="dxa"/>
          </w:tcPr>
          <w:p w14:paraId="1A0C0FCC" w14:textId="137AD67A" w:rsidR="00CF004A" w:rsidRDefault="00BC3888" w:rsidP="00ED6806">
            <w:r>
              <w:t>25.89%</w:t>
            </w:r>
          </w:p>
        </w:tc>
        <w:tc>
          <w:tcPr>
            <w:tcW w:w="2254" w:type="dxa"/>
          </w:tcPr>
          <w:p w14:paraId="5BC6C09A" w14:textId="6317759A" w:rsidR="00CF004A" w:rsidRDefault="00727F2C" w:rsidP="00ED6806">
            <w:r>
              <w:t>24.45%</w:t>
            </w:r>
          </w:p>
        </w:tc>
      </w:tr>
      <w:tr w:rsidR="00CF004A" w14:paraId="77D4FF29" w14:textId="77777777" w:rsidTr="00CF004A">
        <w:tc>
          <w:tcPr>
            <w:tcW w:w="2254" w:type="dxa"/>
          </w:tcPr>
          <w:p w14:paraId="587A7AF2" w14:textId="53984824" w:rsidR="00CF004A" w:rsidRDefault="0021125E" w:rsidP="00ED6806">
            <w:r>
              <w:t>EPS Diluted YOY Growth</w:t>
            </w:r>
          </w:p>
        </w:tc>
        <w:tc>
          <w:tcPr>
            <w:tcW w:w="2254" w:type="dxa"/>
          </w:tcPr>
          <w:p w14:paraId="6DCB8C39" w14:textId="0AD3B8C8" w:rsidR="00CF004A" w:rsidRDefault="003C472E" w:rsidP="00ED6806">
            <w:r>
              <w:t>67.19%</w:t>
            </w:r>
          </w:p>
        </w:tc>
        <w:tc>
          <w:tcPr>
            <w:tcW w:w="2254" w:type="dxa"/>
          </w:tcPr>
          <w:p w14:paraId="34CF5FA4" w14:textId="7A129FA4" w:rsidR="00CF004A" w:rsidRDefault="003C472E" w:rsidP="00ED6806">
            <w:r>
              <w:t>29.06%</w:t>
            </w:r>
          </w:p>
        </w:tc>
        <w:tc>
          <w:tcPr>
            <w:tcW w:w="2254" w:type="dxa"/>
          </w:tcPr>
          <w:p w14:paraId="1294F704" w14:textId="3B0353C3" w:rsidR="00CF004A" w:rsidRDefault="0021125E" w:rsidP="00ED6806">
            <w:r>
              <w:t>48.77%</w:t>
            </w:r>
          </w:p>
        </w:tc>
      </w:tr>
      <w:tr w:rsidR="00CF004A" w14:paraId="7DBAD07D" w14:textId="77777777" w:rsidTr="00CF004A">
        <w:tc>
          <w:tcPr>
            <w:tcW w:w="2254" w:type="dxa"/>
          </w:tcPr>
          <w:p w14:paraId="414DB644" w14:textId="0B5EF7CA" w:rsidR="00CF004A" w:rsidRDefault="00521D39" w:rsidP="00ED6806">
            <w:r>
              <w:t>Gross Profit Margin</w:t>
            </w:r>
          </w:p>
        </w:tc>
        <w:tc>
          <w:tcPr>
            <w:tcW w:w="2254" w:type="dxa"/>
          </w:tcPr>
          <w:p w14:paraId="5D56179B" w14:textId="2673F970" w:rsidR="00CF004A" w:rsidRDefault="00521D39" w:rsidP="00ED6806">
            <w:r>
              <w:t>80.51%</w:t>
            </w:r>
          </w:p>
        </w:tc>
        <w:tc>
          <w:tcPr>
            <w:tcW w:w="2254" w:type="dxa"/>
          </w:tcPr>
          <w:p w14:paraId="4AD48B65" w14:textId="08F0CB76" w:rsidR="00CF004A" w:rsidRDefault="00521D39" w:rsidP="00ED6806">
            <w:r>
              <w:t>73.61%</w:t>
            </w:r>
          </w:p>
        </w:tc>
        <w:tc>
          <w:tcPr>
            <w:tcW w:w="2254" w:type="dxa"/>
          </w:tcPr>
          <w:p w14:paraId="56F485B8" w14:textId="483FD2DC" w:rsidR="00CF004A" w:rsidRDefault="00521D39" w:rsidP="00ED6806">
            <w:r>
              <w:t>49.62%</w:t>
            </w:r>
          </w:p>
        </w:tc>
      </w:tr>
      <w:tr w:rsidR="00CF004A" w14:paraId="458155FA" w14:textId="77777777" w:rsidTr="00CF004A">
        <w:tc>
          <w:tcPr>
            <w:tcW w:w="2254" w:type="dxa"/>
          </w:tcPr>
          <w:p w14:paraId="02DD33CA" w14:textId="5ED19729" w:rsidR="00CF004A" w:rsidRDefault="00491DC3" w:rsidP="00ED6806">
            <w:r>
              <w:t>ROA</w:t>
            </w:r>
          </w:p>
        </w:tc>
        <w:tc>
          <w:tcPr>
            <w:tcW w:w="2254" w:type="dxa"/>
          </w:tcPr>
          <w:p w14:paraId="7B1880E7" w14:textId="1D581D73" w:rsidR="00CF004A" w:rsidRDefault="00491DC3" w:rsidP="00ED6806">
            <w:r>
              <w:t>12.72</w:t>
            </w:r>
            <w:r w:rsidR="00312B2D">
              <w:t>%</w:t>
            </w:r>
          </w:p>
        </w:tc>
        <w:tc>
          <w:tcPr>
            <w:tcW w:w="2254" w:type="dxa"/>
          </w:tcPr>
          <w:p w14:paraId="76162AC8" w14:textId="6544D97B" w:rsidR="00CF004A" w:rsidRDefault="00491DC3" w:rsidP="00ED6806">
            <w:r>
              <w:t>10.84</w:t>
            </w:r>
            <w:r w:rsidR="00312B2D">
              <w:t>%</w:t>
            </w:r>
          </w:p>
        </w:tc>
        <w:tc>
          <w:tcPr>
            <w:tcW w:w="2254" w:type="dxa"/>
          </w:tcPr>
          <w:p w14:paraId="4B743E28" w14:textId="101DE0C7" w:rsidR="00CF004A" w:rsidRDefault="00312B2D" w:rsidP="00ED6806">
            <w:r>
              <w:t>14.88%</w:t>
            </w:r>
          </w:p>
        </w:tc>
      </w:tr>
    </w:tbl>
    <w:p w14:paraId="498FAFB2" w14:textId="366406D3" w:rsidR="00ED6806" w:rsidRDefault="00ED6806" w:rsidP="00ED6806">
      <w:pPr>
        <w:spacing w:after="0"/>
      </w:pPr>
    </w:p>
    <w:p w14:paraId="31E4D785" w14:textId="20E0E72A" w:rsidR="00ED6806" w:rsidRDefault="00DD5C6D" w:rsidP="00796DCC">
      <w:r>
        <w:t xml:space="preserve">Form the table above it is evident that Marriot is </w:t>
      </w:r>
      <w:r w:rsidR="00A30719">
        <w:t>performing</w:t>
      </w:r>
      <w:r>
        <w:t xml:space="preserve"> much better than its </w:t>
      </w:r>
      <w:r w:rsidR="00A30719">
        <w:t>competition</w:t>
      </w:r>
      <w:r>
        <w:t xml:space="preserve"> however could be utilising its assets more </w:t>
      </w:r>
      <w:r w:rsidR="00A30719">
        <w:t xml:space="preserve">effectively. Hilton Holdings is the main competitor to Marriot on the market posting </w:t>
      </w:r>
      <w:r w:rsidR="003850BF">
        <w:t xml:space="preserve">exceptional gross profit margin and above average ROA for </w:t>
      </w:r>
      <w:r w:rsidR="00297609">
        <w:t>its</w:t>
      </w:r>
      <w:r w:rsidR="003850BF">
        <w:t xml:space="preserve"> market segment.</w:t>
      </w:r>
    </w:p>
    <w:p w14:paraId="68DEF40D" w14:textId="4A5F34E0" w:rsidR="00ED6806" w:rsidRPr="00297609" w:rsidRDefault="00297609" w:rsidP="00297609">
      <w:pPr>
        <w:spacing w:after="0"/>
        <w:jc w:val="center"/>
        <w:rPr>
          <w:b/>
          <w:bCs/>
          <w:sz w:val="32"/>
          <w:szCs w:val="32"/>
        </w:rPr>
      </w:pPr>
      <w:r w:rsidRPr="00297609">
        <w:rPr>
          <w:b/>
          <w:bCs/>
          <w:sz w:val="32"/>
          <w:szCs w:val="32"/>
        </w:rPr>
        <w:lastRenderedPageBreak/>
        <w:t>Johnson and Johnson:</w:t>
      </w:r>
    </w:p>
    <w:p w14:paraId="568DBE75" w14:textId="6B88E016" w:rsidR="00297609" w:rsidRDefault="002868DD" w:rsidP="00ED6806">
      <w:pPr>
        <w:spacing w:after="0"/>
      </w:pPr>
      <w:r>
        <w:rPr>
          <w:noProof/>
        </w:rPr>
        <w:drawing>
          <wp:inline distT="0" distB="0" distL="0" distR="0" wp14:anchorId="7D099231" wp14:editId="42AFC98B">
            <wp:extent cx="5486400" cy="3200400"/>
            <wp:effectExtent l="0" t="0" r="0" b="19050"/>
            <wp:docPr id="10149485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1068499" w14:textId="77777777" w:rsidR="007949D1" w:rsidRDefault="007949D1" w:rsidP="00ED6806">
      <w:pPr>
        <w:spacing w:after="0"/>
      </w:pPr>
    </w:p>
    <w:p w14:paraId="33B307D1" w14:textId="7C1F277D" w:rsidR="007949D1" w:rsidRDefault="00AC6352" w:rsidP="00ED6806">
      <w:pPr>
        <w:spacing w:after="0"/>
      </w:pPr>
      <w:r>
        <w:t>Med</w:t>
      </w:r>
      <w:r w:rsidR="00D0448F">
        <w:t>T</w:t>
      </w:r>
      <w:r>
        <w:t>ech:</w:t>
      </w:r>
    </w:p>
    <w:p w14:paraId="0307298B" w14:textId="0B79065F" w:rsidR="00AC6352" w:rsidRDefault="00AC6352" w:rsidP="00AC6352">
      <w:pPr>
        <w:pStyle w:val="ListParagraph"/>
        <w:numPr>
          <w:ilvl w:val="0"/>
          <w:numId w:val="3"/>
        </w:numPr>
        <w:spacing w:after="0"/>
      </w:pPr>
      <w:r>
        <w:t>Accelerated cadence</w:t>
      </w:r>
      <w:r>
        <w:t xml:space="preserve"> of new products and significantly enhanc</w:t>
      </w:r>
      <w:r>
        <w:t xml:space="preserve">ed </w:t>
      </w:r>
      <w:r w:rsidR="006D6719">
        <w:t>the MedTech</w:t>
      </w:r>
      <w:r>
        <w:t xml:space="preserve"> pipeline, which included more than 20 programs with over $100 million of net present value potential in 2022.</w:t>
      </w:r>
    </w:p>
    <w:p w14:paraId="312B7980" w14:textId="1E4D86AC" w:rsidR="00AC6352" w:rsidRDefault="006D6719" w:rsidP="00AC6352">
      <w:pPr>
        <w:pStyle w:val="ListParagraph"/>
        <w:numPr>
          <w:ilvl w:val="0"/>
          <w:numId w:val="3"/>
        </w:numPr>
        <w:spacing w:after="0"/>
      </w:pPr>
      <w:r>
        <w:t>MedTech delivered operational sales growth across all businesses in 2022: Orthopaedics, Surgery, Interventional Solutions, and Vision.</w:t>
      </w:r>
    </w:p>
    <w:p w14:paraId="4781F4BF" w14:textId="7248DD6F" w:rsidR="006D6719" w:rsidRDefault="00D0448F" w:rsidP="00AC6352">
      <w:pPr>
        <w:pStyle w:val="ListParagraph"/>
        <w:numPr>
          <w:ilvl w:val="0"/>
          <w:numId w:val="3"/>
        </w:numPr>
        <w:spacing w:after="0"/>
      </w:pPr>
      <w:r>
        <w:t xml:space="preserve">The acquisition of Abiomed </w:t>
      </w:r>
      <w:r>
        <w:t>enhanced MedTech</w:t>
      </w:r>
      <w:r>
        <w:t xml:space="preserve"> revenue growth, and further diversifies </w:t>
      </w:r>
      <w:r w:rsidR="00F46987">
        <w:t>JnJ</w:t>
      </w:r>
      <w:r>
        <w:t xml:space="preserve"> portfolio (which now includes 12 priority platforms with over $1 billion in annual revenue).</w:t>
      </w:r>
    </w:p>
    <w:p w14:paraId="2DEDD92E" w14:textId="53201321" w:rsidR="0093100D" w:rsidRDefault="0093100D" w:rsidP="0093100D">
      <w:pPr>
        <w:spacing w:after="0"/>
      </w:pPr>
      <w:r>
        <w:t>Pharmaceutical:</w:t>
      </w:r>
    </w:p>
    <w:p w14:paraId="2D5D5B30" w14:textId="0927A60D" w:rsidR="0093100D" w:rsidRDefault="00861BD8" w:rsidP="0093100D">
      <w:pPr>
        <w:pStyle w:val="ListParagraph"/>
        <w:numPr>
          <w:ilvl w:val="0"/>
          <w:numId w:val="4"/>
        </w:numPr>
        <w:spacing w:after="0"/>
      </w:pPr>
      <w:r>
        <w:t>Growth in pharmaceuticals sales was mainly attributable to the</w:t>
      </w:r>
      <w:r w:rsidR="00AF22FA">
        <w:t xml:space="preserve"> development of new medicines to reach more patients.</w:t>
      </w:r>
    </w:p>
    <w:p w14:paraId="6B837CA7" w14:textId="17B9BCA8" w:rsidR="00AF22FA" w:rsidRDefault="00AF22FA" w:rsidP="00AF22FA">
      <w:pPr>
        <w:spacing w:after="0"/>
      </w:pPr>
      <w:r>
        <w:t>Consumer Health:</w:t>
      </w:r>
    </w:p>
    <w:p w14:paraId="431D1081" w14:textId="0B1FA2D8" w:rsidR="0093100D" w:rsidRDefault="002B299F" w:rsidP="002B299F">
      <w:pPr>
        <w:pStyle w:val="ListParagraph"/>
        <w:numPr>
          <w:ilvl w:val="0"/>
          <w:numId w:val="4"/>
        </w:numPr>
        <w:spacing w:after="0"/>
      </w:pPr>
      <w:r>
        <w:t>Significant strides have been taken by JNJ to separate their consumer health business into a separate company.</w:t>
      </w:r>
    </w:p>
    <w:p w14:paraId="021B249A" w14:textId="10F883B4" w:rsidR="00ED731C" w:rsidRDefault="00ED731C" w:rsidP="002B299F">
      <w:pPr>
        <w:pStyle w:val="ListParagraph"/>
        <w:numPr>
          <w:ilvl w:val="0"/>
          <w:numId w:val="4"/>
        </w:numPr>
        <w:spacing w:after="0"/>
      </w:pPr>
      <w:r>
        <w:t xml:space="preserve">Roll </w:t>
      </w:r>
      <w:r>
        <w:t>out</w:t>
      </w:r>
      <w:r>
        <w:t xml:space="preserve"> of</w:t>
      </w:r>
      <w:r>
        <w:t xml:space="preserve"> the Kenvue name and brand, </w:t>
      </w:r>
      <w:r w:rsidR="00EF6F61">
        <w:t>as a standalone organisation.</w:t>
      </w:r>
    </w:p>
    <w:p w14:paraId="67960F0E" w14:textId="46A97053" w:rsidR="00EF6F61" w:rsidRDefault="00EF6F61" w:rsidP="002B299F">
      <w:pPr>
        <w:pStyle w:val="ListParagraph"/>
        <w:numPr>
          <w:ilvl w:val="0"/>
          <w:numId w:val="4"/>
        </w:numPr>
        <w:spacing w:after="0"/>
      </w:pPr>
      <w:r>
        <w:t xml:space="preserve">Starting in 2023, </w:t>
      </w:r>
      <w:r>
        <w:t>JNJ began</w:t>
      </w:r>
      <w:r>
        <w:t xml:space="preserve"> operating </w:t>
      </w:r>
      <w:r>
        <w:t>their</w:t>
      </w:r>
      <w:r>
        <w:t xml:space="preserve"> consumer business as a company within a company. Earlier this year, Kenvue filed a Form S-1 with the SEC, giving the option to pursue an IPO as a potential step in the separatio</w:t>
      </w:r>
      <w:r w:rsidR="002F6AA7">
        <w:t>n.</w:t>
      </w:r>
    </w:p>
    <w:p w14:paraId="6D23D54A" w14:textId="77777777" w:rsidR="00E652B6" w:rsidRDefault="00E652B6" w:rsidP="00E652B6">
      <w:pPr>
        <w:spacing w:after="0"/>
      </w:pPr>
    </w:p>
    <w:p w14:paraId="7AD8630B" w14:textId="284DC845" w:rsidR="00E652B6" w:rsidRDefault="00E652B6" w:rsidP="00E652B6">
      <w:pPr>
        <w:spacing w:after="0"/>
      </w:pPr>
      <w:r>
        <w:t>Calculations and performance:</w:t>
      </w:r>
    </w:p>
    <w:p w14:paraId="57F72345" w14:textId="094DD600" w:rsidR="00AD1B22" w:rsidRDefault="00AD1B22" w:rsidP="00E652B6">
      <w:pPr>
        <w:spacing w:after="0"/>
      </w:pPr>
      <w:r>
        <w:t>In 2022, worldwide sales increased 1.3% to $94.9 billion as compared to an increase of 13.6% in 2021. These sales changes consisted of the following</w:t>
      </w:r>
      <w:r>
        <w:t>:</w:t>
      </w:r>
      <w:r w:rsidR="001F74DF">
        <w:t xml:space="preserve"> Volume +6.9%, Price -0.8</w:t>
      </w:r>
      <w:r w:rsidR="006F7A5C">
        <w:t>%, Currency</w:t>
      </w:r>
      <w:r w:rsidR="000C0935">
        <w:t xml:space="preserve"> -4.8%</w:t>
      </w:r>
      <w:r w:rsidR="006F7A5C">
        <w:t>, this leads to a net increase of 1.3</w:t>
      </w:r>
      <w:r w:rsidR="00A47355">
        <w:t>%. The</w:t>
      </w:r>
      <w:r w:rsidR="00A47355">
        <w:t xml:space="preserve"> net impact of acquisitions and divestitures on the worldwide sales growth was a negative impact of 0.1% in 2022 and a negative impact of 0.6% in 2021.</w:t>
      </w:r>
      <w:r w:rsidR="00A47355" w:rsidRPr="00A47355">
        <w:t xml:space="preserve"> </w:t>
      </w:r>
      <w:r w:rsidR="00A47355">
        <w:t xml:space="preserve">Sales by U.S. companies were $48.6 </w:t>
      </w:r>
      <w:r w:rsidR="002C00D7">
        <w:t>billion (+3.0%)</w:t>
      </w:r>
      <w:r w:rsidR="00A47355">
        <w:t xml:space="preserve"> in 2022 and $47.2 billion</w:t>
      </w:r>
      <w:r w:rsidR="002C00D7">
        <w:t xml:space="preserve"> (09.3%)</w:t>
      </w:r>
      <w:r w:rsidR="00A47355">
        <w:t xml:space="preserve"> in 2021. Sales by international companies were $46.4 billion</w:t>
      </w:r>
      <w:r w:rsidR="00F16300">
        <w:t xml:space="preserve"> (+0.6%)</w:t>
      </w:r>
      <w:r w:rsidR="00A47355">
        <w:t xml:space="preserve"> in 2022 and $46.6 </w:t>
      </w:r>
      <w:r w:rsidR="00F16300">
        <w:t>billion (+18.2%)</w:t>
      </w:r>
      <w:r w:rsidR="00A47355">
        <w:t xml:space="preserve"> in 2021. In </w:t>
      </w:r>
      <w:r w:rsidR="00A47355">
        <w:lastRenderedPageBreak/>
        <w:t xml:space="preserve">2022, sales by companies in Europe experienced a decline of 0.6% as compared to the prior year, which included operational growth of 11.0% and a negative currency impact of 11.6%. </w:t>
      </w:r>
    </w:p>
    <w:p w14:paraId="65626451" w14:textId="57B62D78" w:rsidR="0038431F" w:rsidRDefault="0038431F" w:rsidP="00E652B6">
      <w:pPr>
        <w:spacing w:after="0"/>
      </w:pPr>
      <w:r>
        <w:t>Consumer Health:</w:t>
      </w:r>
    </w:p>
    <w:p w14:paraId="63B404D0" w14:textId="5475FB47" w:rsidR="00174435" w:rsidRDefault="00174435" w:rsidP="00E652B6">
      <w:pPr>
        <w:spacing w:after="0"/>
      </w:pPr>
      <w:r>
        <w:t>Franchises:</w:t>
      </w:r>
    </w:p>
    <w:p w14:paraId="21D8B5BF" w14:textId="3859ABE7" w:rsidR="00174435" w:rsidRDefault="00174435" w:rsidP="00E652B6">
      <w:pPr>
        <w:spacing w:after="0"/>
      </w:pPr>
      <w:r>
        <w:t xml:space="preserve">The OTC franchise sales of $6.0 billion increased 7.2% as compared to the prior year. Operational growth was primarily attributable to increased Cough/Cold/Flu, adult and </w:t>
      </w:r>
      <w:r>
        <w:t>paediatric</w:t>
      </w:r>
      <w:r>
        <w:t xml:space="preserve"> incidences, price actions primarily in the U.S. and increased consumption in China due to easing of COVID-19 restrictions. Growth was partially offset by supply constraints. The Skin Health/Beauty franchise sales of $4.4 billion declined 4.2% as compared to the prior year. The operational decline was driven by supply constraints in the U.S. partially offset by price actions and strong new product performance in the Asia Pacific and Latin America region. The Oral Care franchise sales of $1.5 billion declined 8.5% as compared to the prior year. The operational decline was due to portfolio simplification in the U.S., competitive pressures in EMEA and China, category decline and pricing pressures in EMEA, as well as suspension of personal care sales in Russia and negative COVID-19 impacts in China. Johnson &amp; Johnson 2022 Annual Report • 23 The Baby Care franchise sales of $1.5 billion declined 6.7% as compared to the prior year. The operational decline was driven by category deceleration and competitive pressures in the U.S., suspension of personal care sales in Russia and weakness in India. The Women’s Health franchise sales of $0.9 billion declined 1.5% as compared to the prior year. Operational growth driven by lapping prior year supply constraints in EMEA, strength in India, and price actions in LATAM was partially offset by suspension of personal care sales in Russia and negative currency impacts. The Wound Care/Other franchise sales of $0.7 billion declined 5.3% as compared to the prior year. The operational decline was driven by lapping</w:t>
      </w:r>
      <w:r w:rsidR="00044B7E">
        <w:t xml:space="preserve"> </w:t>
      </w:r>
      <w:r w:rsidR="00044B7E">
        <w:t>strong prior year consumption, competitive pressure in the U.S., and decreased consumption in China.</w:t>
      </w:r>
    </w:p>
    <w:p w14:paraId="2A23B96D" w14:textId="557A960E" w:rsidR="008778FA" w:rsidRDefault="008778FA" w:rsidP="00E652B6">
      <w:pPr>
        <w:spacing w:after="0"/>
      </w:pPr>
      <w:r>
        <w:t>Pharmaceutical:</w:t>
      </w:r>
    </w:p>
    <w:p w14:paraId="36A2F9FF" w14:textId="2F17EAD1" w:rsidR="008778FA" w:rsidRDefault="008778FA" w:rsidP="00E652B6">
      <w:pPr>
        <w:spacing w:after="0"/>
      </w:pPr>
      <w:r>
        <w:t xml:space="preserve">Pharmaceutical segment sales in 2022 were $52.6 billion, an increase of 1.7% from 2021, which included operational growth of 6.7% and a negative currency impact of 5.0%. U.S. sales were $28.6 billion, an increase of 2.3%. International sales were $24.0 billion, an increase of 1.0%, which included 11.9% operational growth and a negative currency impact of 10.9%. In 2022, acquisitions and divestitures had a net negative impact of 0.1% on the operational sales growth of the worldwide </w:t>
      </w:r>
      <w:r>
        <w:t>pharmaceutical</w:t>
      </w:r>
      <w:r>
        <w:t xml:space="preserve"> segment. Adjustments to previous sales reserve estimates were approximately $0.1 billion and $0.7 billion in fiscal years 2022 and 2021, respectively.</w:t>
      </w:r>
    </w:p>
    <w:p w14:paraId="5E1DB23F" w14:textId="42EF7F88" w:rsidR="00DE336E" w:rsidRDefault="00DE336E" w:rsidP="00E652B6">
      <w:pPr>
        <w:spacing w:after="0"/>
      </w:pPr>
      <w:r>
        <w:t>MedTech:</w:t>
      </w:r>
    </w:p>
    <w:p w14:paraId="036537D3" w14:textId="21A8962E" w:rsidR="00DE336E" w:rsidRDefault="00DE336E" w:rsidP="00E652B6">
      <w:pPr>
        <w:spacing w:after="0"/>
      </w:pPr>
      <w:r>
        <w:t>The MedTech segment sales in 2022 were $27.4 billion, an increase of 1.4% from 2021, which included operational growth of 6.2% and a negative currency impact of 4.8%. U.S. sales were $13.4 billion, an increase of 5.4% as compared to the prior year. International sales were $14.1 billion, a decrease of 2.3% as compared to the prior year, which included operational growth of 6.9% and a negative currency impact of 9.2%. In 2022, the net impact of acquisitions and divestitures on the MedTech segment worldwide operational sales growth was a positive 0.1%.</w:t>
      </w:r>
    </w:p>
    <w:p w14:paraId="4F54A82B" w14:textId="77777777" w:rsidR="0015777E" w:rsidRDefault="0015777E" w:rsidP="00E652B6">
      <w:pPr>
        <w:spacing w:after="0"/>
      </w:pPr>
    </w:p>
    <w:p w14:paraId="6FE805DB" w14:textId="13FFD0A0" w:rsidR="0015777E" w:rsidRDefault="0015777E" w:rsidP="00E652B6">
      <w:pPr>
        <w:spacing w:after="0"/>
      </w:pPr>
      <w:r>
        <w:t>Cost Drivers:</w:t>
      </w:r>
    </w:p>
    <w:p w14:paraId="2B43FAF6" w14:textId="4BB8B374" w:rsidR="0015777E" w:rsidRDefault="002A4455" w:rsidP="00E652B6">
      <w:pPr>
        <w:spacing w:after="0"/>
      </w:pPr>
      <w:r>
        <w:t>Research</w:t>
      </w:r>
      <w:r w:rsidR="00B374B6">
        <w:t xml:space="preserve"> and </w:t>
      </w:r>
      <w:r>
        <w:t>development</w:t>
      </w:r>
    </w:p>
    <w:tbl>
      <w:tblPr>
        <w:tblStyle w:val="TableGrid"/>
        <w:tblW w:w="0" w:type="auto"/>
        <w:tblLook w:val="04A0" w:firstRow="1" w:lastRow="0" w:firstColumn="1" w:lastColumn="0" w:noHBand="0" w:noVBand="1"/>
      </w:tblPr>
      <w:tblGrid>
        <w:gridCol w:w="3005"/>
        <w:gridCol w:w="3005"/>
        <w:gridCol w:w="3006"/>
      </w:tblGrid>
      <w:tr w:rsidR="00A2695B" w14:paraId="646C8B4C" w14:textId="77777777" w:rsidTr="00A2695B">
        <w:tc>
          <w:tcPr>
            <w:tcW w:w="3005" w:type="dxa"/>
          </w:tcPr>
          <w:p w14:paraId="4EFB0D5F" w14:textId="435F7BEF" w:rsidR="00A2695B" w:rsidRDefault="00A2695B" w:rsidP="00E652B6">
            <w:r>
              <w:t>Dollar in Millions</w:t>
            </w:r>
          </w:p>
        </w:tc>
        <w:tc>
          <w:tcPr>
            <w:tcW w:w="3005" w:type="dxa"/>
          </w:tcPr>
          <w:p w14:paraId="103CE622" w14:textId="16F41B52" w:rsidR="00A2695B" w:rsidRDefault="00CF0FF1" w:rsidP="00E652B6">
            <w:r>
              <w:t>2022</w:t>
            </w:r>
          </w:p>
        </w:tc>
        <w:tc>
          <w:tcPr>
            <w:tcW w:w="3006" w:type="dxa"/>
          </w:tcPr>
          <w:p w14:paraId="0B555A0E" w14:textId="090B871B" w:rsidR="00A2695B" w:rsidRDefault="00CF0FF1" w:rsidP="00E652B6">
            <w:r>
              <w:t>2021</w:t>
            </w:r>
          </w:p>
        </w:tc>
      </w:tr>
      <w:tr w:rsidR="00A2695B" w14:paraId="44A296FD" w14:textId="77777777" w:rsidTr="00A2695B">
        <w:tc>
          <w:tcPr>
            <w:tcW w:w="3005" w:type="dxa"/>
          </w:tcPr>
          <w:p w14:paraId="3328D600" w14:textId="00D42A50" w:rsidR="00A2695B" w:rsidRDefault="00A2695B" w:rsidP="00E652B6">
            <w:r>
              <w:t>Consumer Health</w:t>
            </w:r>
          </w:p>
        </w:tc>
        <w:tc>
          <w:tcPr>
            <w:tcW w:w="3005" w:type="dxa"/>
          </w:tcPr>
          <w:p w14:paraId="40A68D59" w14:textId="6B6E910E" w:rsidR="00A2695B" w:rsidRDefault="00991EF8" w:rsidP="00E652B6">
            <w:r>
              <w:t>493</w:t>
            </w:r>
          </w:p>
        </w:tc>
        <w:tc>
          <w:tcPr>
            <w:tcW w:w="3006" w:type="dxa"/>
          </w:tcPr>
          <w:p w14:paraId="508976E2" w14:textId="71E52C8B" w:rsidR="00A2695B" w:rsidRDefault="007D6776" w:rsidP="00E652B6">
            <w:r>
              <w:t>459</w:t>
            </w:r>
          </w:p>
        </w:tc>
      </w:tr>
      <w:tr w:rsidR="00A2695B" w14:paraId="3ED0769E" w14:textId="77777777" w:rsidTr="00A2695B">
        <w:tc>
          <w:tcPr>
            <w:tcW w:w="3005" w:type="dxa"/>
          </w:tcPr>
          <w:p w14:paraId="2C874E6A" w14:textId="7718735A" w:rsidR="00A2695B" w:rsidRDefault="00A2695B" w:rsidP="00E652B6">
            <w:r>
              <w:t>Pharmaceutical</w:t>
            </w:r>
          </w:p>
        </w:tc>
        <w:tc>
          <w:tcPr>
            <w:tcW w:w="3005" w:type="dxa"/>
          </w:tcPr>
          <w:p w14:paraId="5DD7FE90" w14:textId="2511256E" w:rsidR="00A2695B" w:rsidRDefault="00991EF8" w:rsidP="00E652B6">
            <w:r>
              <w:t>11622</w:t>
            </w:r>
          </w:p>
        </w:tc>
        <w:tc>
          <w:tcPr>
            <w:tcW w:w="3006" w:type="dxa"/>
          </w:tcPr>
          <w:p w14:paraId="424DD425" w14:textId="620AA091" w:rsidR="00A2695B" w:rsidRDefault="007D6776" w:rsidP="00E652B6">
            <w:r>
              <w:t>11878</w:t>
            </w:r>
          </w:p>
        </w:tc>
      </w:tr>
      <w:tr w:rsidR="00A2695B" w14:paraId="6BABFA28" w14:textId="77777777" w:rsidTr="00A2695B">
        <w:tc>
          <w:tcPr>
            <w:tcW w:w="3005" w:type="dxa"/>
          </w:tcPr>
          <w:p w14:paraId="5E6369CE" w14:textId="5AD9092C" w:rsidR="00A2695B" w:rsidRDefault="00CF0FF1" w:rsidP="00E652B6">
            <w:r>
              <w:t>MedTech</w:t>
            </w:r>
          </w:p>
        </w:tc>
        <w:tc>
          <w:tcPr>
            <w:tcW w:w="3005" w:type="dxa"/>
          </w:tcPr>
          <w:p w14:paraId="26DEFEF2" w14:textId="52029D0D" w:rsidR="00A2695B" w:rsidRDefault="00991EF8" w:rsidP="00E652B6">
            <w:r>
              <w:t>2488</w:t>
            </w:r>
          </w:p>
        </w:tc>
        <w:tc>
          <w:tcPr>
            <w:tcW w:w="3006" w:type="dxa"/>
          </w:tcPr>
          <w:p w14:paraId="53E74E19" w14:textId="22BA7745" w:rsidR="00A2695B" w:rsidRDefault="007D6776" w:rsidP="00E652B6">
            <w:r>
              <w:t>2377</w:t>
            </w:r>
          </w:p>
        </w:tc>
      </w:tr>
      <w:tr w:rsidR="00A2695B" w14:paraId="0A9182B9" w14:textId="77777777" w:rsidTr="00A2695B">
        <w:tc>
          <w:tcPr>
            <w:tcW w:w="3005" w:type="dxa"/>
          </w:tcPr>
          <w:p w14:paraId="3FA8D202" w14:textId="5BF5DCA5" w:rsidR="00A2695B" w:rsidRDefault="00CF0FF1" w:rsidP="00E652B6">
            <w:r>
              <w:t>Total</w:t>
            </w:r>
          </w:p>
        </w:tc>
        <w:tc>
          <w:tcPr>
            <w:tcW w:w="3005" w:type="dxa"/>
          </w:tcPr>
          <w:p w14:paraId="4A8D6BC5" w14:textId="7E74BB9E" w:rsidR="00A2695B" w:rsidRDefault="00991EF8" w:rsidP="00E652B6">
            <w:r>
              <w:t>14</w:t>
            </w:r>
            <w:r w:rsidR="007D6776">
              <w:t>603(-0.8%)</w:t>
            </w:r>
          </w:p>
        </w:tc>
        <w:tc>
          <w:tcPr>
            <w:tcW w:w="3006" w:type="dxa"/>
          </w:tcPr>
          <w:p w14:paraId="2E6C44A0" w14:textId="1D4744E8" w:rsidR="00A2695B" w:rsidRDefault="007D6776" w:rsidP="00E652B6">
            <w:r>
              <w:t>14714(+21%)</w:t>
            </w:r>
          </w:p>
        </w:tc>
      </w:tr>
    </w:tbl>
    <w:p w14:paraId="2C424986" w14:textId="77777777" w:rsidR="0046605B" w:rsidRDefault="0046605B" w:rsidP="00E652B6">
      <w:pPr>
        <w:spacing w:after="0"/>
      </w:pPr>
    </w:p>
    <w:p w14:paraId="0B243BE1" w14:textId="25B77EA6" w:rsidR="001F74DF" w:rsidRDefault="00794CEE" w:rsidP="00E652B6">
      <w:pPr>
        <w:spacing w:after="0"/>
      </w:pPr>
      <w:r>
        <w:lastRenderedPageBreak/>
        <w:t xml:space="preserve">Research and development activities represent a significant part of the Company’s business. These expenditures relate to the processes of discovering, </w:t>
      </w:r>
      <w:r>
        <w:t>testing,</w:t>
      </w:r>
      <w:r>
        <w:t xml:space="preserve"> and developing new products, upfront </w:t>
      </w:r>
      <w:r>
        <w:t>payments,</w:t>
      </w:r>
      <w:r>
        <w:t xml:space="preserve"> and developmental milestones, improving existing products, as well as ensuring product efficacy and regulatory compliance prior to launch. </w:t>
      </w:r>
      <w:r>
        <w:t>Therefore, these can be classed as variables costs as researching activities will vary year by year.</w:t>
      </w:r>
    </w:p>
    <w:p w14:paraId="42275A00" w14:textId="26BF6D1C" w:rsidR="006937ED" w:rsidRDefault="00AF3852" w:rsidP="00E652B6">
      <w:pPr>
        <w:spacing w:after="0"/>
      </w:pPr>
      <w:r>
        <w:t>IPR&amp;D:</w:t>
      </w:r>
      <w:r w:rsidR="00FC1265" w:rsidRPr="00FC1265">
        <w:t xml:space="preserve"> </w:t>
      </w:r>
      <w:r w:rsidR="00FC1265">
        <w:t xml:space="preserve"> In the fiscal year 2022, the Company recorded an intangible asset impairment charge of approximately $0.8 billion related to an in-process research and development asset, bermekimab (JnJ-77474462), an investigational drug for the treatment of Atopic Dermatitis (AD) and Hidradenitis Suppurativa (HS). Additional information regarding efficacy of the AD indication and HS indication became available which led the Company to the decision to terminate the development of bermekimab for both AD and HS.</w:t>
      </w:r>
      <w:r w:rsidR="00E52ADF">
        <w:t xml:space="preserve"> </w:t>
      </w:r>
      <w:r w:rsidR="0014795D">
        <w:t>These costs can be classed as variable costs due to the nature of R&amp;D varying each year.</w:t>
      </w:r>
    </w:p>
    <w:p w14:paraId="270D43D6" w14:textId="77777777" w:rsidR="004863B9" w:rsidRDefault="004863B9" w:rsidP="00E652B6">
      <w:pPr>
        <w:spacing w:after="0"/>
      </w:pPr>
    </w:p>
    <w:p w14:paraId="12884A39" w14:textId="0BDD63EC" w:rsidR="004863B9" w:rsidRDefault="004863B9" w:rsidP="00E652B6">
      <w:pPr>
        <w:spacing w:after="0"/>
      </w:pPr>
      <w:r>
        <w:t xml:space="preserve">Other expenses: </w:t>
      </w:r>
      <w:r>
        <w:t>Other expense</w:t>
      </w:r>
      <w:r>
        <w:t>s</w:t>
      </w:r>
      <w:r>
        <w:t xml:space="preserve">, net for the fiscal year 2022 was </w:t>
      </w:r>
      <w:r>
        <w:t>unfavourable</w:t>
      </w:r>
      <w:r>
        <w:t xml:space="preserve"> by $1.4 billion as compared to the prior year</w:t>
      </w:r>
      <w:r w:rsidR="00235C72">
        <w:t xml:space="preserve"> due to the following:</w:t>
      </w:r>
    </w:p>
    <w:tbl>
      <w:tblPr>
        <w:tblStyle w:val="TableGrid"/>
        <w:tblW w:w="0" w:type="auto"/>
        <w:tblLook w:val="04A0" w:firstRow="1" w:lastRow="0" w:firstColumn="1" w:lastColumn="0" w:noHBand="0" w:noVBand="1"/>
      </w:tblPr>
      <w:tblGrid>
        <w:gridCol w:w="2254"/>
        <w:gridCol w:w="2254"/>
        <w:gridCol w:w="2254"/>
        <w:gridCol w:w="2254"/>
      </w:tblGrid>
      <w:tr w:rsidR="00235C72" w14:paraId="1B1D74F7" w14:textId="77777777" w:rsidTr="00235C72">
        <w:tc>
          <w:tcPr>
            <w:tcW w:w="2254" w:type="dxa"/>
          </w:tcPr>
          <w:p w14:paraId="5C19B3F9" w14:textId="0D5CB469" w:rsidR="00235C72" w:rsidRDefault="00235C72" w:rsidP="00E652B6">
            <w:r>
              <w:t>Dollars in Billions</w:t>
            </w:r>
          </w:p>
        </w:tc>
        <w:tc>
          <w:tcPr>
            <w:tcW w:w="2254" w:type="dxa"/>
          </w:tcPr>
          <w:p w14:paraId="611A3E2F" w14:textId="6676C8B5" w:rsidR="00235C72" w:rsidRDefault="00235C72" w:rsidP="00E652B6">
            <w:r>
              <w:t>2022</w:t>
            </w:r>
          </w:p>
        </w:tc>
        <w:tc>
          <w:tcPr>
            <w:tcW w:w="2254" w:type="dxa"/>
          </w:tcPr>
          <w:p w14:paraId="46D06C09" w14:textId="68EF52A5" w:rsidR="00235C72" w:rsidRDefault="00235C72" w:rsidP="00E652B6">
            <w:r>
              <w:t>2021</w:t>
            </w:r>
          </w:p>
        </w:tc>
        <w:tc>
          <w:tcPr>
            <w:tcW w:w="2254" w:type="dxa"/>
          </w:tcPr>
          <w:p w14:paraId="44CD82BD" w14:textId="6779687F" w:rsidR="00235C72" w:rsidRDefault="00235C72" w:rsidP="00E652B6">
            <w:r>
              <w:t xml:space="preserve">Change </w:t>
            </w:r>
          </w:p>
        </w:tc>
      </w:tr>
      <w:tr w:rsidR="00235C72" w14:paraId="4EF52A51" w14:textId="77777777" w:rsidTr="00235C72">
        <w:tc>
          <w:tcPr>
            <w:tcW w:w="2254" w:type="dxa"/>
          </w:tcPr>
          <w:p w14:paraId="541CD536" w14:textId="7C248259" w:rsidR="00235C72" w:rsidRDefault="00B73D4A" w:rsidP="00E652B6">
            <w:r>
              <w:t>Consumer health separation costs</w:t>
            </w:r>
          </w:p>
        </w:tc>
        <w:tc>
          <w:tcPr>
            <w:tcW w:w="2254" w:type="dxa"/>
          </w:tcPr>
          <w:p w14:paraId="712C5C45" w14:textId="1FA98A64" w:rsidR="00235C72" w:rsidRDefault="00B73D4A" w:rsidP="00E652B6">
            <w:r>
              <w:t>1</w:t>
            </w:r>
          </w:p>
        </w:tc>
        <w:tc>
          <w:tcPr>
            <w:tcW w:w="2254" w:type="dxa"/>
          </w:tcPr>
          <w:p w14:paraId="4DDCB33C" w14:textId="5A27CF8A" w:rsidR="00235C72" w:rsidRDefault="00B73D4A" w:rsidP="00E652B6">
            <w:r>
              <w:t>0.1</w:t>
            </w:r>
          </w:p>
        </w:tc>
        <w:tc>
          <w:tcPr>
            <w:tcW w:w="2254" w:type="dxa"/>
          </w:tcPr>
          <w:p w14:paraId="26D4DB7E" w14:textId="27BF2BDE" w:rsidR="00235C72" w:rsidRDefault="00B73D4A" w:rsidP="00E652B6">
            <w:r>
              <w:t>0.9</w:t>
            </w:r>
          </w:p>
        </w:tc>
      </w:tr>
      <w:tr w:rsidR="00235C72" w14:paraId="48C8BD50" w14:textId="77777777" w:rsidTr="00235C72">
        <w:tc>
          <w:tcPr>
            <w:tcW w:w="2254" w:type="dxa"/>
          </w:tcPr>
          <w:p w14:paraId="2E655273" w14:textId="34F38F28" w:rsidR="00235C72" w:rsidRDefault="00B73D4A" w:rsidP="00E652B6">
            <w:r>
              <w:t>Litigation Related</w:t>
            </w:r>
          </w:p>
        </w:tc>
        <w:tc>
          <w:tcPr>
            <w:tcW w:w="2254" w:type="dxa"/>
          </w:tcPr>
          <w:p w14:paraId="0018C446" w14:textId="1065DA0E" w:rsidR="00235C72" w:rsidRDefault="00B73D4A" w:rsidP="00E652B6">
            <w:r>
              <w:t>0.8</w:t>
            </w:r>
          </w:p>
        </w:tc>
        <w:tc>
          <w:tcPr>
            <w:tcW w:w="2254" w:type="dxa"/>
          </w:tcPr>
          <w:p w14:paraId="512E5146" w14:textId="515B4D4F" w:rsidR="00235C72" w:rsidRDefault="00B73D4A" w:rsidP="00E652B6">
            <w:r>
              <w:t>2.3</w:t>
            </w:r>
          </w:p>
        </w:tc>
        <w:tc>
          <w:tcPr>
            <w:tcW w:w="2254" w:type="dxa"/>
          </w:tcPr>
          <w:p w14:paraId="78F0CBD6" w14:textId="37BF1343" w:rsidR="00235C72" w:rsidRDefault="00B73D4A" w:rsidP="00E652B6">
            <w:r>
              <w:t>-1.4</w:t>
            </w:r>
          </w:p>
        </w:tc>
      </w:tr>
      <w:tr w:rsidR="00235C72" w14:paraId="1D2B8950" w14:textId="77777777" w:rsidTr="00235C72">
        <w:tc>
          <w:tcPr>
            <w:tcW w:w="2254" w:type="dxa"/>
          </w:tcPr>
          <w:p w14:paraId="5813878B" w14:textId="55D820BB" w:rsidR="00235C72" w:rsidRDefault="006434F7" w:rsidP="00E652B6">
            <w:r>
              <w:t>Changes in fair value of securities</w:t>
            </w:r>
          </w:p>
        </w:tc>
        <w:tc>
          <w:tcPr>
            <w:tcW w:w="2254" w:type="dxa"/>
          </w:tcPr>
          <w:p w14:paraId="0043C567" w14:textId="5358D311" w:rsidR="00235C72" w:rsidRDefault="006434F7" w:rsidP="00E652B6">
            <w:r>
              <w:t>0.7</w:t>
            </w:r>
          </w:p>
        </w:tc>
        <w:tc>
          <w:tcPr>
            <w:tcW w:w="2254" w:type="dxa"/>
          </w:tcPr>
          <w:p w14:paraId="42F8B518" w14:textId="157918A5" w:rsidR="00235C72" w:rsidRDefault="006434F7" w:rsidP="00E652B6">
            <w:r>
              <w:t>-0.5</w:t>
            </w:r>
          </w:p>
        </w:tc>
        <w:tc>
          <w:tcPr>
            <w:tcW w:w="2254" w:type="dxa"/>
          </w:tcPr>
          <w:p w14:paraId="5A4827CB" w14:textId="0EC040A5" w:rsidR="00235C72" w:rsidRDefault="006434F7" w:rsidP="00E652B6">
            <w:r>
              <w:t>1.2</w:t>
            </w:r>
          </w:p>
        </w:tc>
      </w:tr>
      <w:tr w:rsidR="00235C72" w14:paraId="35079713" w14:textId="77777777" w:rsidTr="00235C72">
        <w:tc>
          <w:tcPr>
            <w:tcW w:w="2254" w:type="dxa"/>
          </w:tcPr>
          <w:p w14:paraId="2A3F917D" w14:textId="29A7D1D7" w:rsidR="00235C72" w:rsidRDefault="006434F7" w:rsidP="00E652B6">
            <w:r>
              <w:t>Covid-19 vaccine manufacturing exit costs</w:t>
            </w:r>
          </w:p>
        </w:tc>
        <w:tc>
          <w:tcPr>
            <w:tcW w:w="2254" w:type="dxa"/>
          </w:tcPr>
          <w:p w14:paraId="63BD3090" w14:textId="29CB7EC9" w:rsidR="00235C72" w:rsidRDefault="00530895" w:rsidP="00E652B6">
            <w:r>
              <w:t>0.7</w:t>
            </w:r>
          </w:p>
        </w:tc>
        <w:tc>
          <w:tcPr>
            <w:tcW w:w="2254" w:type="dxa"/>
          </w:tcPr>
          <w:p w14:paraId="6BFD0171" w14:textId="4B046781" w:rsidR="00235C72" w:rsidRDefault="00530895" w:rsidP="00E652B6">
            <w:r>
              <w:t>0</w:t>
            </w:r>
          </w:p>
        </w:tc>
        <w:tc>
          <w:tcPr>
            <w:tcW w:w="2254" w:type="dxa"/>
          </w:tcPr>
          <w:p w14:paraId="642D32ED" w14:textId="5FDCED21" w:rsidR="00235C72" w:rsidRDefault="00530895" w:rsidP="00E652B6">
            <w:r>
              <w:t>0.7</w:t>
            </w:r>
          </w:p>
        </w:tc>
      </w:tr>
      <w:tr w:rsidR="00235C72" w14:paraId="6140432F" w14:textId="77777777" w:rsidTr="00235C72">
        <w:tc>
          <w:tcPr>
            <w:tcW w:w="2254" w:type="dxa"/>
          </w:tcPr>
          <w:p w14:paraId="7F3B79BB" w14:textId="1BDA7A56" w:rsidR="00235C72" w:rsidRDefault="00530895" w:rsidP="00E652B6">
            <w:r>
              <w:t>Acquisition</w:t>
            </w:r>
          </w:p>
        </w:tc>
        <w:tc>
          <w:tcPr>
            <w:tcW w:w="2254" w:type="dxa"/>
          </w:tcPr>
          <w:p w14:paraId="27BA063A" w14:textId="17E87371" w:rsidR="00235C72" w:rsidRDefault="00530895" w:rsidP="00E652B6">
            <w:r>
              <w:t>0.1</w:t>
            </w:r>
          </w:p>
        </w:tc>
        <w:tc>
          <w:tcPr>
            <w:tcW w:w="2254" w:type="dxa"/>
          </w:tcPr>
          <w:p w14:paraId="268DAC53" w14:textId="379F1AC2" w:rsidR="00235C72" w:rsidRDefault="00530895" w:rsidP="00E652B6">
            <w:r>
              <w:t>-0.5</w:t>
            </w:r>
          </w:p>
        </w:tc>
        <w:tc>
          <w:tcPr>
            <w:tcW w:w="2254" w:type="dxa"/>
          </w:tcPr>
          <w:p w14:paraId="2418AA0C" w14:textId="4B5A9F2A" w:rsidR="00235C72" w:rsidRDefault="00530895" w:rsidP="00E652B6">
            <w:r>
              <w:t>0.6</w:t>
            </w:r>
          </w:p>
        </w:tc>
      </w:tr>
      <w:tr w:rsidR="00235C72" w14:paraId="311D2E7B" w14:textId="77777777" w:rsidTr="00235C72">
        <w:tc>
          <w:tcPr>
            <w:tcW w:w="2254" w:type="dxa"/>
          </w:tcPr>
          <w:p w14:paraId="795E3E15" w14:textId="1BD390EA" w:rsidR="00235C72" w:rsidRDefault="00423D0F" w:rsidP="00E652B6">
            <w:r>
              <w:t>Restructuring related</w:t>
            </w:r>
          </w:p>
        </w:tc>
        <w:tc>
          <w:tcPr>
            <w:tcW w:w="2254" w:type="dxa"/>
          </w:tcPr>
          <w:p w14:paraId="2F80ADEE" w14:textId="6503CFFF" w:rsidR="00235C72" w:rsidRDefault="00423D0F" w:rsidP="00E652B6">
            <w:r>
              <w:t>0.1</w:t>
            </w:r>
          </w:p>
        </w:tc>
        <w:tc>
          <w:tcPr>
            <w:tcW w:w="2254" w:type="dxa"/>
          </w:tcPr>
          <w:p w14:paraId="769D5880" w14:textId="7D746D71" w:rsidR="00235C72" w:rsidRDefault="00423D0F" w:rsidP="00E652B6">
            <w:r>
              <w:t>0.1</w:t>
            </w:r>
          </w:p>
        </w:tc>
        <w:tc>
          <w:tcPr>
            <w:tcW w:w="2254" w:type="dxa"/>
          </w:tcPr>
          <w:p w14:paraId="0D592CED" w14:textId="76977D63" w:rsidR="00235C72" w:rsidRDefault="00423D0F" w:rsidP="00E652B6">
            <w:r>
              <w:t>0</w:t>
            </w:r>
          </w:p>
        </w:tc>
      </w:tr>
      <w:tr w:rsidR="00235C72" w14:paraId="6D04E274" w14:textId="77777777" w:rsidTr="00235C72">
        <w:tc>
          <w:tcPr>
            <w:tcW w:w="2254" w:type="dxa"/>
          </w:tcPr>
          <w:p w14:paraId="478CE8DE" w14:textId="41064EA1" w:rsidR="00235C72" w:rsidRDefault="00423D0F" w:rsidP="00E652B6">
            <w:r>
              <w:t>Employee benefit plan related</w:t>
            </w:r>
          </w:p>
        </w:tc>
        <w:tc>
          <w:tcPr>
            <w:tcW w:w="2254" w:type="dxa"/>
          </w:tcPr>
          <w:p w14:paraId="03CE71BB" w14:textId="1CECF899" w:rsidR="00235C72" w:rsidRDefault="00423D0F" w:rsidP="00E652B6">
            <w:r>
              <w:t>-1.2</w:t>
            </w:r>
          </w:p>
        </w:tc>
        <w:tc>
          <w:tcPr>
            <w:tcW w:w="2254" w:type="dxa"/>
          </w:tcPr>
          <w:p w14:paraId="21EDC7AF" w14:textId="5B6D8410" w:rsidR="00235C72" w:rsidRDefault="00423D0F" w:rsidP="00E652B6">
            <w:r>
              <w:t>-0.6</w:t>
            </w:r>
          </w:p>
        </w:tc>
        <w:tc>
          <w:tcPr>
            <w:tcW w:w="2254" w:type="dxa"/>
          </w:tcPr>
          <w:p w14:paraId="3A12599E" w14:textId="2E352ADE" w:rsidR="00235C72" w:rsidRDefault="00423D0F" w:rsidP="00E652B6">
            <w:r>
              <w:t>-0.6</w:t>
            </w:r>
          </w:p>
        </w:tc>
      </w:tr>
      <w:tr w:rsidR="00235C72" w14:paraId="75C910CD" w14:textId="77777777" w:rsidTr="00235C72">
        <w:tc>
          <w:tcPr>
            <w:tcW w:w="2254" w:type="dxa"/>
          </w:tcPr>
          <w:p w14:paraId="6F707718" w14:textId="671493D7" w:rsidR="00235C72" w:rsidRDefault="002B4BC8" w:rsidP="00E652B6">
            <w:r>
              <w:t xml:space="preserve">Other </w:t>
            </w:r>
          </w:p>
        </w:tc>
        <w:tc>
          <w:tcPr>
            <w:tcW w:w="2254" w:type="dxa"/>
          </w:tcPr>
          <w:p w14:paraId="4895D6C5" w14:textId="02781EC9" w:rsidR="00235C72" w:rsidRDefault="002B4BC8" w:rsidP="00E652B6">
            <w:r>
              <w:t>-0.4</w:t>
            </w:r>
          </w:p>
        </w:tc>
        <w:tc>
          <w:tcPr>
            <w:tcW w:w="2254" w:type="dxa"/>
          </w:tcPr>
          <w:p w14:paraId="375D1191" w14:textId="754DD82A" w:rsidR="00235C72" w:rsidRDefault="002B4BC8" w:rsidP="00E652B6">
            <w:r>
              <w:t>-0.4</w:t>
            </w:r>
          </w:p>
        </w:tc>
        <w:tc>
          <w:tcPr>
            <w:tcW w:w="2254" w:type="dxa"/>
          </w:tcPr>
          <w:p w14:paraId="0877C4E4" w14:textId="466AA9D6" w:rsidR="00235C72" w:rsidRDefault="002B4BC8" w:rsidP="00E652B6">
            <w:r>
              <w:t>0</w:t>
            </w:r>
          </w:p>
        </w:tc>
      </w:tr>
      <w:tr w:rsidR="00235C72" w14:paraId="2F92957E" w14:textId="77777777" w:rsidTr="00235C72">
        <w:tc>
          <w:tcPr>
            <w:tcW w:w="2254" w:type="dxa"/>
          </w:tcPr>
          <w:p w14:paraId="3D968E98" w14:textId="13F5069E" w:rsidR="00235C72" w:rsidRDefault="002B4BC8" w:rsidP="00E652B6">
            <w:r>
              <w:t>Total</w:t>
            </w:r>
          </w:p>
        </w:tc>
        <w:tc>
          <w:tcPr>
            <w:tcW w:w="2254" w:type="dxa"/>
          </w:tcPr>
          <w:p w14:paraId="53E93C74" w14:textId="49EA33FB" w:rsidR="00235C72" w:rsidRDefault="002B4BC8" w:rsidP="00E652B6">
            <w:r>
              <w:t>1.9</w:t>
            </w:r>
          </w:p>
        </w:tc>
        <w:tc>
          <w:tcPr>
            <w:tcW w:w="2254" w:type="dxa"/>
          </w:tcPr>
          <w:p w14:paraId="35C102CF" w14:textId="4CA8DFAC" w:rsidR="00235C72" w:rsidRDefault="002B4BC8" w:rsidP="00E652B6">
            <w:r>
              <w:t>0.5</w:t>
            </w:r>
          </w:p>
        </w:tc>
        <w:tc>
          <w:tcPr>
            <w:tcW w:w="2254" w:type="dxa"/>
          </w:tcPr>
          <w:p w14:paraId="4895A2C7" w14:textId="54752759" w:rsidR="00235C72" w:rsidRDefault="002B4BC8" w:rsidP="00E652B6">
            <w:r>
              <w:t>1.4</w:t>
            </w:r>
          </w:p>
        </w:tc>
      </w:tr>
    </w:tbl>
    <w:p w14:paraId="3C00E80D" w14:textId="08B1AB76" w:rsidR="00235C72" w:rsidRDefault="002B4BC8" w:rsidP="00E652B6">
      <w:pPr>
        <w:spacing w:after="0"/>
      </w:pPr>
      <w:r>
        <w:t xml:space="preserve"> All expenses stated above apart from</w:t>
      </w:r>
      <w:r w:rsidR="00C621D0">
        <w:t xml:space="preserve"> ’Other’ and ‘Restructuring’ can be deemed variable costs.</w:t>
      </w:r>
    </w:p>
    <w:p w14:paraId="4AE13BDE" w14:textId="77777777" w:rsidR="007048B8" w:rsidRDefault="007048B8" w:rsidP="00E652B6">
      <w:pPr>
        <w:spacing w:after="0"/>
      </w:pPr>
    </w:p>
    <w:p w14:paraId="6A95AA46" w14:textId="77777777" w:rsidR="007048B8" w:rsidRDefault="007048B8" w:rsidP="00E652B6">
      <w:pPr>
        <w:spacing w:after="0"/>
      </w:pPr>
    </w:p>
    <w:p w14:paraId="7193AECA" w14:textId="77777777" w:rsidR="007048B8" w:rsidRDefault="007048B8" w:rsidP="00E652B6">
      <w:pPr>
        <w:spacing w:after="0"/>
      </w:pPr>
    </w:p>
    <w:p w14:paraId="6C7A5B8D" w14:textId="72B942AD" w:rsidR="007048B8" w:rsidRDefault="007048B8" w:rsidP="00E652B6">
      <w:pPr>
        <w:spacing w:after="0"/>
      </w:pPr>
      <w:r>
        <w:t>Peers:</w:t>
      </w:r>
    </w:p>
    <w:p w14:paraId="55D4D7F3" w14:textId="19282D2F" w:rsidR="007048B8" w:rsidRDefault="00A15587" w:rsidP="00E652B6">
      <w:pPr>
        <w:spacing w:after="0"/>
      </w:pPr>
      <w:r>
        <w:t>Performance:</w:t>
      </w:r>
    </w:p>
    <w:tbl>
      <w:tblPr>
        <w:tblStyle w:val="TableGrid"/>
        <w:tblW w:w="0" w:type="auto"/>
        <w:tblLook w:val="04A0" w:firstRow="1" w:lastRow="0" w:firstColumn="1" w:lastColumn="0" w:noHBand="0" w:noVBand="1"/>
      </w:tblPr>
      <w:tblGrid>
        <w:gridCol w:w="2254"/>
        <w:gridCol w:w="2254"/>
        <w:gridCol w:w="2254"/>
        <w:gridCol w:w="2254"/>
      </w:tblGrid>
      <w:tr w:rsidR="00A15587" w14:paraId="4B2D29DE" w14:textId="77777777" w:rsidTr="00A15587">
        <w:tc>
          <w:tcPr>
            <w:tcW w:w="2254" w:type="dxa"/>
          </w:tcPr>
          <w:p w14:paraId="7A2979BD" w14:textId="77777777" w:rsidR="00A15587" w:rsidRDefault="00A15587" w:rsidP="00E652B6"/>
        </w:tc>
        <w:tc>
          <w:tcPr>
            <w:tcW w:w="2254" w:type="dxa"/>
          </w:tcPr>
          <w:p w14:paraId="24304D56" w14:textId="61A112D1" w:rsidR="00A15587" w:rsidRDefault="00A15587" w:rsidP="00E652B6">
            <w:r>
              <w:t>JnJ</w:t>
            </w:r>
          </w:p>
        </w:tc>
        <w:tc>
          <w:tcPr>
            <w:tcW w:w="2254" w:type="dxa"/>
          </w:tcPr>
          <w:p w14:paraId="6C139184" w14:textId="38A5ADD1" w:rsidR="00A15587" w:rsidRDefault="00A15587" w:rsidP="00E652B6">
            <w:r>
              <w:t>Merck &amp;co</w:t>
            </w:r>
          </w:p>
        </w:tc>
        <w:tc>
          <w:tcPr>
            <w:tcW w:w="2254" w:type="dxa"/>
          </w:tcPr>
          <w:p w14:paraId="45C25469" w14:textId="7464EA75" w:rsidR="00A15587" w:rsidRDefault="003A00C9" w:rsidP="00E652B6">
            <w:r>
              <w:t>Pfizer</w:t>
            </w:r>
          </w:p>
        </w:tc>
      </w:tr>
      <w:tr w:rsidR="00A15587" w14:paraId="2F297B78" w14:textId="77777777" w:rsidTr="00A15587">
        <w:tc>
          <w:tcPr>
            <w:tcW w:w="2254" w:type="dxa"/>
          </w:tcPr>
          <w:p w14:paraId="1EAC0ECE" w14:textId="34DF9AEE" w:rsidR="00A15587" w:rsidRDefault="003A00C9" w:rsidP="00E652B6">
            <w:r>
              <w:t>Revenue Growth YOY</w:t>
            </w:r>
          </w:p>
        </w:tc>
        <w:tc>
          <w:tcPr>
            <w:tcW w:w="2254" w:type="dxa"/>
          </w:tcPr>
          <w:p w14:paraId="49C0B08E" w14:textId="401E7AA7" w:rsidR="00A15587" w:rsidRDefault="003A00C9" w:rsidP="00E652B6">
            <w:r>
              <w:t>16.26%</w:t>
            </w:r>
          </w:p>
        </w:tc>
        <w:tc>
          <w:tcPr>
            <w:tcW w:w="2254" w:type="dxa"/>
          </w:tcPr>
          <w:p w14:paraId="00420883" w14:textId="414CB9B9" w:rsidR="00A15587" w:rsidRDefault="00343F80" w:rsidP="00E652B6">
            <w:r>
              <w:t>0.58%</w:t>
            </w:r>
          </w:p>
        </w:tc>
        <w:tc>
          <w:tcPr>
            <w:tcW w:w="2254" w:type="dxa"/>
          </w:tcPr>
          <w:p w14:paraId="004D43AA" w14:textId="7D0B2B50" w:rsidR="00A15587" w:rsidRDefault="00343F80" w:rsidP="00E652B6">
            <w:r>
              <w:t>-23.04%</w:t>
            </w:r>
          </w:p>
        </w:tc>
      </w:tr>
      <w:tr w:rsidR="00A15587" w14:paraId="36DA7946" w14:textId="77777777" w:rsidTr="00A15587">
        <w:tc>
          <w:tcPr>
            <w:tcW w:w="2254" w:type="dxa"/>
          </w:tcPr>
          <w:p w14:paraId="657280F9" w14:textId="2728E168" w:rsidR="00A15587" w:rsidRDefault="00D46D52" w:rsidP="00E652B6">
            <w:r>
              <w:t>Gross profit margin</w:t>
            </w:r>
          </w:p>
        </w:tc>
        <w:tc>
          <w:tcPr>
            <w:tcW w:w="2254" w:type="dxa"/>
          </w:tcPr>
          <w:p w14:paraId="74CAB532" w14:textId="24A47EE3" w:rsidR="00A15587" w:rsidRDefault="00D46D52" w:rsidP="00E652B6">
            <w:r>
              <w:t>67.56%</w:t>
            </w:r>
          </w:p>
        </w:tc>
        <w:tc>
          <w:tcPr>
            <w:tcW w:w="2254" w:type="dxa"/>
          </w:tcPr>
          <w:p w14:paraId="1F963481" w14:textId="2EE28ACD" w:rsidR="00A15587" w:rsidRDefault="00D46D52" w:rsidP="00E652B6">
            <w:r>
              <w:t>73.09%</w:t>
            </w:r>
          </w:p>
        </w:tc>
        <w:tc>
          <w:tcPr>
            <w:tcW w:w="2254" w:type="dxa"/>
          </w:tcPr>
          <w:p w14:paraId="6068FDB9" w14:textId="36937FDC" w:rsidR="00A15587" w:rsidRDefault="00D46D52" w:rsidP="00E652B6">
            <w:r>
              <w:t>69.82%</w:t>
            </w:r>
          </w:p>
        </w:tc>
      </w:tr>
      <w:tr w:rsidR="00A15587" w14:paraId="7E19F0B9" w14:textId="77777777" w:rsidTr="00A15587">
        <w:tc>
          <w:tcPr>
            <w:tcW w:w="2254" w:type="dxa"/>
          </w:tcPr>
          <w:p w14:paraId="766B4ED0" w14:textId="7CABB5EF" w:rsidR="00A15587" w:rsidRDefault="006F42FA" w:rsidP="00E652B6">
            <w:r>
              <w:t>ROE</w:t>
            </w:r>
          </w:p>
        </w:tc>
        <w:tc>
          <w:tcPr>
            <w:tcW w:w="2254" w:type="dxa"/>
          </w:tcPr>
          <w:p w14:paraId="0DBB8058" w14:textId="337D2ABE" w:rsidR="00A15587" w:rsidRDefault="006F42FA" w:rsidP="00E652B6">
            <w:r>
              <w:t>19.19</w:t>
            </w:r>
            <w:r w:rsidR="00222543">
              <w:t>%</w:t>
            </w:r>
          </w:p>
        </w:tc>
        <w:tc>
          <w:tcPr>
            <w:tcW w:w="2254" w:type="dxa"/>
          </w:tcPr>
          <w:p w14:paraId="6D377054" w14:textId="63DD77DD" w:rsidR="00A15587" w:rsidRDefault="006F42FA" w:rsidP="00E652B6">
            <w:r>
              <w:t>7.61</w:t>
            </w:r>
            <w:r w:rsidR="00222543">
              <w:t>%</w:t>
            </w:r>
          </w:p>
        </w:tc>
        <w:tc>
          <w:tcPr>
            <w:tcW w:w="2254" w:type="dxa"/>
          </w:tcPr>
          <w:p w14:paraId="02DD47D9" w14:textId="424C4602" w:rsidR="00A15587" w:rsidRDefault="006F42FA" w:rsidP="00E652B6">
            <w:r>
              <w:t>23.07</w:t>
            </w:r>
            <w:r w:rsidR="00222543">
              <w:t>%</w:t>
            </w:r>
          </w:p>
        </w:tc>
      </w:tr>
      <w:tr w:rsidR="00A15587" w14:paraId="5950B6CB" w14:textId="77777777" w:rsidTr="00A15587">
        <w:tc>
          <w:tcPr>
            <w:tcW w:w="2254" w:type="dxa"/>
          </w:tcPr>
          <w:p w14:paraId="4434DF72" w14:textId="5385CD35" w:rsidR="00A15587" w:rsidRDefault="006F42FA" w:rsidP="00E652B6">
            <w:r>
              <w:t>ROA</w:t>
            </w:r>
          </w:p>
        </w:tc>
        <w:tc>
          <w:tcPr>
            <w:tcW w:w="2254" w:type="dxa"/>
          </w:tcPr>
          <w:p w14:paraId="3B6CFB18" w14:textId="30227FD6" w:rsidR="00A15587" w:rsidRDefault="006F42FA" w:rsidP="00E652B6">
            <w:r>
              <w:t>8.68</w:t>
            </w:r>
            <w:r w:rsidR="00222543">
              <w:t>%</w:t>
            </w:r>
          </w:p>
        </w:tc>
        <w:tc>
          <w:tcPr>
            <w:tcW w:w="2254" w:type="dxa"/>
          </w:tcPr>
          <w:p w14:paraId="5EE9AA06" w14:textId="368F12C7" w:rsidR="00A15587" w:rsidRDefault="006F42FA" w:rsidP="00E652B6">
            <w:r>
              <w:t>16.84</w:t>
            </w:r>
            <w:r w:rsidR="00222543">
              <w:t>%</w:t>
            </w:r>
          </w:p>
        </w:tc>
        <w:tc>
          <w:tcPr>
            <w:tcW w:w="2254" w:type="dxa"/>
          </w:tcPr>
          <w:p w14:paraId="452C8E02" w14:textId="29D0348F" w:rsidR="0081789A" w:rsidRDefault="0081789A" w:rsidP="00E652B6">
            <w:r>
              <w:t>11.46</w:t>
            </w:r>
            <w:r w:rsidR="00222543">
              <w:t>%</w:t>
            </w:r>
          </w:p>
        </w:tc>
      </w:tr>
      <w:tr w:rsidR="0081789A" w14:paraId="4D0DA911" w14:textId="77777777" w:rsidTr="00A15587">
        <w:tc>
          <w:tcPr>
            <w:tcW w:w="2254" w:type="dxa"/>
          </w:tcPr>
          <w:p w14:paraId="6BD0BDC1" w14:textId="2BB9A4AC" w:rsidR="0081789A" w:rsidRDefault="0081789A" w:rsidP="00E652B6">
            <w:r>
              <w:t>Total Debt to equity</w:t>
            </w:r>
          </w:p>
        </w:tc>
        <w:tc>
          <w:tcPr>
            <w:tcW w:w="2254" w:type="dxa"/>
          </w:tcPr>
          <w:p w14:paraId="420C8FC5" w14:textId="1A2C4A13" w:rsidR="0081789A" w:rsidRDefault="00222543" w:rsidP="00E652B6">
            <w:r>
              <w:t>42.01%</w:t>
            </w:r>
          </w:p>
        </w:tc>
        <w:tc>
          <w:tcPr>
            <w:tcW w:w="2254" w:type="dxa"/>
          </w:tcPr>
          <w:p w14:paraId="76F45FBD" w14:textId="0BDC36BB" w:rsidR="0081789A" w:rsidRDefault="00222543" w:rsidP="00E652B6">
            <w:r>
              <w:t>95.27%</w:t>
            </w:r>
          </w:p>
        </w:tc>
        <w:tc>
          <w:tcPr>
            <w:tcW w:w="2254" w:type="dxa"/>
          </w:tcPr>
          <w:p w14:paraId="1809DA70" w14:textId="3BD8EBD6" w:rsidR="0081789A" w:rsidRDefault="00222543" w:rsidP="00E652B6">
            <w:r>
              <w:t>66.14%</w:t>
            </w:r>
          </w:p>
        </w:tc>
      </w:tr>
    </w:tbl>
    <w:p w14:paraId="64D6ADC8" w14:textId="77777777" w:rsidR="00A15587" w:rsidRDefault="00A15587" w:rsidP="00E652B6">
      <w:pPr>
        <w:spacing w:after="0"/>
      </w:pPr>
    </w:p>
    <w:p w14:paraId="7CD25834" w14:textId="2B289F1B" w:rsidR="004D2BA5" w:rsidRPr="00732DAD" w:rsidRDefault="000C56D5" w:rsidP="00E652B6">
      <w:pPr>
        <w:spacing w:after="0"/>
      </w:pPr>
      <w:r>
        <w:t xml:space="preserve">JNJ outperformed its peers with </w:t>
      </w:r>
      <w:r w:rsidR="007A3E72">
        <w:t>16% revenue growth. It demonstrated the lowest leverage amongst its competitors suggesting t</w:t>
      </w:r>
      <w:r w:rsidR="00FE7923">
        <w:t>his makes it less susceptible to market risk as it will not be heavily affected by an increased in financing costs.</w:t>
      </w:r>
      <w:r w:rsidR="00132879">
        <w:t xml:space="preserve"> Despite this it demonstrated inferior ROA underperforming for its sector relative to its peers.</w:t>
      </w:r>
    </w:p>
    <w:sectPr w:rsidR="004D2BA5" w:rsidRPr="00732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3F4F"/>
    <w:multiLevelType w:val="hybridMultilevel"/>
    <w:tmpl w:val="54A6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A4AB4"/>
    <w:multiLevelType w:val="hybridMultilevel"/>
    <w:tmpl w:val="FE4E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9787B"/>
    <w:multiLevelType w:val="hybridMultilevel"/>
    <w:tmpl w:val="D03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F214E"/>
    <w:multiLevelType w:val="hybridMultilevel"/>
    <w:tmpl w:val="C83E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47410">
    <w:abstractNumId w:val="2"/>
  </w:num>
  <w:num w:numId="2" w16cid:durableId="197133042">
    <w:abstractNumId w:val="0"/>
  </w:num>
  <w:num w:numId="3" w16cid:durableId="1762288044">
    <w:abstractNumId w:val="3"/>
  </w:num>
  <w:num w:numId="4" w16cid:durableId="196149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1F"/>
    <w:rsid w:val="00007B35"/>
    <w:rsid w:val="00010464"/>
    <w:rsid w:val="00022C52"/>
    <w:rsid w:val="00023D7F"/>
    <w:rsid w:val="00030A80"/>
    <w:rsid w:val="00030E11"/>
    <w:rsid w:val="000319CD"/>
    <w:rsid w:val="0003479D"/>
    <w:rsid w:val="000348CD"/>
    <w:rsid w:val="000415EC"/>
    <w:rsid w:val="00044B7E"/>
    <w:rsid w:val="00056A54"/>
    <w:rsid w:val="00061794"/>
    <w:rsid w:val="00070C1F"/>
    <w:rsid w:val="00073F3E"/>
    <w:rsid w:val="000776CE"/>
    <w:rsid w:val="00081BF9"/>
    <w:rsid w:val="00095975"/>
    <w:rsid w:val="000A39A0"/>
    <w:rsid w:val="000C0935"/>
    <w:rsid w:val="000C56D5"/>
    <w:rsid w:val="000C736A"/>
    <w:rsid w:val="000C7EF5"/>
    <w:rsid w:val="000E1AF2"/>
    <w:rsid w:val="000E1D1F"/>
    <w:rsid w:val="000E2A10"/>
    <w:rsid w:val="000E2E6E"/>
    <w:rsid w:val="001028E4"/>
    <w:rsid w:val="00102B85"/>
    <w:rsid w:val="00112166"/>
    <w:rsid w:val="00112C1C"/>
    <w:rsid w:val="00115DE8"/>
    <w:rsid w:val="00116436"/>
    <w:rsid w:val="00122479"/>
    <w:rsid w:val="00124C23"/>
    <w:rsid w:val="00127E33"/>
    <w:rsid w:val="0013046F"/>
    <w:rsid w:val="00132879"/>
    <w:rsid w:val="00134991"/>
    <w:rsid w:val="00135833"/>
    <w:rsid w:val="00143D48"/>
    <w:rsid w:val="00146027"/>
    <w:rsid w:val="0014795D"/>
    <w:rsid w:val="0015191A"/>
    <w:rsid w:val="00151C96"/>
    <w:rsid w:val="001529CA"/>
    <w:rsid w:val="001537C6"/>
    <w:rsid w:val="0015777E"/>
    <w:rsid w:val="00172965"/>
    <w:rsid w:val="001729A8"/>
    <w:rsid w:val="00174435"/>
    <w:rsid w:val="00175094"/>
    <w:rsid w:val="0019301D"/>
    <w:rsid w:val="00197BCC"/>
    <w:rsid w:val="001A3C54"/>
    <w:rsid w:val="001A6993"/>
    <w:rsid w:val="001B13B9"/>
    <w:rsid w:val="001C1A1E"/>
    <w:rsid w:val="001C2175"/>
    <w:rsid w:val="001C2820"/>
    <w:rsid w:val="001E082D"/>
    <w:rsid w:val="001E4859"/>
    <w:rsid w:val="001E759F"/>
    <w:rsid w:val="001F2A00"/>
    <w:rsid w:val="001F36A4"/>
    <w:rsid w:val="001F4B7C"/>
    <w:rsid w:val="001F74DF"/>
    <w:rsid w:val="0021125E"/>
    <w:rsid w:val="00222543"/>
    <w:rsid w:val="0022796C"/>
    <w:rsid w:val="00230112"/>
    <w:rsid w:val="0023099C"/>
    <w:rsid w:val="00233346"/>
    <w:rsid w:val="00235C72"/>
    <w:rsid w:val="00235DD9"/>
    <w:rsid w:val="00241359"/>
    <w:rsid w:val="00276746"/>
    <w:rsid w:val="002868DD"/>
    <w:rsid w:val="00286E39"/>
    <w:rsid w:val="00292521"/>
    <w:rsid w:val="0029339E"/>
    <w:rsid w:val="00294307"/>
    <w:rsid w:val="00294452"/>
    <w:rsid w:val="00294C8F"/>
    <w:rsid w:val="002958DF"/>
    <w:rsid w:val="002968E9"/>
    <w:rsid w:val="00297609"/>
    <w:rsid w:val="002A24DD"/>
    <w:rsid w:val="002A4455"/>
    <w:rsid w:val="002A763B"/>
    <w:rsid w:val="002B0E86"/>
    <w:rsid w:val="002B1F50"/>
    <w:rsid w:val="002B299F"/>
    <w:rsid w:val="002B4BC8"/>
    <w:rsid w:val="002C00D7"/>
    <w:rsid w:val="002C7C84"/>
    <w:rsid w:val="002E0E30"/>
    <w:rsid w:val="002E399C"/>
    <w:rsid w:val="002F1ADE"/>
    <w:rsid w:val="002F6AA7"/>
    <w:rsid w:val="00312697"/>
    <w:rsid w:val="00312B2D"/>
    <w:rsid w:val="0031371F"/>
    <w:rsid w:val="00313ED8"/>
    <w:rsid w:val="0032443E"/>
    <w:rsid w:val="00325AF6"/>
    <w:rsid w:val="003261B1"/>
    <w:rsid w:val="0032668C"/>
    <w:rsid w:val="0033196B"/>
    <w:rsid w:val="00342236"/>
    <w:rsid w:val="00343F80"/>
    <w:rsid w:val="003555CB"/>
    <w:rsid w:val="00362097"/>
    <w:rsid w:val="003624F8"/>
    <w:rsid w:val="00366054"/>
    <w:rsid w:val="003719E6"/>
    <w:rsid w:val="0037281F"/>
    <w:rsid w:val="00373E37"/>
    <w:rsid w:val="00375FCD"/>
    <w:rsid w:val="0038431F"/>
    <w:rsid w:val="00384428"/>
    <w:rsid w:val="003850BF"/>
    <w:rsid w:val="00390F65"/>
    <w:rsid w:val="003A00C9"/>
    <w:rsid w:val="003A1DF2"/>
    <w:rsid w:val="003A562C"/>
    <w:rsid w:val="003A579D"/>
    <w:rsid w:val="003B5C4A"/>
    <w:rsid w:val="003B6185"/>
    <w:rsid w:val="003C472E"/>
    <w:rsid w:val="003C64BF"/>
    <w:rsid w:val="003D239A"/>
    <w:rsid w:val="003E6BC7"/>
    <w:rsid w:val="00412956"/>
    <w:rsid w:val="00416AA2"/>
    <w:rsid w:val="00416BE0"/>
    <w:rsid w:val="00420C11"/>
    <w:rsid w:val="00423D0F"/>
    <w:rsid w:val="00431849"/>
    <w:rsid w:val="0044239C"/>
    <w:rsid w:val="00454D8F"/>
    <w:rsid w:val="0046605B"/>
    <w:rsid w:val="004669DA"/>
    <w:rsid w:val="004719C0"/>
    <w:rsid w:val="00474B18"/>
    <w:rsid w:val="004863B9"/>
    <w:rsid w:val="004870DC"/>
    <w:rsid w:val="00491DC3"/>
    <w:rsid w:val="00491E32"/>
    <w:rsid w:val="00493F3E"/>
    <w:rsid w:val="004957AF"/>
    <w:rsid w:val="004959A0"/>
    <w:rsid w:val="004A1227"/>
    <w:rsid w:val="004A21B9"/>
    <w:rsid w:val="004A28B2"/>
    <w:rsid w:val="004A2EDD"/>
    <w:rsid w:val="004A73E6"/>
    <w:rsid w:val="004A765E"/>
    <w:rsid w:val="004B0655"/>
    <w:rsid w:val="004B0CB6"/>
    <w:rsid w:val="004B25AB"/>
    <w:rsid w:val="004B4AB7"/>
    <w:rsid w:val="004D2BA5"/>
    <w:rsid w:val="004D4B89"/>
    <w:rsid w:val="004E0EF3"/>
    <w:rsid w:val="004E1653"/>
    <w:rsid w:val="004E1DB0"/>
    <w:rsid w:val="004E4A13"/>
    <w:rsid w:val="004F3424"/>
    <w:rsid w:val="004F6B42"/>
    <w:rsid w:val="004F7C36"/>
    <w:rsid w:val="00500344"/>
    <w:rsid w:val="0050586B"/>
    <w:rsid w:val="005118D8"/>
    <w:rsid w:val="00515C85"/>
    <w:rsid w:val="005200AF"/>
    <w:rsid w:val="00521D39"/>
    <w:rsid w:val="00525DEF"/>
    <w:rsid w:val="00530895"/>
    <w:rsid w:val="00534CBB"/>
    <w:rsid w:val="00535347"/>
    <w:rsid w:val="00543E9D"/>
    <w:rsid w:val="00552DA5"/>
    <w:rsid w:val="005576C3"/>
    <w:rsid w:val="0056597F"/>
    <w:rsid w:val="00567989"/>
    <w:rsid w:val="00575DCF"/>
    <w:rsid w:val="00576C76"/>
    <w:rsid w:val="00597AF0"/>
    <w:rsid w:val="005B62EE"/>
    <w:rsid w:val="005C0279"/>
    <w:rsid w:val="005C5835"/>
    <w:rsid w:val="005C6067"/>
    <w:rsid w:val="005D3C5F"/>
    <w:rsid w:val="005E3590"/>
    <w:rsid w:val="005E67A8"/>
    <w:rsid w:val="005E69FD"/>
    <w:rsid w:val="005F15BF"/>
    <w:rsid w:val="006029B0"/>
    <w:rsid w:val="00603B62"/>
    <w:rsid w:val="00610B83"/>
    <w:rsid w:val="006122E3"/>
    <w:rsid w:val="00614C77"/>
    <w:rsid w:val="006216B0"/>
    <w:rsid w:val="00622AAA"/>
    <w:rsid w:val="006233BF"/>
    <w:rsid w:val="006307AD"/>
    <w:rsid w:val="00631A2D"/>
    <w:rsid w:val="0063202B"/>
    <w:rsid w:val="00634594"/>
    <w:rsid w:val="006434F7"/>
    <w:rsid w:val="00647174"/>
    <w:rsid w:val="006611D0"/>
    <w:rsid w:val="00670206"/>
    <w:rsid w:val="0067525E"/>
    <w:rsid w:val="00685441"/>
    <w:rsid w:val="006937ED"/>
    <w:rsid w:val="00693A78"/>
    <w:rsid w:val="006B2724"/>
    <w:rsid w:val="006B3678"/>
    <w:rsid w:val="006B6D9E"/>
    <w:rsid w:val="006C54C5"/>
    <w:rsid w:val="006C70B8"/>
    <w:rsid w:val="006D013B"/>
    <w:rsid w:val="006D1283"/>
    <w:rsid w:val="006D6719"/>
    <w:rsid w:val="006E0A36"/>
    <w:rsid w:val="006E2342"/>
    <w:rsid w:val="006F26B2"/>
    <w:rsid w:val="006F39B2"/>
    <w:rsid w:val="006F42FA"/>
    <w:rsid w:val="006F7A5C"/>
    <w:rsid w:val="007048B8"/>
    <w:rsid w:val="00712DDC"/>
    <w:rsid w:val="00717F9E"/>
    <w:rsid w:val="007223DA"/>
    <w:rsid w:val="00724CF6"/>
    <w:rsid w:val="00727F2C"/>
    <w:rsid w:val="00732DAD"/>
    <w:rsid w:val="00734880"/>
    <w:rsid w:val="00734FDB"/>
    <w:rsid w:val="00735C4B"/>
    <w:rsid w:val="00750082"/>
    <w:rsid w:val="00773593"/>
    <w:rsid w:val="00775559"/>
    <w:rsid w:val="007759C2"/>
    <w:rsid w:val="00776189"/>
    <w:rsid w:val="00781636"/>
    <w:rsid w:val="0078170F"/>
    <w:rsid w:val="00786D2B"/>
    <w:rsid w:val="00787163"/>
    <w:rsid w:val="007949D1"/>
    <w:rsid w:val="00794CEE"/>
    <w:rsid w:val="00795348"/>
    <w:rsid w:val="00796DCC"/>
    <w:rsid w:val="007A3E72"/>
    <w:rsid w:val="007A480A"/>
    <w:rsid w:val="007B17BE"/>
    <w:rsid w:val="007B2AC8"/>
    <w:rsid w:val="007B4D64"/>
    <w:rsid w:val="007B4E3D"/>
    <w:rsid w:val="007C2182"/>
    <w:rsid w:val="007C3965"/>
    <w:rsid w:val="007D07C6"/>
    <w:rsid w:val="007D253D"/>
    <w:rsid w:val="007D6776"/>
    <w:rsid w:val="007E401D"/>
    <w:rsid w:val="007F0208"/>
    <w:rsid w:val="00813F35"/>
    <w:rsid w:val="008172FD"/>
    <w:rsid w:val="0081789A"/>
    <w:rsid w:val="008209F7"/>
    <w:rsid w:val="0082159E"/>
    <w:rsid w:val="00826F21"/>
    <w:rsid w:val="008271F2"/>
    <w:rsid w:val="0083015B"/>
    <w:rsid w:val="00833EFD"/>
    <w:rsid w:val="0084423C"/>
    <w:rsid w:val="00845B27"/>
    <w:rsid w:val="00845BBA"/>
    <w:rsid w:val="008612D3"/>
    <w:rsid w:val="00861B97"/>
    <w:rsid w:val="00861BD8"/>
    <w:rsid w:val="00867D68"/>
    <w:rsid w:val="008778FA"/>
    <w:rsid w:val="0088119C"/>
    <w:rsid w:val="0088514E"/>
    <w:rsid w:val="0089161E"/>
    <w:rsid w:val="008954A9"/>
    <w:rsid w:val="008A6DF6"/>
    <w:rsid w:val="008A7AAC"/>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3100D"/>
    <w:rsid w:val="0093354B"/>
    <w:rsid w:val="00944108"/>
    <w:rsid w:val="0094448C"/>
    <w:rsid w:val="00953C2B"/>
    <w:rsid w:val="00955646"/>
    <w:rsid w:val="00957237"/>
    <w:rsid w:val="00957FA3"/>
    <w:rsid w:val="00970E10"/>
    <w:rsid w:val="00985B08"/>
    <w:rsid w:val="00991EF8"/>
    <w:rsid w:val="009B1EAD"/>
    <w:rsid w:val="009C2537"/>
    <w:rsid w:val="009C3E8B"/>
    <w:rsid w:val="009D158F"/>
    <w:rsid w:val="009D2BF6"/>
    <w:rsid w:val="009D4698"/>
    <w:rsid w:val="009E3C60"/>
    <w:rsid w:val="009E4758"/>
    <w:rsid w:val="009E568F"/>
    <w:rsid w:val="00A00E3F"/>
    <w:rsid w:val="00A03052"/>
    <w:rsid w:val="00A10BF0"/>
    <w:rsid w:val="00A15587"/>
    <w:rsid w:val="00A23EA4"/>
    <w:rsid w:val="00A2695B"/>
    <w:rsid w:val="00A30719"/>
    <w:rsid w:val="00A30C90"/>
    <w:rsid w:val="00A31493"/>
    <w:rsid w:val="00A3156D"/>
    <w:rsid w:val="00A320EB"/>
    <w:rsid w:val="00A33624"/>
    <w:rsid w:val="00A379BA"/>
    <w:rsid w:val="00A40262"/>
    <w:rsid w:val="00A47355"/>
    <w:rsid w:val="00A505AF"/>
    <w:rsid w:val="00A63521"/>
    <w:rsid w:val="00AA7C3B"/>
    <w:rsid w:val="00AB106C"/>
    <w:rsid w:val="00AB32C5"/>
    <w:rsid w:val="00AC4AFE"/>
    <w:rsid w:val="00AC6352"/>
    <w:rsid w:val="00AD1224"/>
    <w:rsid w:val="00AD1B22"/>
    <w:rsid w:val="00AD704F"/>
    <w:rsid w:val="00AE1D6A"/>
    <w:rsid w:val="00AF196D"/>
    <w:rsid w:val="00AF22FA"/>
    <w:rsid w:val="00AF3852"/>
    <w:rsid w:val="00B038D2"/>
    <w:rsid w:val="00B06BA9"/>
    <w:rsid w:val="00B373DA"/>
    <w:rsid w:val="00B374B6"/>
    <w:rsid w:val="00B42001"/>
    <w:rsid w:val="00B436AF"/>
    <w:rsid w:val="00B44D55"/>
    <w:rsid w:val="00B54ACB"/>
    <w:rsid w:val="00B652CC"/>
    <w:rsid w:val="00B65D62"/>
    <w:rsid w:val="00B73D4A"/>
    <w:rsid w:val="00B74C01"/>
    <w:rsid w:val="00B7569D"/>
    <w:rsid w:val="00B81CAB"/>
    <w:rsid w:val="00B83EB4"/>
    <w:rsid w:val="00B86CA6"/>
    <w:rsid w:val="00BA6172"/>
    <w:rsid w:val="00BB17A3"/>
    <w:rsid w:val="00BB4B59"/>
    <w:rsid w:val="00BB7CA4"/>
    <w:rsid w:val="00BC3888"/>
    <w:rsid w:val="00BE1A90"/>
    <w:rsid w:val="00BE29C3"/>
    <w:rsid w:val="00BF4FFD"/>
    <w:rsid w:val="00BF6D80"/>
    <w:rsid w:val="00C07E82"/>
    <w:rsid w:val="00C15D33"/>
    <w:rsid w:val="00C16DC3"/>
    <w:rsid w:val="00C211B7"/>
    <w:rsid w:val="00C2574B"/>
    <w:rsid w:val="00C325D0"/>
    <w:rsid w:val="00C36EF9"/>
    <w:rsid w:val="00C372E7"/>
    <w:rsid w:val="00C42FB2"/>
    <w:rsid w:val="00C45ACD"/>
    <w:rsid w:val="00C559AC"/>
    <w:rsid w:val="00C5680A"/>
    <w:rsid w:val="00C621D0"/>
    <w:rsid w:val="00C6556B"/>
    <w:rsid w:val="00C67724"/>
    <w:rsid w:val="00C70BF0"/>
    <w:rsid w:val="00C763F1"/>
    <w:rsid w:val="00C8041F"/>
    <w:rsid w:val="00C87EC9"/>
    <w:rsid w:val="00C91F65"/>
    <w:rsid w:val="00C93D06"/>
    <w:rsid w:val="00C94C5C"/>
    <w:rsid w:val="00CA0D9F"/>
    <w:rsid w:val="00CA13D5"/>
    <w:rsid w:val="00CB23F9"/>
    <w:rsid w:val="00CB4091"/>
    <w:rsid w:val="00CB48A5"/>
    <w:rsid w:val="00CB5E08"/>
    <w:rsid w:val="00CC06EC"/>
    <w:rsid w:val="00CC436D"/>
    <w:rsid w:val="00CC606E"/>
    <w:rsid w:val="00CD39A8"/>
    <w:rsid w:val="00CE0126"/>
    <w:rsid w:val="00CE145B"/>
    <w:rsid w:val="00CE49F7"/>
    <w:rsid w:val="00CE4B87"/>
    <w:rsid w:val="00CF004A"/>
    <w:rsid w:val="00CF0FF1"/>
    <w:rsid w:val="00CF30B0"/>
    <w:rsid w:val="00CF316F"/>
    <w:rsid w:val="00D039D5"/>
    <w:rsid w:val="00D0448F"/>
    <w:rsid w:val="00D06C6F"/>
    <w:rsid w:val="00D124AF"/>
    <w:rsid w:val="00D17A82"/>
    <w:rsid w:val="00D208EE"/>
    <w:rsid w:val="00D20AE4"/>
    <w:rsid w:val="00D2357E"/>
    <w:rsid w:val="00D30DEF"/>
    <w:rsid w:val="00D46D52"/>
    <w:rsid w:val="00D506AF"/>
    <w:rsid w:val="00D51456"/>
    <w:rsid w:val="00D60C14"/>
    <w:rsid w:val="00D61621"/>
    <w:rsid w:val="00D617AF"/>
    <w:rsid w:val="00D63CF4"/>
    <w:rsid w:val="00D65F60"/>
    <w:rsid w:val="00D66D73"/>
    <w:rsid w:val="00D66F1F"/>
    <w:rsid w:val="00D7450A"/>
    <w:rsid w:val="00D7526B"/>
    <w:rsid w:val="00D92710"/>
    <w:rsid w:val="00D92C00"/>
    <w:rsid w:val="00D92EF9"/>
    <w:rsid w:val="00DB1245"/>
    <w:rsid w:val="00DB23E8"/>
    <w:rsid w:val="00DB3323"/>
    <w:rsid w:val="00DB557E"/>
    <w:rsid w:val="00DC0E6A"/>
    <w:rsid w:val="00DC43E2"/>
    <w:rsid w:val="00DC78BF"/>
    <w:rsid w:val="00DD5C6D"/>
    <w:rsid w:val="00DE0877"/>
    <w:rsid w:val="00DE18F2"/>
    <w:rsid w:val="00DE336E"/>
    <w:rsid w:val="00DF2812"/>
    <w:rsid w:val="00DF57D0"/>
    <w:rsid w:val="00DF7C5C"/>
    <w:rsid w:val="00E02F23"/>
    <w:rsid w:val="00E05E9F"/>
    <w:rsid w:val="00E100B9"/>
    <w:rsid w:val="00E13117"/>
    <w:rsid w:val="00E14139"/>
    <w:rsid w:val="00E16E7F"/>
    <w:rsid w:val="00E171B8"/>
    <w:rsid w:val="00E2200E"/>
    <w:rsid w:val="00E22753"/>
    <w:rsid w:val="00E2439C"/>
    <w:rsid w:val="00E26C05"/>
    <w:rsid w:val="00E3024F"/>
    <w:rsid w:val="00E30BA4"/>
    <w:rsid w:val="00E31BEE"/>
    <w:rsid w:val="00E32EEE"/>
    <w:rsid w:val="00E35C69"/>
    <w:rsid w:val="00E3642E"/>
    <w:rsid w:val="00E37F8B"/>
    <w:rsid w:val="00E41912"/>
    <w:rsid w:val="00E435FB"/>
    <w:rsid w:val="00E52ADF"/>
    <w:rsid w:val="00E53F3C"/>
    <w:rsid w:val="00E54A87"/>
    <w:rsid w:val="00E575FC"/>
    <w:rsid w:val="00E62E83"/>
    <w:rsid w:val="00E652B6"/>
    <w:rsid w:val="00E66687"/>
    <w:rsid w:val="00E66F00"/>
    <w:rsid w:val="00E8039A"/>
    <w:rsid w:val="00E84751"/>
    <w:rsid w:val="00E901BD"/>
    <w:rsid w:val="00E908A2"/>
    <w:rsid w:val="00E91C61"/>
    <w:rsid w:val="00E938C9"/>
    <w:rsid w:val="00E96864"/>
    <w:rsid w:val="00EA08B0"/>
    <w:rsid w:val="00EA5862"/>
    <w:rsid w:val="00EC04F0"/>
    <w:rsid w:val="00EC095F"/>
    <w:rsid w:val="00EC16AD"/>
    <w:rsid w:val="00EC7B28"/>
    <w:rsid w:val="00ED3DDF"/>
    <w:rsid w:val="00ED5AD7"/>
    <w:rsid w:val="00ED6806"/>
    <w:rsid w:val="00ED731C"/>
    <w:rsid w:val="00EE35A9"/>
    <w:rsid w:val="00EE604F"/>
    <w:rsid w:val="00EE6FB3"/>
    <w:rsid w:val="00EF2C00"/>
    <w:rsid w:val="00EF4DBB"/>
    <w:rsid w:val="00EF6F61"/>
    <w:rsid w:val="00F058B0"/>
    <w:rsid w:val="00F13C6E"/>
    <w:rsid w:val="00F1404D"/>
    <w:rsid w:val="00F16300"/>
    <w:rsid w:val="00F21D99"/>
    <w:rsid w:val="00F271FA"/>
    <w:rsid w:val="00F3687D"/>
    <w:rsid w:val="00F409AF"/>
    <w:rsid w:val="00F439C2"/>
    <w:rsid w:val="00F44C9E"/>
    <w:rsid w:val="00F46987"/>
    <w:rsid w:val="00F50740"/>
    <w:rsid w:val="00F52DD0"/>
    <w:rsid w:val="00F5482B"/>
    <w:rsid w:val="00F60D07"/>
    <w:rsid w:val="00F610B7"/>
    <w:rsid w:val="00FB37F2"/>
    <w:rsid w:val="00FC1265"/>
    <w:rsid w:val="00FC1489"/>
    <w:rsid w:val="00FC4C74"/>
    <w:rsid w:val="00FC68D1"/>
    <w:rsid w:val="00FE143A"/>
    <w:rsid w:val="00FE30E3"/>
    <w:rsid w:val="00FE792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86DF"/>
  <w15:chartTrackingRefBased/>
  <w15:docId w15:val="{563B820E-385D-41E5-8AAD-1B6822F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7D0"/>
    <w:pPr>
      <w:ind w:left="720"/>
      <w:contextualSpacing/>
    </w:pPr>
  </w:style>
  <w:style w:type="table" w:styleId="TableGrid">
    <w:name w:val="Table Grid"/>
    <w:basedOn w:val="TableNormal"/>
    <w:uiPriority w:val="39"/>
    <w:rsid w:val="0073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5588">
      <w:bodyDiv w:val="1"/>
      <w:marLeft w:val="0"/>
      <w:marRight w:val="0"/>
      <w:marTop w:val="0"/>
      <w:marBottom w:val="0"/>
      <w:divBdr>
        <w:top w:val="none" w:sz="0" w:space="0" w:color="auto"/>
        <w:left w:val="none" w:sz="0" w:space="0" w:color="auto"/>
        <w:bottom w:val="none" w:sz="0" w:space="0" w:color="auto"/>
        <w:right w:val="none" w:sz="0" w:space="0" w:color="auto"/>
      </w:divBdr>
    </w:div>
    <w:div w:id="736513698">
      <w:bodyDiv w:val="1"/>
      <w:marLeft w:val="0"/>
      <w:marRight w:val="0"/>
      <w:marTop w:val="0"/>
      <w:marBottom w:val="0"/>
      <w:divBdr>
        <w:top w:val="none" w:sz="0" w:space="0" w:color="auto"/>
        <w:left w:val="none" w:sz="0" w:space="0" w:color="auto"/>
        <w:bottom w:val="none" w:sz="0" w:space="0" w:color="auto"/>
        <w:right w:val="none" w:sz="0" w:space="0" w:color="auto"/>
      </w:divBdr>
    </w:div>
    <w:div w:id="917133580">
      <w:bodyDiv w:val="1"/>
      <w:marLeft w:val="0"/>
      <w:marRight w:val="0"/>
      <w:marTop w:val="0"/>
      <w:marBottom w:val="0"/>
      <w:divBdr>
        <w:top w:val="none" w:sz="0" w:space="0" w:color="auto"/>
        <w:left w:val="none" w:sz="0" w:space="0" w:color="auto"/>
        <w:bottom w:val="none" w:sz="0" w:space="0" w:color="auto"/>
        <w:right w:val="none" w:sz="0" w:space="0" w:color="auto"/>
      </w:divBdr>
    </w:div>
    <w:div w:id="16964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858040-917A-4F3E-ABED-12F44B4B3A4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E06879DB-0BAD-4BDA-8E72-77D02D01B8DD}">
      <dgm:prSet phldrT="[Text]"/>
      <dgm:spPr/>
      <dgm:t>
        <a:bodyPr/>
        <a:lstStyle/>
        <a:p>
          <a:r>
            <a:rPr lang="en-GB"/>
            <a:t>Revenue Drivers </a:t>
          </a:r>
        </a:p>
      </dgm:t>
    </dgm:pt>
    <dgm:pt modelId="{EEB106B2-30CC-4CA5-ABFE-9B7C732E7979}" type="parTrans" cxnId="{7FF0BDA9-26F2-4670-A689-03480076F3DD}">
      <dgm:prSet/>
      <dgm:spPr/>
      <dgm:t>
        <a:bodyPr/>
        <a:lstStyle/>
        <a:p>
          <a:endParaRPr lang="en-GB"/>
        </a:p>
      </dgm:t>
    </dgm:pt>
    <dgm:pt modelId="{0615458B-D001-400B-9C76-C202AB7EF428}" type="sibTrans" cxnId="{7FF0BDA9-26F2-4670-A689-03480076F3DD}">
      <dgm:prSet/>
      <dgm:spPr/>
      <dgm:t>
        <a:bodyPr/>
        <a:lstStyle/>
        <a:p>
          <a:endParaRPr lang="en-GB"/>
        </a:p>
      </dgm:t>
    </dgm:pt>
    <dgm:pt modelId="{430FA73B-1A01-4612-B497-AE3C8041DDB6}">
      <dgm:prSet phldrT="[Text]"/>
      <dgm:spPr/>
      <dgm:t>
        <a:bodyPr/>
        <a:lstStyle/>
        <a:p>
          <a:r>
            <a:rPr lang="en-GB"/>
            <a:t>RevPAR(Revenue per room available)</a:t>
          </a:r>
        </a:p>
      </dgm:t>
    </dgm:pt>
    <dgm:pt modelId="{B87E05C6-A969-4664-8CA4-6791AAE25929}" type="parTrans" cxnId="{159AD88F-B748-400F-B1CC-A47C095D9F5E}">
      <dgm:prSet/>
      <dgm:spPr/>
      <dgm:t>
        <a:bodyPr/>
        <a:lstStyle/>
        <a:p>
          <a:endParaRPr lang="en-GB"/>
        </a:p>
      </dgm:t>
    </dgm:pt>
    <dgm:pt modelId="{72DAB1A8-DD8D-4952-9B21-3DFECA3E0996}" type="sibTrans" cxnId="{159AD88F-B748-400F-B1CC-A47C095D9F5E}">
      <dgm:prSet/>
      <dgm:spPr/>
      <dgm:t>
        <a:bodyPr/>
        <a:lstStyle/>
        <a:p>
          <a:endParaRPr lang="en-GB"/>
        </a:p>
      </dgm:t>
    </dgm:pt>
    <dgm:pt modelId="{432B9948-CC08-4FC1-BD4A-823AE8A734A7}">
      <dgm:prSet phldrT="[Text]"/>
      <dgm:spPr/>
      <dgm:t>
        <a:bodyPr/>
        <a:lstStyle/>
        <a:p>
          <a:r>
            <a:rPr lang="en-GB"/>
            <a:t>co-branded credit card fees</a:t>
          </a:r>
        </a:p>
      </dgm:t>
    </dgm:pt>
    <dgm:pt modelId="{5D55AF44-C541-4A63-A581-C83FC49F29B4}" type="parTrans" cxnId="{469EE0C0-780B-4249-82C6-DCB2FD2C90AC}">
      <dgm:prSet/>
      <dgm:spPr/>
      <dgm:t>
        <a:bodyPr/>
        <a:lstStyle/>
        <a:p>
          <a:endParaRPr lang="en-GB"/>
        </a:p>
      </dgm:t>
    </dgm:pt>
    <dgm:pt modelId="{DCAB0F89-2318-4DFD-8183-2173AB9DBFE2}" type="sibTrans" cxnId="{469EE0C0-780B-4249-82C6-DCB2FD2C90AC}">
      <dgm:prSet/>
      <dgm:spPr/>
      <dgm:t>
        <a:bodyPr/>
        <a:lstStyle/>
        <a:p>
          <a:endParaRPr lang="en-GB"/>
        </a:p>
      </dgm:t>
    </dgm:pt>
    <dgm:pt modelId="{8302FA1F-C1D8-41F1-8739-81447ECB1646}">
      <dgm:prSet phldrT="[Text]"/>
      <dgm:spPr/>
      <dgm:t>
        <a:bodyPr/>
        <a:lstStyle/>
        <a:p>
          <a:r>
            <a:rPr lang="en-GB"/>
            <a:t>Management fees</a:t>
          </a:r>
        </a:p>
      </dgm:t>
    </dgm:pt>
    <dgm:pt modelId="{8E25D3BB-F5F7-4D8B-BEF4-1DE6A91D0489}" type="parTrans" cxnId="{B779C1D2-8654-4D60-8EF9-9C708B17A2AA}">
      <dgm:prSet/>
      <dgm:spPr/>
      <dgm:t>
        <a:bodyPr/>
        <a:lstStyle/>
        <a:p>
          <a:endParaRPr lang="en-GB"/>
        </a:p>
      </dgm:t>
    </dgm:pt>
    <dgm:pt modelId="{3786042B-5790-4803-AA31-E54FEBE2B036}" type="sibTrans" cxnId="{B779C1D2-8654-4D60-8EF9-9C708B17A2AA}">
      <dgm:prSet/>
      <dgm:spPr/>
      <dgm:t>
        <a:bodyPr/>
        <a:lstStyle/>
        <a:p>
          <a:endParaRPr lang="en-GB"/>
        </a:p>
      </dgm:t>
    </dgm:pt>
    <dgm:pt modelId="{A60E001F-4A4F-490D-B88F-5A1455D9E9AA}">
      <dgm:prSet/>
      <dgm:spPr/>
      <dgm:t>
        <a:bodyPr/>
        <a:lstStyle/>
        <a:p>
          <a:r>
            <a:rPr lang="en-GB"/>
            <a:t>Marriot Bonvoy Programme</a:t>
          </a:r>
        </a:p>
      </dgm:t>
    </dgm:pt>
    <dgm:pt modelId="{71DA0B47-D6F4-445C-A52B-4FCC3066FAE7}" type="parTrans" cxnId="{7E036E47-0297-444E-BADF-A1516674C930}">
      <dgm:prSet/>
      <dgm:spPr/>
      <dgm:t>
        <a:bodyPr/>
        <a:lstStyle/>
        <a:p>
          <a:endParaRPr lang="en-GB"/>
        </a:p>
      </dgm:t>
    </dgm:pt>
    <dgm:pt modelId="{91E1416A-B9AA-460E-9E0F-044E6CB393DE}" type="sibTrans" cxnId="{7E036E47-0297-444E-BADF-A1516674C930}">
      <dgm:prSet/>
      <dgm:spPr/>
      <dgm:t>
        <a:bodyPr/>
        <a:lstStyle/>
        <a:p>
          <a:endParaRPr lang="en-GB"/>
        </a:p>
      </dgm:t>
    </dgm:pt>
    <dgm:pt modelId="{834BDA24-2DFD-42E6-817F-04CC6AA9B29D}">
      <dgm:prSet/>
      <dgm:spPr/>
      <dgm:t>
        <a:bodyPr/>
        <a:lstStyle/>
        <a:p>
          <a:r>
            <a:rPr lang="en-GB"/>
            <a:t>Ritzacarlton yatch collection</a:t>
          </a:r>
        </a:p>
      </dgm:t>
    </dgm:pt>
    <dgm:pt modelId="{AF25C3A0-6E55-42C3-8833-04C8FDE87F64}" type="parTrans" cxnId="{389B8DEA-88A7-4EF7-8007-1061FA174489}">
      <dgm:prSet/>
      <dgm:spPr/>
      <dgm:t>
        <a:bodyPr/>
        <a:lstStyle/>
        <a:p>
          <a:endParaRPr lang="en-GB"/>
        </a:p>
      </dgm:t>
    </dgm:pt>
    <dgm:pt modelId="{5F44E4B1-1C36-4A22-8E44-0FCDE50FEDD7}" type="sibTrans" cxnId="{389B8DEA-88A7-4EF7-8007-1061FA174489}">
      <dgm:prSet/>
      <dgm:spPr/>
      <dgm:t>
        <a:bodyPr/>
        <a:lstStyle/>
        <a:p>
          <a:endParaRPr lang="en-GB"/>
        </a:p>
      </dgm:t>
    </dgm:pt>
    <dgm:pt modelId="{2F7ED6DD-F539-4E96-9229-EF390E94A828}">
      <dgm:prSet/>
      <dgm:spPr/>
      <dgm:t>
        <a:bodyPr/>
        <a:lstStyle/>
        <a:p>
          <a:r>
            <a:rPr lang="en-GB"/>
            <a:t>Base management fee</a:t>
          </a:r>
        </a:p>
      </dgm:t>
    </dgm:pt>
    <dgm:pt modelId="{CDDCFD80-23C3-4DAC-BD8E-5CB172A57C4A}" type="parTrans" cxnId="{C304C7BC-D80B-4EF1-B822-0015AD3ED839}">
      <dgm:prSet/>
      <dgm:spPr/>
      <dgm:t>
        <a:bodyPr/>
        <a:lstStyle/>
        <a:p>
          <a:endParaRPr lang="en-GB"/>
        </a:p>
      </dgm:t>
    </dgm:pt>
    <dgm:pt modelId="{67E6643A-AF91-4164-A00C-FA8DD73528A9}" type="sibTrans" cxnId="{C304C7BC-D80B-4EF1-B822-0015AD3ED839}">
      <dgm:prSet/>
      <dgm:spPr/>
      <dgm:t>
        <a:bodyPr/>
        <a:lstStyle/>
        <a:p>
          <a:endParaRPr lang="en-GB"/>
        </a:p>
      </dgm:t>
    </dgm:pt>
    <dgm:pt modelId="{EE08D5F0-E3F7-47E5-BFC0-9E6029CC3D25}">
      <dgm:prSet/>
      <dgm:spPr/>
      <dgm:t>
        <a:bodyPr/>
        <a:lstStyle/>
        <a:p>
          <a:r>
            <a:rPr lang="en-GB"/>
            <a:t>Incentive management fee</a:t>
          </a:r>
        </a:p>
      </dgm:t>
    </dgm:pt>
    <dgm:pt modelId="{EB4FC790-3FBC-4C9F-88A0-A6E618BD7692}" type="parTrans" cxnId="{5A856132-85A8-4165-BC97-0C0594937C64}">
      <dgm:prSet/>
      <dgm:spPr/>
      <dgm:t>
        <a:bodyPr/>
        <a:lstStyle/>
        <a:p>
          <a:endParaRPr lang="en-GB"/>
        </a:p>
      </dgm:t>
    </dgm:pt>
    <dgm:pt modelId="{A0A36024-6970-44E0-B914-B5DB69253EBA}" type="sibTrans" cxnId="{5A856132-85A8-4165-BC97-0C0594937C64}">
      <dgm:prSet/>
      <dgm:spPr/>
      <dgm:t>
        <a:bodyPr/>
        <a:lstStyle/>
        <a:p>
          <a:endParaRPr lang="en-GB"/>
        </a:p>
      </dgm:t>
    </dgm:pt>
    <dgm:pt modelId="{D537567E-0ED4-4F43-AD6A-D1D2073AB8F7}">
      <dgm:prSet/>
      <dgm:spPr/>
      <dgm:t>
        <a:bodyPr/>
        <a:lstStyle/>
        <a:p>
          <a:r>
            <a:rPr lang="en-GB"/>
            <a:t>Leases</a:t>
          </a:r>
        </a:p>
      </dgm:t>
    </dgm:pt>
    <dgm:pt modelId="{FB0F6653-385E-454E-B182-BA6D92F04C70}" type="parTrans" cxnId="{E20F0001-B5F2-4666-A52B-3291593BBACA}">
      <dgm:prSet/>
      <dgm:spPr/>
      <dgm:t>
        <a:bodyPr/>
        <a:lstStyle/>
        <a:p>
          <a:endParaRPr lang="en-GB"/>
        </a:p>
      </dgm:t>
    </dgm:pt>
    <dgm:pt modelId="{AA663FD0-A6AD-497C-8EA2-AB87E00BF35D}" type="sibTrans" cxnId="{E20F0001-B5F2-4666-A52B-3291593BBACA}">
      <dgm:prSet/>
      <dgm:spPr/>
      <dgm:t>
        <a:bodyPr/>
        <a:lstStyle/>
        <a:p>
          <a:endParaRPr lang="en-GB"/>
        </a:p>
      </dgm:t>
    </dgm:pt>
    <dgm:pt modelId="{A7BE1808-920B-42CB-9A27-398CE9EA3A11}">
      <dgm:prSet/>
      <dgm:spPr/>
      <dgm:t>
        <a:bodyPr/>
        <a:lstStyle/>
        <a:p>
          <a:r>
            <a:rPr lang="en-GB"/>
            <a:t>Fixed annual rentals</a:t>
          </a:r>
        </a:p>
      </dgm:t>
    </dgm:pt>
    <dgm:pt modelId="{EF5D1C9F-ABA4-410B-8720-EF07116433B1}" type="parTrans" cxnId="{5785A264-DFB4-4990-AD10-87F50E3A55E1}">
      <dgm:prSet/>
      <dgm:spPr/>
      <dgm:t>
        <a:bodyPr/>
        <a:lstStyle/>
        <a:p>
          <a:endParaRPr lang="en-GB"/>
        </a:p>
      </dgm:t>
    </dgm:pt>
    <dgm:pt modelId="{6CEEB19E-BBA2-4D37-AFE5-0F7094C2E30E}" type="sibTrans" cxnId="{5785A264-DFB4-4990-AD10-87F50E3A55E1}">
      <dgm:prSet/>
      <dgm:spPr/>
      <dgm:t>
        <a:bodyPr/>
        <a:lstStyle/>
        <a:p>
          <a:endParaRPr lang="en-GB"/>
        </a:p>
      </dgm:t>
    </dgm:pt>
    <dgm:pt modelId="{FCDDB718-E91C-446B-A31D-1DE9D3C87C59}">
      <dgm:prSet/>
      <dgm:spPr/>
      <dgm:t>
        <a:bodyPr/>
        <a:lstStyle/>
        <a:p>
          <a:r>
            <a:rPr lang="en-GB"/>
            <a:t>Rental based on specific percentage  of revenue that exceed a given threshold.</a:t>
          </a:r>
        </a:p>
      </dgm:t>
    </dgm:pt>
    <dgm:pt modelId="{EADBFF63-98F2-44EA-81A6-672FAEF93A5E}" type="parTrans" cxnId="{0B91CF5F-C5C4-446A-A336-EDA4E449DCB8}">
      <dgm:prSet/>
      <dgm:spPr/>
      <dgm:t>
        <a:bodyPr/>
        <a:lstStyle/>
        <a:p>
          <a:endParaRPr lang="en-GB"/>
        </a:p>
      </dgm:t>
    </dgm:pt>
    <dgm:pt modelId="{61DA7BBC-1D84-4CA4-A977-AC7F81896276}" type="sibTrans" cxnId="{0B91CF5F-C5C4-446A-A336-EDA4E449DCB8}">
      <dgm:prSet/>
      <dgm:spPr/>
      <dgm:t>
        <a:bodyPr/>
        <a:lstStyle/>
        <a:p>
          <a:endParaRPr lang="en-GB"/>
        </a:p>
      </dgm:t>
    </dgm:pt>
    <dgm:pt modelId="{110B5FF0-4845-4807-95B8-FF771603EAC6}">
      <dgm:prSet/>
      <dgm:spPr/>
      <dgm:t>
        <a:bodyPr/>
        <a:lstStyle/>
        <a:p>
          <a:r>
            <a:rPr lang="en-GB"/>
            <a:t>Franchising and Licensing</a:t>
          </a:r>
        </a:p>
      </dgm:t>
    </dgm:pt>
    <dgm:pt modelId="{208AB8AE-9590-4B8B-B8F3-096F4D3FF9AD}" type="parTrans" cxnId="{88ED1F37-DC73-445F-ADDE-6095881A8F6E}">
      <dgm:prSet/>
      <dgm:spPr/>
      <dgm:t>
        <a:bodyPr/>
        <a:lstStyle/>
        <a:p>
          <a:endParaRPr lang="en-GB"/>
        </a:p>
      </dgm:t>
    </dgm:pt>
    <dgm:pt modelId="{74292A2D-FF88-444B-A652-947BBFDFEE1B}" type="sibTrans" cxnId="{88ED1F37-DC73-445F-ADDE-6095881A8F6E}">
      <dgm:prSet/>
      <dgm:spPr/>
      <dgm:t>
        <a:bodyPr/>
        <a:lstStyle/>
        <a:p>
          <a:endParaRPr lang="en-GB"/>
        </a:p>
      </dgm:t>
    </dgm:pt>
    <dgm:pt modelId="{91CD657E-BD50-4C28-9869-D5D21B2BA3F0}">
      <dgm:prSet/>
      <dgm:spPr/>
      <dgm:t>
        <a:bodyPr/>
        <a:lstStyle/>
        <a:p>
          <a:r>
            <a:rPr lang="en-GB"/>
            <a:t>Initial application fee</a:t>
          </a:r>
        </a:p>
      </dgm:t>
    </dgm:pt>
    <dgm:pt modelId="{709F3DFE-7B7B-43DB-9E5F-53149F24E852}" type="parTrans" cxnId="{22EE7D0F-09CB-4AE0-A358-6CAD899798DA}">
      <dgm:prSet/>
      <dgm:spPr/>
      <dgm:t>
        <a:bodyPr/>
        <a:lstStyle/>
        <a:p>
          <a:endParaRPr lang="en-GB"/>
        </a:p>
      </dgm:t>
    </dgm:pt>
    <dgm:pt modelId="{4F0C78C0-9CE3-491C-9762-BCD0929768F8}" type="sibTrans" cxnId="{22EE7D0F-09CB-4AE0-A358-6CAD899798DA}">
      <dgm:prSet/>
      <dgm:spPr/>
      <dgm:t>
        <a:bodyPr/>
        <a:lstStyle/>
        <a:p>
          <a:endParaRPr lang="en-GB"/>
        </a:p>
      </dgm:t>
    </dgm:pt>
    <dgm:pt modelId="{D8949B98-1309-4461-BA37-9407CDE1C1BE}">
      <dgm:prSet/>
      <dgm:spPr/>
      <dgm:t>
        <a:bodyPr/>
        <a:lstStyle/>
        <a:p>
          <a:r>
            <a:rPr lang="en-GB"/>
            <a:t>Royalty fees</a:t>
          </a:r>
        </a:p>
      </dgm:t>
    </dgm:pt>
    <dgm:pt modelId="{89EFD753-6768-47EF-9CF3-33FB6A319A3C}" type="parTrans" cxnId="{032708FB-7C36-4A0E-B72E-FCBDB7158016}">
      <dgm:prSet/>
      <dgm:spPr/>
      <dgm:t>
        <a:bodyPr/>
        <a:lstStyle/>
        <a:p>
          <a:endParaRPr lang="en-GB"/>
        </a:p>
      </dgm:t>
    </dgm:pt>
    <dgm:pt modelId="{C53DC3DE-4D2F-492F-A787-998AEFA5A007}" type="sibTrans" cxnId="{032708FB-7C36-4A0E-B72E-FCBDB7158016}">
      <dgm:prSet/>
      <dgm:spPr/>
      <dgm:t>
        <a:bodyPr/>
        <a:lstStyle/>
        <a:p>
          <a:endParaRPr lang="en-GB"/>
        </a:p>
      </dgm:t>
    </dgm:pt>
    <dgm:pt modelId="{CB1EF45B-E2E0-4AA4-9659-BFCBE91D7E75}">
      <dgm:prSet/>
      <dgm:spPr/>
      <dgm:t>
        <a:bodyPr/>
        <a:lstStyle/>
        <a:p>
          <a:r>
            <a:rPr lang="en-GB"/>
            <a:t>Branding fees for residentiqal property promotion</a:t>
          </a:r>
        </a:p>
      </dgm:t>
    </dgm:pt>
    <dgm:pt modelId="{3D09377C-D1CC-4F06-BCA3-9AB562A268D8}" type="parTrans" cxnId="{C42D9401-3EB5-4A50-98C7-8334A1F9455B}">
      <dgm:prSet/>
      <dgm:spPr/>
      <dgm:t>
        <a:bodyPr/>
        <a:lstStyle/>
        <a:p>
          <a:endParaRPr lang="en-GB"/>
        </a:p>
      </dgm:t>
    </dgm:pt>
    <dgm:pt modelId="{27957BEC-334A-4822-85D5-B1DDA369B830}" type="sibTrans" cxnId="{C42D9401-3EB5-4A50-98C7-8334A1F9455B}">
      <dgm:prSet/>
      <dgm:spPr/>
      <dgm:t>
        <a:bodyPr/>
        <a:lstStyle/>
        <a:p>
          <a:endParaRPr lang="en-GB"/>
        </a:p>
      </dgm:t>
    </dgm:pt>
    <dgm:pt modelId="{35FB169F-271A-4D55-B7C8-F676495CF0DE}">
      <dgm:prSet/>
      <dgm:spPr/>
      <dgm:t>
        <a:bodyPr/>
        <a:lstStyle/>
        <a:p>
          <a:r>
            <a:rPr lang="en-GB"/>
            <a:t>Cost reimbursement</a:t>
          </a:r>
        </a:p>
      </dgm:t>
    </dgm:pt>
    <dgm:pt modelId="{32647197-9C60-4262-823C-6E9F2920028D}" type="parTrans" cxnId="{A9FD18D0-55AD-4E92-837A-48C5F193F661}">
      <dgm:prSet/>
      <dgm:spPr/>
      <dgm:t>
        <a:bodyPr/>
        <a:lstStyle/>
        <a:p>
          <a:endParaRPr lang="en-GB"/>
        </a:p>
      </dgm:t>
    </dgm:pt>
    <dgm:pt modelId="{ED29E6DD-31FE-4DD7-96D6-B78A8B475E25}" type="sibTrans" cxnId="{A9FD18D0-55AD-4E92-837A-48C5F193F661}">
      <dgm:prSet/>
      <dgm:spPr/>
    </dgm:pt>
    <dgm:pt modelId="{D2EA5C90-1A0D-4236-B088-C5553DDF3F2F}" type="pres">
      <dgm:prSet presAssocID="{96858040-917A-4F3E-ABED-12F44B4B3A44}" presName="diagram" presStyleCnt="0">
        <dgm:presLayoutVars>
          <dgm:chPref val="1"/>
          <dgm:dir/>
          <dgm:animOne val="branch"/>
          <dgm:animLvl val="lvl"/>
          <dgm:resizeHandles val="exact"/>
        </dgm:presLayoutVars>
      </dgm:prSet>
      <dgm:spPr/>
    </dgm:pt>
    <dgm:pt modelId="{A9407A9B-768A-4F68-B61A-5BCB8E2087AA}" type="pres">
      <dgm:prSet presAssocID="{E06879DB-0BAD-4BDA-8E72-77D02D01B8DD}" presName="root1" presStyleCnt="0"/>
      <dgm:spPr/>
    </dgm:pt>
    <dgm:pt modelId="{6211EDF5-1244-4275-91E7-798F12079ED1}" type="pres">
      <dgm:prSet presAssocID="{E06879DB-0BAD-4BDA-8E72-77D02D01B8DD}" presName="LevelOneTextNode" presStyleLbl="node0" presStyleIdx="0" presStyleCnt="1">
        <dgm:presLayoutVars>
          <dgm:chPref val="3"/>
        </dgm:presLayoutVars>
      </dgm:prSet>
      <dgm:spPr/>
    </dgm:pt>
    <dgm:pt modelId="{BC2C44A8-2BAE-4CCC-AFEF-4AACED976071}" type="pres">
      <dgm:prSet presAssocID="{E06879DB-0BAD-4BDA-8E72-77D02D01B8DD}" presName="level2hierChild" presStyleCnt="0"/>
      <dgm:spPr/>
    </dgm:pt>
    <dgm:pt modelId="{0551FD7A-D00B-4A6C-AA37-973B9FF78D59}" type="pres">
      <dgm:prSet presAssocID="{B87E05C6-A969-4664-8CA4-6791AAE25929}" presName="conn2-1" presStyleLbl="parChTrans1D2" presStyleIdx="0" presStyleCnt="7"/>
      <dgm:spPr/>
    </dgm:pt>
    <dgm:pt modelId="{9ECD74B7-825D-48A9-8867-AE0948CB1823}" type="pres">
      <dgm:prSet presAssocID="{B87E05C6-A969-4664-8CA4-6791AAE25929}" presName="connTx" presStyleLbl="parChTrans1D2" presStyleIdx="0" presStyleCnt="7"/>
      <dgm:spPr/>
    </dgm:pt>
    <dgm:pt modelId="{F51C5426-9345-4B65-BDD2-4A4A312176FE}" type="pres">
      <dgm:prSet presAssocID="{430FA73B-1A01-4612-B497-AE3C8041DDB6}" presName="root2" presStyleCnt="0"/>
      <dgm:spPr/>
    </dgm:pt>
    <dgm:pt modelId="{505B2872-AA8E-4E3F-890F-D8C71C5B896B}" type="pres">
      <dgm:prSet presAssocID="{430FA73B-1A01-4612-B497-AE3C8041DDB6}" presName="LevelTwoTextNode" presStyleLbl="node2" presStyleIdx="0" presStyleCnt="7">
        <dgm:presLayoutVars>
          <dgm:chPref val="3"/>
        </dgm:presLayoutVars>
      </dgm:prSet>
      <dgm:spPr/>
    </dgm:pt>
    <dgm:pt modelId="{AA03D169-B7AC-44DA-AD1D-61C30CFAC42C}" type="pres">
      <dgm:prSet presAssocID="{430FA73B-1A01-4612-B497-AE3C8041DDB6}" presName="level3hierChild" presStyleCnt="0"/>
      <dgm:spPr/>
    </dgm:pt>
    <dgm:pt modelId="{2D9140B1-8CC2-4B68-823E-A93FD93478D6}" type="pres">
      <dgm:prSet presAssocID="{208AB8AE-9590-4B8B-B8F3-096F4D3FF9AD}" presName="conn2-1" presStyleLbl="parChTrans1D2" presStyleIdx="1" presStyleCnt="7"/>
      <dgm:spPr/>
    </dgm:pt>
    <dgm:pt modelId="{9BD62FA6-BF16-4EEC-80B0-7DB13F15C7E8}" type="pres">
      <dgm:prSet presAssocID="{208AB8AE-9590-4B8B-B8F3-096F4D3FF9AD}" presName="connTx" presStyleLbl="parChTrans1D2" presStyleIdx="1" presStyleCnt="7"/>
      <dgm:spPr/>
    </dgm:pt>
    <dgm:pt modelId="{EAFEF337-3640-4856-97E1-91418CA2EC8A}" type="pres">
      <dgm:prSet presAssocID="{110B5FF0-4845-4807-95B8-FF771603EAC6}" presName="root2" presStyleCnt="0"/>
      <dgm:spPr/>
    </dgm:pt>
    <dgm:pt modelId="{BEBE6058-B1E0-488C-B523-79D7B3B13F3A}" type="pres">
      <dgm:prSet presAssocID="{110B5FF0-4845-4807-95B8-FF771603EAC6}" presName="LevelTwoTextNode" presStyleLbl="node2" presStyleIdx="1" presStyleCnt="7">
        <dgm:presLayoutVars>
          <dgm:chPref val="3"/>
        </dgm:presLayoutVars>
      </dgm:prSet>
      <dgm:spPr/>
    </dgm:pt>
    <dgm:pt modelId="{FC23A3FB-8711-46B3-A983-1DD48B829BA6}" type="pres">
      <dgm:prSet presAssocID="{110B5FF0-4845-4807-95B8-FF771603EAC6}" presName="level3hierChild" presStyleCnt="0"/>
      <dgm:spPr/>
    </dgm:pt>
    <dgm:pt modelId="{C655E44D-8A58-4B4F-AB76-E6E5E0E55FAB}" type="pres">
      <dgm:prSet presAssocID="{709F3DFE-7B7B-43DB-9E5F-53149F24E852}" presName="conn2-1" presStyleLbl="parChTrans1D3" presStyleIdx="0" presStyleCnt="8"/>
      <dgm:spPr/>
    </dgm:pt>
    <dgm:pt modelId="{B9174077-57D4-4789-BB96-B621F4BB7560}" type="pres">
      <dgm:prSet presAssocID="{709F3DFE-7B7B-43DB-9E5F-53149F24E852}" presName="connTx" presStyleLbl="parChTrans1D3" presStyleIdx="0" presStyleCnt="8"/>
      <dgm:spPr/>
    </dgm:pt>
    <dgm:pt modelId="{9A3D9A12-5054-4CC5-ADCC-132A6688B915}" type="pres">
      <dgm:prSet presAssocID="{91CD657E-BD50-4C28-9869-D5D21B2BA3F0}" presName="root2" presStyleCnt="0"/>
      <dgm:spPr/>
    </dgm:pt>
    <dgm:pt modelId="{624BB9C2-9E41-4265-BF81-68B10401DA24}" type="pres">
      <dgm:prSet presAssocID="{91CD657E-BD50-4C28-9869-D5D21B2BA3F0}" presName="LevelTwoTextNode" presStyleLbl="node3" presStyleIdx="0" presStyleCnt="8">
        <dgm:presLayoutVars>
          <dgm:chPref val="3"/>
        </dgm:presLayoutVars>
      </dgm:prSet>
      <dgm:spPr/>
    </dgm:pt>
    <dgm:pt modelId="{08C32BC7-E18A-428A-A8B2-651290237AE1}" type="pres">
      <dgm:prSet presAssocID="{91CD657E-BD50-4C28-9869-D5D21B2BA3F0}" presName="level3hierChild" presStyleCnt="0"/>
      <dgm:spPr/>
    </dgm:pt>
    <dgm:pt modelId="{3E663DA9-397A-407D-AED2-F955C41FDD4E}" type="pres">
      <dgm:prSet presAssocID="{89EFD753-6768-47EF-9CF3-33FB6A319A3C}" presName="conn2-1" presStyleLbl="parChTrans1D3" presStyleIdx="1" presStyleCnt="8"/>
      <dgm:spPr/>
    </dgm:pt>
    <dgm:pt modelId="{9F558E0F-5EDC-4EF6-9E5B-A5EF1C6229BC}" type="pres">
      <dgm:prSet presAssocID="{89EFD753-6768-47EF-9CF3-33FB6A319A3C}" presName="connTx" presStyleLbl="parChTrans1D3" presStyleIdx="1" presStyleCnt="8"/>
      <dgm:spPr/>
    </dgm:pt>
    <dgm:pt modelId="{99320170-4240-43FA-9EDC-F5EFE2713196}" type="pres">
      <dgm:prSet presAssocID="{D8949B98-1309-4461-BA37-9407CDE1C1BE}" presName="root2" presStyleCnt="0"/>
      <dgm:spPr/>
    </dgm:pt>
    <dgm:pt modelId="{E80EEAA3-E0E5-499F-9E2C-731BC607C5D8}" type="pres">
      <dgm:prSet presAssocID="{D8949B98-1309-4461-BA37-9407CDE1C1BE}" presName="LevelTwoTextNode" presStyleLbl="node3" presStyleIdx="1" presStyleCnt="8">
        <dgm:presLayoutVars>
          <dgm:chPref val="3"/>
        </dgm:presLayoutVars>
      </dgm:prSet>
      <dgm:spPr/>
    </dgm:pt>
    <dgm:pt modelId="{22F0AAEE-9C68-4663-89F1-B65D0654FB6A}" type="pres">
      <dgm:prSet presAssocID="{D8949B98-1309-4461-BA37-9407CDE1C1BE}" presName="level3hierChild" presStyleCnt="0"/>
      <dgm:spPr/>
    </dgm:pt>
    <dgm:pt modelId="{EC1424CF-E43F-41BB-B104-510D39A1FB28}" type="pres">
      <dgm:prSet presAssocID="{3D09377C-D1CC-4F06-BCA3-9AB562A268D8}" presName="conn2-1" presStyleLbl="parChTrans1D3" presStyleIdx="2" presStyleCnt="8"/>
      <dgm:spPr/>
    </dgm:pt>
    <dgm:pt modelId="{381B02B1-5D29-4593-B0CD-975C15760987}" type="pres">
      <dgm:prSet presAssocID="{3D09377C-D1CC-4F06-BCA3-9AB562A268D8}" presName="connTx" presStyleLbl="parChTrans1D3" presStyleIdx="2" presStyleCnt="8"/>
      <dgm:spPr/>
    </dgm:pt>
    <dgm:pt modelId="{2D91C34E-A61B-49C7-85E2-A049857B80CA}" type="pres">
      <dgm:prSet presAssocID="{CB1EF45B-E2E0-4AA4-9659-BFCBE91D7E75}" presName="root2" presStyleCnt="0"/>
      <dgm:spPr/>
    </dgm:pt>
    <dgm:pt modelId="{51D73C36-844A-4698-A93C-24D897E2620D}" type="pres">
      <dgm:prSet presAssocID="{CB1EF45B-E2E0-4AA4-9659-BFCBE91D7E75}" presName="LevelTwoTextNode" presStyleLbl="node3" presStyleIdx="2" presStyleCnt="8">
        <dgm:presLayoutVars>
          <dgm:chPref val="3"/>
        </dgm:presLayoutVars>
      </dgm:prSet>
      <dgm:spPr/>
    </dgm:pt>
    <dgm:pt modelId="{9910F328-A208-4C8E-8342-ECE49C77D6EA}" type="pres">
      <dgm:prSet presAssocID="{CB1EF45B-E2E0-4AA4-9659-BFCBE91D7E75}" presName="level3hierChild" presStyleCnt="0"/>
      <dgm:spPr/>
    </dgm:pt>
    <dgm:pt modelId="{1C3C7D26-9BDA-45D3-B132-852A3842B3EF}" type="pres">
      <dgm:prSet presAssocID="{FB0F6653-385E-454E-B182-BA6D92F04C70}" presName="conn2-1" presStyleLbl="parChTrans1D2" presStyleIdx="2" presStyleCnt="7"/>
      <dgm:spPr/>
    </dgm:pt>
    <dgm:pt modelId="{9CAF720B-71BF-4AF3-8809-13D401E712E0}" type="pres">
      <dgm:prSet presAssocID="{FB0F6653-385E-454E-B182-BA6D92F04C70}" presName="connTx" presStyleLbl="parChTrans1D2" presStyleIdx="2" presStyleCnt="7"/>
      <dgm:spPr/>
    </dgm:pt>
    <dgm:pt modelId="{C7F21BA8-A5EB-469B-AD17-6A6A1390362C}" type="pres">
      <dgm:prSet presAssocID="{D537567E-0ED4-4F43-AD6A-D1D2073AB8F7}" presName="root2" presStyleCnt="0"/>
      <dgm:spPr/>
    </dgm:pt>
    <dgm:pt modelId="{3F8BCCBF-1960-40AE-94B4-4F2591EB8398}" type="pres">
      <dgm:prSet presAssocID="{D537567E-0ED4-4F43-AD6A-D1D2073AB8F7}" presName="LevelTwoTextNode" presStyleLbl="node2" presStyleIdx="2" presStyleCnt="7">
        <dgm:presLayoutVars>
          <dgm:chPref val="3"/>
        </dgm:presLayoutVars>
      </dgm:prSet>
      <dgm:spPr/>
    </dgm:pt>
    <dgm:pt modelId="{87C8B7CC-B6CF-4877-9948-89B39D5C8323}" type="pres">
      <dgm:prSet presAssocID="{D537567E-0ED4-4F43-AD6A-D1D2073AB8F7}" presName="level3hierChild" presStyleCnt="0"/>
      <dgm:spPr/>
    </dgm:pt>
    <dgm:pt modelId="{CB47FD0A-7D63-4527-810A-E96F589CF9A6}" type="pres">
      <dgm:prSet presAssocID="{EF5D1C9F-ABA4-410B-8720-EF07116433B1}" presName="conn2-1" presStyleLbl="parChTrans1D3" presStyleIdx="3" presStyleCnt="8"/>
      <dgm:spPr/>
    </dgm:pt>
    <dgm:pt modelId="{BF2C04F5-70D9-4F98-88F1-CFA67AAFA4FB}" type="pres">
      <dgm:prSet presAssocID="{EF5D1C9F-ABA4-410B-8720-EF07116433B1}" presName="connTx" presStyleLbl="parChTrans1D3" presStyleIdx="3" presStyleCnt="8"/>
      <dgm:spPr/>
    </dgm:pt>
    <dgm:pt modelId="{8022DC5F-DB05-4F2C-8204-52773D052221}" type="pres">
      <dgm:prSet presAssocID="{A7BE1808-920B-42CB-9A27-398CE9EA3A11}" presName="root2" presStyleCnt="0"/>
      <dgm:spPr/>
    </dgm:pt>
    <dgm:pt modelId="{80FFE882-94B9-4C61-AF32-E679C644FE7E}" type="pres">
      <dgm:prSet presAssocID="{A7BE1808-920B-42CB-9A27-398CE9EA3A11}" presName="LevelTwoTextNode" presStyleLbl="node3" presStyleIdx="3" presStyleCnt="8">
        <dgm:presLayoutVars>
          <dgm:chPref val="3"/>
        </dgm:presLayoutVars>
      </dgm:prSet>
      <dgm:spPr/>
    </dgm:pt>
    <dgm:pt modelId="{C2AC0EDE-A09D-46E9-AD60-9A04015D7EB5}" type="pres">
      <dgm:prSet presAssocID="{A7BE1808-920B-42CB-9A27-398CE9EA3A11}" presName="level3hierChild" presStyleCnt="0"/>
      <dgm:spPr/>
    </dgm:pt>
    <dgm:pt modelId="{7F253EAF-1F89-42DA-9840-8225D280DDA2}" type="pres">
      <dgm:prSet presAssocID="{EADBFF63-98F2-44EA-81A6-672FAEF93A5E}" presName="conn2-1" presStyleLbl="parChTrans1D3" presStyleIdx="4" presStyleCnt="8"/>
      <dgm:spPr/>
    </dgm:pt>
    <dgm:pt modelId="{6E08EE01-AE02-4FB7-B11D-831F8C7AC806}" type="pres">
      <dgm:prSet presAssocID="{EADBFF63-98F2-44EA-81A6-672FAEF93A5E}" presName="connTx" presStyleLbl="parChTrans1D3" presStyleIdx="4" presStyleCnt="8"/>
      <dgm:spPr/>
    </dgm:pt>
    <dgm:pt modelId="{4324C1CF-51E9-414C-8DAC-4B04D49818D6}" type="pres">
      <dgm:prSet presAssocID="{FCDDB718-E91C-446B-A31D-1DE9D3C87C59}" presName="root2" presStyleCnt="0"/>
      <dgm:spPr/>
    </dgm:pt>
    <dgm:pt modelId="{2312D824-FD07-41D3-A4DB-A8166DE148B8}" type="pres">
      <dgm:prSet presAssocID="{FCDDB718-E91C-446B-A31D-1DE9D3C87C59}" presName="LevelTwoTextNode" presStyleLbl="node3" presStyleIdx="4" presStyleCnt="8">
        <dgm:presLayoutVars>
          <dgm:chPref val="3"/>
        </dgm:presLayoutVars>
      </dgm:prSet>
      <dgm:spPr/>
    </dgm:pt>
    <dgm:pt modelId="{21C2CCFA-724A-412D-94AF-D1999BC06661}" type="pres">
      <dgm:prSet presAssocID="{FCDDB718-E91C-446B-A31D-1DE9D3C87C59}" presName="level3hierChild" presStyleCnt="0"/>
      <dgm:spPr/>
    </dgm:pt>
    <dgm:pt modelId="{B965D337-7D17-4E05-ACE5-B73BCB90729B}" type="pres">
      <dgm:prSet presAssocID="{5D55AF44-C541-4A63-A581-C83FC49F29B4}" presName="conn2-1" presStyleLbl="parChTrans1D2" presStyleIdx="3" presStyleCnt="7"/>
      <dgm:spPr/>
    </dgm:pt>
    <dgm:pt modelId="{377D6002-938C-4EE5-B63A-8C4DA01E7BC2}" type="pres">
      <dgm:prSet presAssocID="{5D55AF44-C541-4A63-A581-C83FC49F29B4}" presName="connTx" presStyleLbl="parChTrans1D2" presStyleIdx="3" presStyleCnt="7"/>
      <dgm:spPr/>
    </dgm:pt>
    <dgm:pt modelId="{097D361D-8772-4E01-A8BD-491768FF55CC}" type="pres">
      <dgm:prSet presAssocID="{432B9948-CC08-4FC1-BD4A-823AE8A734A7}" presName="root2" presStyleCnt="0"/>
      <dgm:spPr/>
    </dgm:pt>
    <dgm:pt modelId="{477F4DE0-6ED5-4767-A5B4-D397AECE6401}" type="pres">
      <dgm:prSet presAssocID="{432B9948-CC08-4FC1-BD4A-823AE8A734A7}" presName="LevelTwoTextNode" presStyleLbl="node2" presStyleIdx="3" presStyleCnt="7">
        <dgm:presLayoutVars>
          <dgm:chPref val="3"/>
        </dgm:presLayoutVars>
      </dgm:prSet>
      <dgm:spPr/>
    </dgm:pt>
    <dgm:pt modelId="{6AD45DD4-BC89-4010-868E-FB1F5AFF92EF}" type="pres">
      <dgm:prSet presAssocID="{432B9948-CC08-4FC1-BD4A-823AE8A734A7}" presName="level3hierChild" presStyleCnt="0"/>
      <dgm:spPr/>
    </dgm:pt>
    <dgm:pt modelId="{6DC709CC-E371-40DF-AF9D-2B1782F2B59A}" type="pres">
      <dgm:prSet presAssocID="{8E25D3BB-F5F7-4D8B-BEF4-1DE6A91D0489}" presName="conn2-1" presStyleLbl="parChTrans1D2" presStyleIdx="4" presStyleCnt="7"/>
      <dgm:spPr/>
    </dgm:pt>
    <dgm:pt modelId="{712E6533-A83A-45B5-AB0F-713D3C134F91}" type="pres">
      <dgm:prSet presAssocID="{8E25D3BB-F5F7-4D8B-BEF4-1DE6A91D0489}" presName="connTx" presStyleLbl="parChTrans1D2" presStyleIdx="4" presStyleCnt="7"/>
      <dgm:spPr/>
    </dgm:pt>
    <dgm:pt modelId="{C34D1941-B585-46FB-A3F2-0125A93F7B64}" type="pres">
      <dgm:prSet presAssocID="{8302FA1F-C1D8-41F1-8739-81447ECB1646}" presName="root2" presStyleCnt="0"/>
      <dgm:spPr/>
    </dgm:pt>
    <dgm:pt modelId="{8E72ED94-4778-42A2-B7FF-431040BCF398}" type="pres">
      <dgm:prSet presAssocID="{8302FA1F-C1D8-41F1-8739-81447ECB1646}" presName="LevelTwoTextNode" presStyleLbl="node2" presStyleIdx="4" presStyleCnt="7">
        <dgm:presLayoutVars>
          <dgm:chPref val="3"/>
        </dgm:presLayoutVars>
      </dgm:prSet>
      <dgm:spPr/>
    </dgm:pt>
    <dgm:pt modelId="{04048153-80FC-42FC-9880-0961B311AB83}" type="pres">
      <dgm:prSet presAssocID="{8302FA1F-C1D8-41F1-8739-81447ECB1646}" presName="level3hierChild" presStyleCnt="0"/>
      <dgm:spPr/>
    </dgm:pt>
    <dgm:pt modelId="{D2CB0D16-207B-47D2-BE1A-5C5BD39D5C38}" type="pres">
      <dgm:prSet presAssocID="{CDDCFD80-23C3-4DAC-BD8E-5CB172A57C4A}" presName="conn2-1" presStyleLbl="parChTrans1D3" presStyleIdx="5" presStyleCnt="8"/>
      <dgm:spPr/>
    </dgm:pt>
    <dgm:pt modelId="{81621954-892F-4FCC-B3AE-328229306A1A}" type="pres">
      <dgm:prSet presAssocID="{CDDCFD80-23C3-4DAC-BD8E-5CB172A57C4A}" presName="connTx" presStyleLbl="parChTrans1D3" presStyleIdx="5" presStyleCnt="8"/>
      <dgm:spPr/>
    </dgm:pt>
    <dgm:pt modelId="{561DB343-C7F2-43A7-8AAF-DFB52041747A}" type="pres">
      <dgm:prSet presAssocID="{2F7ED6DD-F539-4E96-9229-EF390E94A828}" presName="root2" presStyleCnt="0"/>
      <dgm:spPr/>
    </dgm:pt>
    <dgm:pt modelId="{28CC1DCA-71F4-4E0B-969F-914AA49FB747}" type="pres">
      <dgm:prSet presAssocID="{2F7ED6DD-F539-4E96-9229-EF390E94A828}" presName="LevelTwoTextNode" presStyleLbl="node3" presStyleIdx="5" presStyleCnt="8">
        <dgm:presLayoutVars>
          <dgm:chPref val="3"/>
        </dgm:presLayoutVars>
      </dgm:prSet>
      <dgm:spPr/>
    </dgm:pt>
    <dgm:pt modelId="{F58C33B8-A1A6-4E9E-AE7F-261CC091D717}" type="pres">
      <dgm:prSet presAssocID="{2F7ED6DD-F539-4E96-9229-EF390E94A828}" presName="level3hierChild" presStyleCnt="0"/>
      <dgm:spPr/>
    </dgm:pt>
    <dgm:pt modelId="{6FF0571C-01C2-4F55-AC7D-CBC18ECDA9CA}" type="pres">
      <dgm:prSet presAssocID="{EB4FC790-3FBC-4C9F-88A0-A6E618BD7692}" presName="conn2-1" presStyleLbl="parChTrans1D3" presStyleIdx="6" presStyleCnt="8"/>
      <dgm:spPr/>
    </dgm:pt>
    <dgm:pt modelId="{34BC07AC-3F16-4B12-B486-9E695B585621}" type="pres">
      <dgm:prSet presAssocID="{EB4FC790-3FBC-4C9F-88A0-A6E618BD7692}" presName="connTx" presStyleLbl="parChTrans1D3" presStyleIdx="6" presStyleCnt="8"/>
      <dgm:spPr/>
    </dgm:pt>
    <dgm:pt modelId="{57089079-3B17-434F-B5A2-6BAC640044CB}" type="pres">
      <dgm:prSet presAssocID="{EE08D5F0-E3F7-47E5-BFC0-9E6029CC3D25}" presName="root2" presStyleCnt="0"/>
      <dgm:spPr/>
    </dgm:pt>
    <dgm:pt modelId="{87AC0D2A-F439-47BF-9D14-FAE010AE80E0}" type="pres">
      <dgm:prSet presAssocID="{EE08D5F0-E3F7-47E5-BFC0-9E6029CC3D25}" presName="LevelTwoTextNode" presStyleLbl="node3" presStyleIdx="6" presStyleCnt="8">
        <dgm:presLayoutVars>
          <dgm:chPref val="3"/>
        </dgm:presLayoutVars>
      </dgm:prSet>
      <dgm:spPr/>
    </dgm:pt>
    <dgm:pt modelId="{E0921B63-E008-4CBA-8D51-92B5A6C3DDF2}" type="pres">
      <dgm:prSet presAssocID="{EE08D5F0-E3F7-47E5-BFC0-9E6029CC3D25}" presName="level3hierChild" presStyleCnt="0"/>
      <dgm:spPr/>
    </dgm:pt>
    <dgm:pt modelId="{135163E5-EC3C-4AE3-9EF8-A18FAA2E5235}" type="pres">
      <dgm:prSet presAssocID="{32647197-9C60-4262-823C-6E9F2920028D}" presName="conn2-1" presStyleLbl="parChTrans1D3" presStyleIdx="7" presStyleCnt="8"/>
      <dgm:spPr/>
    </dgm:pt>
    <dgm:pt modelId="{53DA4C10-2F54-4830-833D-459FD73FB309}" type="pres">
      <dgm:prSet presAssocID="{32647197-9C60-4262-823C-6E9F2920028D}" presName="connTx" presStyleLbl="parChTrans1D3" presStyleIdx="7" presStyleCnt="8"/>
      <dgm:spPr/>
    </dgm:pt>
    <dgm:pt modelId="{A31552EA-C093-41FB-9D64-3B868C00AB4C}" type="pres">
      <dgm:prSet presAssocID="{35FB169F-271A-4D55-B7C8-F676495CF0DE}" presName="root2" presStyleCnt="0"/>
      <dgm:spPr/>
    </dgm:pt>
    <dgm:pt modelId="{C011210A-57EB-4D42-839E-71E729D85944}" type="pres">
      <dgm:prSet presAssocID="{35FB169F-271A-4D55-B7C8-F676495CF0DE}" presName="LevelTwoTextNode" presStyleLbl="node3" presStyleIdx="7" presStyleCnt="8">
        <dgm:presLayoutVars>
          <dgm:chPref val="3"/>
        </dgm:presLayoutVars>
      </dgm:prSet>
      <dgm:spPr/>
    </dgm:pt>
    <dgm:pt modelId="{0D838C6B-6E72-463F-9C0F-CABB57949A80}" type="pres">
      <dgm:prSet presAssocID="{35FB169F-271A-4D55-B7C8-F676495CF0DE}" presName="level3hierChild" presStyleCnt="0"/>
      <dgm:spPr/>
    </dgm:pt>
    <dgm:pt modelId="{2FE3C730-38F2-4DEB-8369-46F7EDD20142}" type="pres">
      <dgm:prSet presAssocID="{71DA0B47-D6F4-445C-A52B-4FCC3066FAE7}" presName="conn2-1" presStyleLbl="parChTrans1D2" presStyleIdx="5" presStyleCnt="7"/>
      <dgm:spPr/>
    </dgm:pt>
    <dgm:pt modelId="{49D8F3A8-E5ED-4863-9A2D-A1E28DBDBE3C}" type="pres">
      <dgm:prSet presAssocID="{71DA0B47-D6F4-445C-A52B-4FCC3066FAE7}" presName="connTx" presStyleLbl="parChTrans1D2" presStyleIdx="5" presStyleCnt="7"/>
      <dgm:spPr/>
    </dgm:pt>
    <dgm:pt modelId="{77E23FC7-E380-44A1-B555-0FAAA9E21E76}" type="pres">
      <dgm:prSet presAssocID="{A60E001F-4A4F-490D-B88F-5A1455D9E9AA}" presName="root2" presStyleCnt="0"/>
      <dgm:spPr/>
    </dgm:pt>
    <dgm:pt modelId="{15A26DCE-3802-469A-A7C0-1A5BF330852B}" type="pres">
      <dgm:prSet presAssocID="{A60E001F-4A4F-490D-B88F-5A1455D9E9AA}" presName="LevelTwoTextNode" presStyleLbl="node2" presStyleIdx="5" presStyleCnt="7">
        <dgm:presLayoutVars>
          <dgm:chPref val="3"/>
        </dgm:presLayoutVars>
      </dgm:prSet>
      <dgm:spPr/>
    </dgm:pt>
    <dgm:pt modelId="{5ADECE51-C27C-413E-969A-C5FE70397588}" type="pres">
      <dgm:prSet presAssocID="{A60E001F-4A4F-490D-B88F-5A1455D9E9AA}" presName="level3hierChild" presStyleCnt="0"/>
      <dgm:spPr/>
    </dgm:pt>
    <dgm:pt modelId="{B8D2DAA9-5809-4A53-8547-2143AF398530}" type="pres">
      <dgm:prSet presAssocID="{AF25C3A0-6E55-42C3-8833-04C8FDE87F64}" presName="conn2-1" presStyleLbl="parChTrans1D2" presStyleIdx="6" presStyleCnt="7"/>
      <dgm:spPr/>
    </dgm:pt>
    <dgm:pt modelId="{CE4184BF-4DC9-4DEF-B914-80213796D6D0}" type="pres">
      <dgm:prSet presAssocID="{AF25C3A0-6E55-42C3-8833-04C8FDE87F64}" presName="connTx" presStyleLbl="parChTrans1D2" presStyleIdx="6" presStyleCnt="7"/>
      <dgm:spPr/>
    </dgm:pt>
    <dgm:pt modelId="{7D0BDF4E-7A47-43E1-85BA-32AD5FCBD4F5}" type="pres">
      <dgm:prSet presAssocID="{834BDA24-2DFD-42E6-817F-04CC6AA9B29D}" presName="root2" presStyleCnt="0"/>
      <dgm:spPr/>
    </dgm:pt>
    <dgm:pt modelId="{06F3B3D9-09D1-434E-B048-5DB70E6E48A2}" type="pres">
      <dgm:prSet presAssocID="{834BDA24-2DFD-42E6-817F-04CC6AA9B29D}" presName="LevelTwoTextNode" presStyleLbl="node2" presStyleIdx="6" presStyleCnt="7">
        <dgm:presLayoutVars>
          <dgm:chPref val="3"/>
        </dgm:presLayoutVars>
      </dgm:prSet>
      <dgm:spPr/>
    </dgm:pt>
    <dgm:pt modelId="{8E852A7A-7C95-4BD0-9351-F5BFFD166D15}" type="pres">
      <dgm:prSet presAssocID="{834BDA24-2DFD-42E6-817F-04CC6AA9B29D}" presName="level3hierChild" presStyleCnt="0"/>
      <dgm:spPr/>
    </dgm:pt>
  </dgm:ptLst>
  <dgm:cxnLst>
    <dgm:cxn modelId="{E20F0001-B5F2-4666-A52B-3291593BBACA}" srcId="{E06879DB-0BAD-4BDA-8E72-77D02D01B8DD}" destId="{D537567E-0ED4-4F43-AD6A-D1D2073AB8F7}" srcOrd="2" destOrd="0" parTransId="{FB0F6653-385E-454E-B182-BA6D92F04C70}" sibTransId="{AA663FD0-A6AD-497C-8EA2-AB87E00BF35D}"/>
    <dgm:cxn modelId="{C42D9401-3EB5-4A50-98C7-8334A1F9455B}" srcId="{110B5FF0-4845-4807-95B8-FF771603EAC6}" destId="{CB1EF45B-E2E0-4AA4-9659-BFCBE91D7E75}" srcOrd="2" destOrd="0" parTransId="{3D09377C-D1CC-4F06-BCA3-9AB562A268D8}" sibTransId="{27957BEC-334A-4822-85D5-B1DDA369B830}"/>
    <dgm:cxn modelId="{28005F0B-64C9-4A64-B7AF-AD32B1FEE452}" type="presOf" srcId="{A60E001F-4A4F-490D-B88F-5A1455D9E9AA}" destId="{15A26DCE-3802-469A-A7C0-1A5BF330852B}" srcOrd="0" destOrd="0" presId="urn:microsoft.com/office/officeart/2005/8/layout/hierarchy2"/>
    <dgm:cxn modelId="{22EE7D0F-09CB-4AE0-A358-6CAD899798DA}" srcId="{110B5FF0-4845-4807-95B8-FF771603EAC6}" destId="{91CD657E-BD50-4C28-9869-D5D21B2BA3F0}" srcOrd="0" destOrd="0" parTransId="{709F3DFE-7B7B-43DB-9E5F-53149F24E852}" sibTransId="{4F0C78C0-9CE3-491C-9762-BCD0929768F8}"/>
    <dgm:cxn modelId="{EA19C50F-D872-4472-BC4D-2CA68DCACFC4}" type="presOf" srcId="{AF25C3A0-6E55-42C3-8833-04C8FDE87F64}" destId="{CE4184BF-4DC9-4DEF-B914-80213796D6D0}" srcOrd="1" destOrd="0" presId="urn:microsoft.com/office/officeart/2005/8/layout/hierarchy2"/>
    <dgm:cxn modelId="{53D30517-57A8-4D4C-8DF6-9504A2EFCBB5}" type="presOf" srcId="{D8949B98-1309-4461-BA37-9407CDE1C1BE}" destId="{E80EEAA3-E0E5-499F-9E2C-731BC607C5D8}" srcOrd="0" destOrd="0" presId="urn:microsoft.com/office/officeart/2005/8/layout/hierarchy2"/>
    <dgm:cxn modelId="{3619A51B-F9D2-4889-B256-19ADCEBEAA4A}" type="presOf" srcId="{96858040-917A-4F3E-ABED-12F44B4B3A44}" destId="{D2EA5C90-1A0D-4236-B088-C5553DDF3F2F}" srcOrd="0" destOrd="0" presId="urn:microsoft.com/office/officeart/2005/8/layout/hierarchy2"/>
    <dgm:cxn modelId="{10C2F926-D3C6-4CC6-9C6E-63108FA48465}" type="presOf" srcId="{E06879DB-0BAD-4BDA-8E72-77D02D01B8DD}" destId="{6211EDF5-1244-4275-91E7-798F12079ED1}" srcOrd="0" destOrd="0" presId="urn:microsoft.com/office/officeart/2005/8/layout/hierarchy2"/>
    <dgm:cxn modelId="{3B84E927-B06A-4F0A-8258-D2F8B2AA564A}" type="presOf" srcId="{B87E05C6-A969-4664-8CA4-6791AAE25929}" destId="{9ECD74B7-825D-48A9-8867-AE0948CB1823}" srcOrd="1" destOrd="0" presId="urn:microsoft.com/office/officeart/2005/8/layout/hierarchy2"/>
    <dgm:cxn modelId="{574CCF29-20E5-41BB-A475-54C9F08649DA}" type="presOf" srcId="{EADBFF63-98F2-44EA-81A6-672FAEF93A5E}" destId="{6E08EE01-AE02-4FB7-B11D-831F8C7AC806}" srcOrd="1" destOrd="0" presId="urn:microsoft.com/office/officeart/2005/8/layout/hierarchy2"/>
    <dgm:cxn modelId="{00A5362A-F8AD-412D-9AD2-7E6375CB0D7C}" type="presOf" srcId="{2F7ED6DD-F539-4E96-9229-EF390E94A828}" destId="{28CC1DCA-71F4-4E0B-969F-914AA49FB747}" srcOrd="0" destOrd="0" presId="urn:microsoft.com/office/officeart/2005/8/layout/hierarchy2"/>
    <dgm:cxn modelId="{18D5C32A-117F-403F-9844-62902B093E36}" type="presOf" srcId="{208AB8AE-9590-4B8B-B8F3-096F4D3FF9AD}" destId="{2D9140B1-8CC2-4B68-823E-A93FD93478D6}" srcOrd="0" destOrd="0" presId="urn:microsoft.com/office/officeart/2005/8/layout/hierarchy2"/>
    <dgm:cxn modelId="{D856362F-F183-4011-B122-4458E102867A}" type="presOf" srcId="{89EFD753-6768-47EF-9CF3-33FB6A319A3C}" destId="{3E663DA9-397A-407D-AED2-F955C41FDD4E}" srcOrd="0" destOrd="0" presId="urn:microsoft.com/office/officeart/2005/8/layout/hierarchy2"/>
    <dgm:cxn modelId="{5A856132-85A8-4165-BC97-0C0594937C64}" srcId="{8302FA1F-C1D8-41F1-8739-81447ECB1646}" destId="{EE08D5F0-E3F7-47E5-BFC0-9E6029CC3D25}" srcOrd="1" destOrd="0" parTransId="{EB4FC790-3FBC-4C9F-88A0-A6E618BD7692}" sibTransId="{A0A36024-6970-44E0-B914-B5DB69253EBA}"/>
    <dgm:cxn modelId="{29B5BF33-EFB1-4FBA-84F5-DD3D5597E5DE}" type="presOf" srcId="{FB0F6653-385E-454E-B182-BA6D92F04C70}" destId="{9CAF720B-71BF-4AF3-8809-13D401E712E0}" srcOrd="1" destOrd="0" presId="urn:microsoft.com/office/officeart/2005/8/layout/hierarchy2"/>
    <dgm:cxn modelId="{88ED1F37-DC73-445F-ADDE-6095881A8F6E}" srcId="{E06879DB-0BAD-4BDA-8E72-77D02D01B8DD}" destId="{110B5FF0-4845-4807-95B8-FF771603EAC6}" srcOrd="1" destOrd="0" parTransId="{208AB8AE-9590-4B8B-B8F3-096F4D3FF9AD}" sibTransId="{74292A2D-FF88-444B-A652-947BBFDFEE1B}"/>
    <dgm:cxn modelId="{71DC295B-446E-4023-A25E-DA9BA180E2DD}" type="presOf" srcId="{FB0F6653-385E-454E-B182-BA6D92F04C70}" destId="{1C3C7D26-9BDA-45D3-B132-852A3842B3EF}" srcOrd="0" destOrd="0" presId="urn:microsoft.com/office/officeart/2005/8/layout/hierarchy2"/>
    <dgm:cxn modelId="{8B985D5C-7D91-427B-B800-0738D33E8818}" type="presOf" srcId="{3D09377C-D1CC-4F06-BCA3-9AB562A268D8}" destId="{381B02B1-5D29-4593-B0CD-975C15760987}" srcOrd="1" destOrd="0" presId="urn:microsoft.com/office/officeart/2005/8/layout/hierarchy2"/>
    <dgm:cxn modelId="{0B91CF5F-C5C4-446A-A336-EDA4E449DCB8}" srcId="{D537567E-0ED4-4F43-AD6A-D1D2073AB8F7}" destId="{FCDDB718-E91C-446B-A31D-1DE9D3C87C59}" srcOrd="1" destOrd="0" parTransId="{EADBFF63-98F2-44EA-81A6-672FAEF93A5E}" sibTransId="{61DA7BBC-1D84-4CA4-A977-AC7F81896276}"/>
    <dgm:cxn modelId="{FAC95E42-F976-4BF0-BB46-B9C30A481D54}" type="presOf" srcId="{430FA73B-1A01-4612-B497-AE3C8041DDB6}" destId="{505B2872-AA8E-4E3F-890F-D8C71C5B896B}" srcOrd="0" destOrd="0" presId="urn:microsoft.com/office/officeart/2005/8/layout/hierarchy2"/>
    <dgm:cxn modelId="{8B0B9F42-8332-4B09-A524-973EDF5C4233}" type="presOf" srcId="{EF5D1C9F-ABA4-410B-8720-EF07116433B1}" destId="{BF2C04F5-70D9-4F98-88F1-CFA67AAFA4FB}" srcOrd="1" destOrd="0" presId="urn:microsoft.com/office/officeart/2005/8/layout/hierarchy2"/>
    <dgm:cxn modelId="{5785A264-DFB4-4990-AD10-87F50E3A55E1}" srcId="{D537567E-0ED4-4F43-AD6A-D1D2073AB8F7}" destId="{A7BE1808-920B-42CB-9A27-398CE9EA3A11}" srcOrd="0" destOrd="0" parTransId="{EF5D1C9F-ABA4-410B-8720-EF07116433B1}" sibTransId="{6CEEB19E-BBA2-4D37-AFE5-0F7094C2E30E}"/>
    <dgm:cxn modelId="{8A281E65-074D-48AF-99CD-3CBC60C36CB9}" type="presOf" srcId="{834BDA24-2DFD-42E6-817F-04CC6AA9B29D}" destId="{06F3B3D9-09D1-434E-B048-5DB70E6E48A2}" srcOrd="0" destOrd="0" presId="urn:microsoft.com/office/officeart/2005/8/layout/hierarchy2"/>
    <dgm:cxn modelId="{7E036E47-0297-444E-BADF-A1516674C930}" srcId="{E06879DB-0BAD-4BDA-8E72-77D02D01B8DD}" destId="{A60E001F-4A4F-490D-B88F-5A1455D9E9AA}" srcOrd="5" destOrd="0" parTransId="{71DA0B47-D6F4-445C-A52B-4FCC3066FAE7}" sibTransId="{91E1416A-B9AA-460E-9E0F-044E6CB393DE}"/>
    <dgm:cxn modelId="{82C91469-48CF-4CAC-9CFA-80FF8516AA40}" type="presOf" srcId="{5D55AF44-C541-4A63-A581-C83FC49F29B4}" destId="{377D6002-938C-4EE5-B63A-8C4DA01E7BC2}" srcOrd="1" destOrd="0" presId="urn:microsoft.com/office/officeart/2005/8/layout/hierarchy2"/>
    <dgm:cxn modelId="{5553EB69-7DA6-4342-95BD-CA3A40ABAE6E}" type="presOf" srcId="{3D09377C-D1CC-4F06-BCA3-9AB562A268D8}" destId="{EC1424CF-E43F-41BB-B104-510D39A1FB28}" srcOrd="0" destOrd="0" presId="urn:microsoft.com/office/officeart/2005/8/layout/hierarchy2"/>
    <dgm:cxn modelId="{CDE5584A-C163-47C2-B820-FAE78266B2FC}" type="presOf" srcId="{709F3DFE-7B7B-43DB-9E5F-53149F24E852}" destId="{B9174077-57D4-4789-BB96-B621F4BB7560}" srcOrd="1" destOrd="0" presId="urn:microsoft.com/office/officeart/2005/8/layout/hierarchy2"/>
    <dgm:cxn modelId="{758CED6D-9378-4C78-AC46-1DE3318EEFB1}" type="presOf" srcId="{EB4FC790-3FBC-4C9F-88A0-A6E618BD7692}" destId="{6FF0571C-01C2-4F55-AC7D-CBC18ECDA9CA}" srcOrd="0" destOrd="0" presId="urn:microsoft.com/office/officeart/2005/8/layout/hierarchy2"/>
    <dgm:cxn modelId="{A2B0A66F-A30E-4D46-8490-09477784F1A9}" type="presOf" srcId="{8E25D3BB-F5F7-4D8B-BEF4-1DE6A91D0489}" destId="{712E6533-A83A-45B5-AB0F-713D3C134F91}" srcOrd="1" destOrd="0" presId="urn:microsoft.com/office/officeart/2005/8/layout/hierarchy2"/>
    <dgm:cxn modelId="{F290A650-9E8A-4EB6-AF34-82FA9D762FAF}" type="presOf" srcId="{110B5FF0-4845-4807-95B8-FF771603EAC6}" destId="{BEBE6058-B1E0-488C-B523-79D7B3B13F3A}" srcOrd="0" destOrd="0" presId="urn:microsoft.com/office/officeart/2005/8/layout/hierarchy2"/>
    <dgm:cxn modelId="{E0B24F51-20E6-4174-93CE-C959E16B120C}" type="presOf" srcId="{FCDDB718-E91C-446B-A31D-1DE9D3C87C59}" destId="{2312D824-FD07-41D3-A4DB-A8166DE148B8}" srcOrd="0" destOrd="0" presId="urn:microsoft.com/office/officeart/2005/8/layout/hierarchy2"/>
    <dgm:cxn modelId="{5F8CEF73-9BAF-4E9E-9FE5-72C426B3B8CA}" type="presOf" srcId="{8E25D3BB-F5F7-4D8B-BEF4-1DE6A91D0489}" destId="{6DC709CC-E371-40DF-AF9D-2B1782F2B59A}" srcOrd="0" destOrd="0" presId="urn:microsoft.com/office/officeart/2005/8/layout/hierarchy2"/>
    <dgm:cxn modelId="{EE674274-44AF-4D13-9CE2-D60457E0E41D}" type="presOf" srcId="{EF5D1C9F-ABA4-410B-8720-EF07116433B1}" destId="{CB47FD0A-7D63-4527-810A-E96F589CF9A6}" srcOrd="0" destOrd="0" presId="urn:microsoft.com/office/officeart/2005/8/layout/hierarchy2"/>
    <dgm:cxn modelId="{49FB7559-4804-4723-932B-D405EEC8BAD6}" type="presOf" srcId="{432B9948-CC08-4FC1-BD4A-823AE8A734A7}" destId="{477F4DE0-6ED5-4767-A5B4-D397AECE6401}" srcOrd="0" destOrd="0" presId="urn:microsoft.com/office/officeart/2005/8/layout/hierarchy2"/>
    <dgm:cxn modelId="{D7DEAA80-A9B3-4620-95F7-1802D344DB7A}" type="presOf" srcId="{EE08D5F0-E3F7-47E5-BFC0-9E6029CC3D25}" destId="{87AC0D2A-F439-47BF-9D14-FAE010AE80E0}" srcOrd="0" destOrd="0" presId="urn:microsoft.com/office/officeart/2005/8/layout/hierarchy2"/>
    <dgm:cxn modelId="{2BF6A181-8B39-409A-9D0E-BE3181E1B239}" type="presOf" srcId="{208AB8AE-9590-4B8B-B8F3-096F4D3FF9AD}" destId="{9BD62FA6-BF16-4EEC-80B0-7DB13F15C7E8}" srcOrd="1" destOrd="0" presId="urn:microsoft.com/office/officeart/2005/8/layout/hierarchy2"/>
    <dgm:cxn modelId="{3E798289-F666-46BB-821F-A9659D56342E}" type="presOf" srcId="{709F3DFE-7B7B-43DB-9E5F-53149F24E852}" destId="{C655E44D-8A58-4B4F-AB76-E6E5E0E55FAB}" srcOrd="0" destOrd="0" presId="urn:microsoft.com/office/officeart/2005/8/layout/hierarchy2"/>
    <dgm:cxn modelId="{159AD88F-B748-400F-B1CC-A47C095D9F5E}" srcId="{E06879DB-0BAD-4BDA-8E72-77D02D01B8DD}" destId="{430FA73B-1A01-4612-B497-AE3C8041DDB6}" srcOrd="0" destOrd="0" parTransId="{B87E05C6-A969-4664-8CA4-6791AAE25929}" sibTransId="{72DAB1A8-DD8D-4952-9B21-3DFECA3E0996}"/>
    <dgm:cxn modelId="{EC50B493-7F65-4B30-BE52-CCDC3E070072}" type="presOf" srcId="{32647197-9C60-4262-823C-6E9F2920028D}" destId="{135163E5-EC3C-4AE3-9EF8-A18FAA2E5235}" srcOrd="0" destOrd="0" presId="urn:microsoft.com/office/officeart/2005/8/layout/hierarchy2"/>
    <dgm:cxn modelId="{A41B829A-A53B-48F0-97F2-8FEB638170F2}" type="presOf" srcId="{71DA0B47-D6F4-445C-A52B-4FCC3066FAE7}" destId="{2FE3C730-38F2-4DEB-8369-46F7EDD20142}" srcOrd="0" destOrd="0" presId="urn:microsoft.com/office/officeart/2005/8/layout/hierarchy2"/>
    <dgm:cxn modelId="{7FF0BDA9-26F2-4670-A689-03480076F3DD}" srcId="{96858040-917A-4F3E-ABED-12F44B4B3A44}" destId="{E06879DB-0BAD-4BDA-8E72-77D02D01B8DD}" srcOrd="0" destOrd="0" parTransId="{EEB106B2-30CC-4CA5-ABFE-9B7C732E7979}" sibTransId="{0615458B-D001-400B-9C76-C202AB7EF428}"/>
    <dgm:cxn modelId="{060906AF-86E0-4C6F-A473-C261F95DFF20}" type="presOf" srcId="{B87E05C6-A969-4664-8CA4-6791AAE25929}" destId="{0551FD7A-D00B-4A6C-AA37-973B9FF78D59}" srcOrd="0" destOrd="0" presId="urn:microsoft.com/office/officeart/2005/8/layout/hierarchy2"/>
    <dgm:cxn modelId="{5DD064B3-22A2-4F43-AFEB-069E9485FD9D}" type="presOf" srcId="{CDDCFD80-23C3-4DAC-BD8E-5CB172A57C4A}" destId="{D2CB0D16-207B-47D2-BE1A-5C5BD39D5C38}" srcOrd="0" destOrd="0" presId="urn:microsoft.com/office/officeart/2005/8/layout/hierarchy2"/>
    <dgm:cxn modelId="{7C6476BB-0CCB-49CB-A8B6-F1166DC2817E}" type="presOf" srcId="{5D55AF44-C541-4A63-A581-C83FC49F29B4}" destId="{B965D337-7D17-4E05-ACE5-B73BCB90729B}" srcOrd="0" destOrd="0" presId="urn:microsoft.com/office/officeart/2005/8/layout/hierarchy2"/>
    <dgm:cxn modelId="{C304C7BC-D80B-4EF1-B822-0015AD3ED839}" srcId="{8302FA1F-C1D8-41F1-8739-81447ECB1646}" destId="{2F7ED6DD-F539-4E96-9229-EF390E94A828}" srcOrd="0" destOrd="0" parTransId="{CDDCFD80-23C3-4DAC-BD8E-5CB172A57C4A}" sibTransId="{67E6643A-AF91-4164-A00C-FA8DD73528A9}"/>
    <dgm:cxn modelId="{469EE0C0-780B-4249-82C6-DCB2FD2C90AC}" srcId="{E06879DB-0BAD-4BDA-8E72-77D02D01B8DD}" destId="{432B9948-CC08-4FC1-BD4A-823AE8A734A7}" srcOrd="3" destOrd="0" parTransId="{5D55AF44-C541-4A63-A581-C83FC49F29B4}" sibTransId="{DCAB0F89-2318-4DFD-8183-2173AB9DBFE2}"/>
    <dgm:cxn modelId="{AC63F9C7-5963-49FD-9ABF-E573111C4C4F}" type="presOf" srcId="{CB1EF45B-E2E0-4AA4-9659-BFCBE91D7E75}" destId="{51D73C36-844A-4698-A93C-24D897E2620D}" srcOrd="0" destOrd="0" presId="urn:microsoft.com/office/officeart/2005/8/layout/hierarchy2"/>
    <dgm:cxn modelId="{C3D372CF-E1CA-4C06-B149-9DDDF1945294}" type="presOf" srcId="{EB4FC790-3FBC-4C9F-88A0-A6E618BD7692}" destId="{34BC07AC-3F16-4B12-B486-9E695B585621}" srcOrd="1" destOrd="0" presId="urn:microsoft.com/office/officeart/2005/8/layout/hierarchy2"/>
    <dgm:cxn modelId="{A9FD18D0-55AD-4E92-837A-48C5F193F661}" srcId="{8302FA1F-C1D8-41F1-8739-81447ECB1646}" destId="{35FB169F-271A-4D55-B7C8-F676495CF0DE}" srcOrd="2" destOrd="0" parTransId="{32647197-9C60-4262-823C-6E9F2920028D}" sibTransId="{ED29E6DD-31FE-4DD7-96D6-B78A8B475E25}"/>
    <dgm:cxn modelId="{B779C1D2-8654-4D60-8EF9-9C708B17A2AA}" srcId="{E06879DB-0BAD-4BDA-8E72-77D02D01B8DD}" destId="{8302FA1F-C1D8-41F1-8739-81447ECB1646}" srcOrd="4" destOrd="0" parTransId="{8E25D3BB-F5F7-4D8B-BEF4-1DE6A91D0489}" sibTransId="{3786042B-5790-4803-AA31-E54FEBE2B036}"/>
    <dgm:cxn modelId="{85F88ED6-6E64-469A-A1D9-FE0A784BD87C}" type="presOf" srcId="{EADBFF63-98F2-44EA-81A6-672FAEF93A5E}" destId="{7F253EAF-1F89-42DA-9840-8225D280DDA2}" srcOrd="0" destOrd="0" presId="urn:microsoft.com/office/officeart/2005/8/layout/hierarchy2"/>
    <dgm:cxn modelId="{F07F78D7-D791-440C-966E-3144971A3A5E}" type="presOf" srcId="{32647197-9C60-4262-823C-6E9F2920028D}" destId="{53DA4C10-2F54-4830-833D-459FD73FB309}" srcOrd="1" destOrd="0" presId="urn:microsoft.com/office/officeart/2005/8/layout/hierarchy2"/>
    <dgm:cxn modelId="{A641F0DA-8B58-43EF-81E7-D3F92F4CD0DD}" type="presOf" srcId="{AF25C3A0-6E55-42C3-8833-04C8FDE87F64}" destId="{B8D2DAA9-5809-4A53-8547-2143AF398530}" srcOrd="0" destOrd="0" presId="urn:microsoft.com/office/officeart/2005/8/layout/hierarchy2"/>
    <dgm:cxn modelId="{3C5EBCDF-0CD1-486C-BAE3-ADECF4E34483}" type="presOf" srcId="{35FB169F-271A-4D55-B7C8-F676495CF0DE}" destId="{C011210A-57EB-4D42-839E-71E729D85944}" srcOrd="0" destOrd="0" presId="urn:microsoft.com/office/officeart/2005/8/layout/hierarchy2"/>
    <dgm:cxn modelId="{408853E0-2F10-4676-B9D0-F6BF25B9A9A7}" type="presOf" srcId="{91CD657E-BD50-4C28-9869-D5D21B2BA3F0}" destId="{624BB9C2-9E41-4265-BF81-68B10401DA24}" srcOrd="0" destOrd="0" presId="urn:microsoft.com/office/officeart/2005/8/layout/hierarchy2"/>
    <dgm:cxn modelId="{E364CFE4-A832-4BCF-90DF-C66180FD02BB}" type="presOf" srcId="{89EFD753-6768-47EF-9CF3-33FB6A319A3C}" destId="{9F558E0F-5EDC-4EF6-9E5B-A5EF1C6229BC}" srcOrd="1" destOrd="0" presId="urn:microsoft.com/office/officeart/2005/8/layout/hierarchy2"/>
    <dgm:cxn modelId="{389B8DEA-88A7-4EF7-8007-1061FA174489}" srcId="{E06879DB-0BAD-4BDA-8E72-77D02D01B8DD}" destId="{834BDA24-2DFD-42E6-817F-04CC6AA9B29D}" srcOrd="6" destOrd="0" parTransId="{AF25C3A0-6E55-42C3-8833-04C8FDE87F64}" sibTransId="{5F44E4B1-1C36-4A22-8E44-0FCDE50FEDD7}"/>
    <dgm:cxn modelId="{321886F1-B96D-4331-8FB8-6FCB4B899095}" type="presOf" srcId="{8302FA1F-C1D8-41F1-8739-81447ECB1646}" destId="{8E72ED94-4778-42A2-B7FF-431040BCF398}" srcOrd="0" destOrd="0" presId="urn:microsoft.com/office/officeart/2005/8/layout/hierarchy2"/>
    <dgm:cxn modelId="{AE611AF4-B27D-4CE9-AA76-AE036BCB21F8}" type="presOf" srcId="{D537567E-0ED4-4F43-AD6A-D1D2073AB8F7}" destId="{3F8BCCBF-1960-40AE-94B4-4F2591EB8398}" srcOrd="0" destOrd="0" presId="urn:microsoft.com/office/officeart/2005/8/layout/hierarchy2"/>
    <dgm:cxn modelId="{4DFFB2F9-5C85-4BF2-9D8D-86E6ABAB81C3}" type="presOf" srcId="{71DA0B47-D6F4-445C-A52B-4FCC3066FAE7}" destId="{49D8F3A8-E5ED-4863-9A2D-A1E28DBDBE3C}" srcOrd="1" destOrd="0" presId="urn:microsoft.com/office/officeart/2005/8/layout/hierarchy2"/>
    <dgm:cxn modelId="{032708FB-7C36-4A0E-B72E-FCBDB7158016}" srcId="{110B5FF0-4845-4807-95B8-FF771603EAC6}" destId="{D8949B98-1309-4461-BA37-9407CDE1C1BE}" srcOrd="1" destOrd="0" parTransId="{89EFD753-6768-47EF-9CF3-33FB6A319A3C}" sibTransId="{C53DC3DE-4D2F-492F-A787-998AEFA5A007}"/>
    <dgm:cxn modelId="{21F067FC-EE51-47D7-B8E3-52B24B55B031}" type="presOf" srcId="{A7BE1808-920B-42CB-9A27-398CE9EA3A11}" destId="{80FFE882-94B9-4C61-AF32-E679C644FE7E}" srcOrd="0" destOrd="0" presId="urn:microsoft.com/office/officeart/2005/8/layout/hierarchy2"/>
    <dgm:cxn modelId="{686F18FD-AD65-4A70-9B4E-4FA57FD22551}" type="presOf" srcId="{CDDCFD80-23C3-4DAC-BD8E-5CB172A57C4A}" destId="{81621954-892F-4FCC-B3AE-328229306A1A}" srcOrd="1" destOrd="0" presId="urn:microsoft.com/office/officeart/2005/8/layout/hierarchy2"/>
    <dgm:cxn modelId="{7640838D-08AA-4873-98D7-A05DA99A1E9B}" type="presParOf" srcId="{D2EA5C90-1A0D-4236-B088-C5553DDF3F2F}" destId="{A9407A9B-768A-4F68-B61A-5BCB8E2087AA}" srcOrd="0" destOrd="0" presId="urn:microsoft.com/office/officeart/2005/8/layout/hierarchy2"/>
    <dgm:cxn modelId="{73890DE0-0825-4007-91F5-9204C5DA43CD}" type="presParOf" srcId="{A9407A9B-768A-4F68-B61A-5BCB8E2087AA}" destId="{6211EDF5-1244-4275-91E7-798F12079ED1}" srcOrd="0" destOrd="0" presId="urn:microsoft.com/office/officeart/2005/8/layout/hierarchy2"/>
    <dgm:cxn modelId="{C4DF8761-C7BA-4ADD-BA83-7029576DC799}" type="presParOf" srcId="{A9407A9B-768A-4F68-B61A-5BCB8E2087AA}" destId="{BC2C44A8-2BAE-4CCC-AFEF-4AACED976071}" srcOrd="1" destOrd="0" presId="urn:microsoft.com/office/officeart/2005/8/layout/hierarchy2"/>
    <dgm:cxn modelId="{CBA2DFD8-EAB9-45F7-8747-9E800FD2A384}" type="presParOf" srcId="{BC2C44A8-2BAE-4CCC-AFEF-4AACED976071}" destId="{0551FD7A-D00B-4A6C-AA37-973B9FF78D59}" srcOrd="0" destOrd="0" presId="urn:microsoft.com/office/officeart/2005/8/layout/hierarchy2"/>
    <dgm:cxn modelId="{C75FBA5E-7E5D-42A5-AEDC-C4AF61896FC2}" type="presParOf" srcId="{0551FD7A-D00B-4A6C-AA37-973B9FF78D59}" destId="{9ECD74B7-825D-48A9-8867-AE0948CB1823}" srcOrd="0" destOrd="0" presId="urn:microsoft.com/office/officeart/2005/8/layout/hierarchy2"/>
    <dgm:cxn modelId="{5D3DBDDE-CD5C-4E8E-9B2A-2E36084392E8}" type="presParOf" srcId="{BC2C44A8-2BAE-4CCC-AFEF-4AACED976071}" destId="{F51C5426-9345-4B65-BDD2-4A4A312176FE}" srcOrd="1" destOrd="0" presId="urn:microsoft.com/office/officeart/2005/8/layout/hierarchy2"/>
    <dgm:cxn modelId="{254E9936-F01C-49E4-8A38-05F725F64DDC}" type="presParOf" srcId="{F51C5426-9345-4B65-BDD2-4A4A312176FE}" destId="{505B2872-AA8E-4E3F-890F-D8C71C5B896B}" srcOrd="0" destOrd="0" presId="urn:microsoft.com/office/officeart/2005/8/layout/hierarchy2"/>
    <dgm:cxn modelId="{522D7FED-405A-4A4D-BF14-6034DE39CD0B}" type="presParOf" srcId="{F51C5426-9345-4B65-BDD2-4A4A312176FE}" destId="{AA03D169-B7AC-44DA-AD1D-61C30CFAC42C}" srcOrd="1" destOrd="0" presId="urn:microsoft.com/office/officeart/2005/8/layout/hierarchy2"/>
    <dgm:cxn modelId="{57F8C921-4CBE-4DE9-8544-DEA4831F8DD7}" type="presParOf" srcId="{BC2C44A8-2BAE-4CCC-AFEF-4AACED976071}" destId="{2D9140B1-8CC2-4B68-823E-A93FD93478D6}" srcOrd="2" destOrd="0" presId="urn:microsoft.com/office/officeart/2005/8/layout/hierarchy2"/>
    <dgm:cxn modelId="{EE5B954F-3F78-4D8E-9CAC-8166E2D420A4}" type="presParOf" srcId="{2D9140B1-8CC2-4B68-823E-A93FD93478D6}" destId="{9BD62FA6-BF16-4EEC-80B0-7DB13F15C7E8}" srcOrd="0" destOrd="0" presId="urn:microsoft.com/office/officeart/2005/8/layout/hierarchy2"/>
    <dgm:cxn modelId="{79B92721-7C5D-4FD8-A304-369B8F96268C}" type="presParOf" srcId="{BC2C44A8-2BAE-4CCC-AFEF-4AACED976071}" destId="{EAFEF337-3640-4856-97E1-91418CA2EC8A}" srcOrd="3" destOrd="0" presId="urn:microsoft.com/office/officeart/2005/8/layout/hierarchy2"/>
    <dgm:cxn modelId="{C9C54236-677A-4FDF-8415-E82AD40B91F8}" type="presParOf" srcId="{EAFEF337-3640-4856-97E1-91418CA2EC8A}" destId="{BEBE6058-B1E0-488C-B523-79D7B3B13F3A}" srcOrd="0" destOrd="0" presId="urn:microsoft.com/office/officeart/2005/8/layout/hierarchy2"/>
    <dgm:cxn modelId="{5E23200E-552A-48E7-9549-8A3BB19EEF15}" type="presParOf" srcId="{EAFEF337-3640-4856-97E1-91418CA2EC8A}" destId="{FC23A3FB-8711-46B3-A983-1DD48B829BA6}" srcOrd="1" destOrd="0" presId="urn:microsoft.com/office/officeart/2005/8/layout/hierarchy2"/>
    <dgm:cxn modelId="{AAD7901D-BC89-482D-A08F-FF29D48E7969}" type="presParOf" srcId="{FC23A3FB-8711-46B3-A983-1DD48B829BA6}" destId="{C655E44D-8A58-4B4F-AB76-E6E5E0E55FAB}" srcOrd="0" destOrd="0" presId="urn:microsoft.com/office/officeart/2005/8/layout/hierarchy2"/>
    <dgm:cxn modelId="{965C7460-808E-4264-9899-6F191DC30F2F}" type="presParOf" srcId="{C655E44D-8A58-4B4F-AB76-E6E5E0E55FAB}" destId="{B9174077-57D4-4789-BB96-B621F4BB7560}" srcOrd="0" destOrd="0" presId="urn:microsoft.com/office/officeart/2005/8/layout/hierarchy2"/>
    <dgm:cxn modelId="{3E3945C5-BB77-4207-8654-A85866BBC19E}" type="presParOf" srcId="{FC23A3FB-8711-46B3-A983-1DD48B829BA6}" destId="{9A3D9A12-5054-4CC5-ADCC-132A6688B915}" srcOrd="1" destOrd="0" presId="urn:microsoft.com/office/officeart/2005/8/layout/hierarchy2"/>
    <dgm:cxn modelId="{18930F2D-B261-4277-8D74-BBC534844577}" type="presParOf" srcId="{9A3D9A12-5054-4CC5-ADCC-132A6688B915}" destId="{624BB9C2-9E41-4265-BF81-68B10401DA24}" srcOrd="0" destOrd="0" presId="urn:microsoft.com/office/officeart/2005/8/layout/hierarchy2"/>
    <dgm:cxn modelId="{8FE902D2-F363-4222-97DA-CA715F0BF12A}" type="presParOf" srcId="{9A3D9A12-5054-4CC5-ADCC-132A6688B915}" destId="{08C32BC7-E18A-428A-A8B2-651290237AE1}" srcOrd="1" destOrd="0" presId="urn:microsoft.com/office/officeart/2005/8/layout/hierarchy2"/>
    <dgm:cxn modelId="{0A61F5E6-F047-45B8-BE84-14C85F80F5A8}" type="presParOf" srcId="{FC23A3FB-8711-46B3-A983-1DD48B829BA6}" destId="{3E663DA9-397A-407D-AED2-F955C41FDD4E}" srcOrd="2" destOrd="0" presId="urn:microsoft.com/office/officeart/2005/8/layout/hierarchy2"/>
    <dgm:cxn modelId="{73057485-0C57-49F4-AD2A-4F3D6B1E8770}" type="presParOf" srcId="{3E663DA9-397A-407D-AED2-F955C41FDD4E}" destId="{9F558E0F-5EDC-4EF6-9E5B-A5EF1C6229BC}" srcOrd="0" destOrd="0" presId="urn:microsoft.com/office/officeart/2005/8/layout/hierarchy2"/>
    <dgm:cxn modelId="{9ED0A871-EB4D-4AB0-9155-BCCD8607BA05}" type="presParOf" srcId="{FC23A3FB-8711-46B3-A983-1DD48B829BA6}" destId="{99320170-4240-43FA-9EDC-F5EFE2713196}" srcOrd="3" destOrd="0" presId="urn:microsoft.com/office/officeart/2005/8/layout/hierarchy2"/>
    <dgm:cxn modelId="{A264A31C-81FB-4086-9548-A1A30EE32E90}" type="presParOf" srcId="{99320170-4240-43FA-9EDC-F5EFE2713196}" destId="{E80EEAA3-E0E5-499F-9E2C-731BC607C5D8}" srcOrd="0" destOrd="0" presId="urn:microsoft.com/office/officeart/2005/8/layout/hierarchy2"/>
    <dgm:cxn modelId="{2B64CA7C-1403-49BA-96C3-121BF16EA041}" type="presParOf" srcId="{99320170-4240-43FA-9EDC-F5EFE2713196}" destId="{22F0AAEE-9C68-4663-89F1-B65D0654FB6A}" srcOrd="1" destOrd="0" presId="urn:microsoft.com/office/officeart/2005/8/layout/hierarchy2"/>
    <dgm:cxn modelId="{A90F4444-BFFC-4695-9C8D-0F7763A510CC}" type="presParOf" srcId="{FC23A3FB-8711-46B3-A983-1DD48B829BA6}" destId="{EC1424CF-E43F-41BB-B104-510D39A1FB28}" srcOrd="4" destOrd="0" presId="urn:microsoft.com/office/officeart/2005/8/layout/hierarchy2"/>
    <dgm:cxn modelId="{3855DAB8-2105-4C7E-9355-5E2CBD56C2F0}" type="presParOf" srcId="{EC1424CF-E43F-41BB-B104-510D39A1FB28}" destId="{381B02B1-5D29-4593-B0CD-975C15760987}" srcOrd="0" destOrd="0" presId="urn:microsoft.com/office/officeart/2005/8/layout/hierarchy2"/>
    <dgm:cxn modelId="{E9756C46-5A92-40D8-82F7-DD0E916EA15A}" type="presParOf" srcId="{FC23A3FB-8711-46B3-A983-1DD48B829BA6}" destId="{2D91C34E-A61B-49C7-85E2-A049857B80CA}" srcOrd="5" destOrd="0" presId="urn:microsoft.com/office/officeart/2005/8/layout/hierarchy2"/>
    <dgm:cxn modelId="{F99E1120-9D99-4631-B4AF-E374A08C9B32}" type="presParOf" srcId="{2D91C34E-A61B-49C7-85E2-A049857B80CA}" destId="{51D73C36-844A-4698-A93C-24D897E2620D}" srcOrd="0" destOrd="0" presId="urn:microsoft.com/office/officeart/2005/8/layout/hierarchy2"/>
    <dgm:cxn modelId="{A2957025-6381-4F05-B2A7-F9C78AE0D28F}" type="presParOf" srcId="{2D91C34E-A61B-49C7-85E2-A049857B80CA}" destId="{9910F328-A208-4C8E-8342-ECE49C77D6EA}" srcOrd="1" destOrd="0" presId="urn:microsoft.com/office/officeart/2005/8/layout/hierarchy2"/>
    <dgm:cxn modelId="{62EEB18A-F8AC-43E6-90EC-5DC0EF1887FF}" type="presParOf" srcId="{BC2C44A8-2BAE-4CCC-AFEF-4AACED976071}" destId="{1C3C7D26-9BDA-45D3-B132-852A3842B3EF}" srcOrd="4" destOrd="0" presId="urn:microsoft.com/office/officeart/2005/8/layout/hierarchy2"/>
    <dgm:cxn modelId="{B7D43084-0BDB-471A-A8D5-7A2C8947D337}" type="presParOf" srcId="{1C3C7D26-9BDA-45D3-B132-852A3842B3EF}" destId="{9CAF720B-71BF-4AF3-8809-13D401E712E0}" srcOrd="0" destOrd="0" presId="urn:microsoft.com/office/officeart/2005/8/layout/hierarchy2"/>
    <dgm:cxn modelId="{C2C6E654-C387-43CB-98A9-7AF18BEA71A4}" type="presParOf" srcId="{BC2C44A8-2BAE-4CCC-AFEF-4AACED976071}" destId="{C7F21BA8-A5EB-469B-AD17-6A6A1390362C}" srcOrd="5" destOrd="0" presId="urn:microsoft.com/office/officeart/2005/8/layout/hierarchy2"/>
    <dgm:cxn modelId="{3EC0F02D-855C-4D15-B2DE-20F0F9DCC8E2}" type="presParOf" srcId="{C7F21BA8-A5EB-469B-AD17-6A6A1390362C}" destId="{3F8BCCBF-1960-40AE-94B4-4F2591EB8398}" srcOrd="0" destOrd="0" presId="urn:microsoft.com/office/officeart/2005/8/layout/hierarchy2"/>
    <dgm:cxn modelId="{3B72610B-6771-479E-B0EE-5E9D073FE57F}" type="presParOf" srcId="{C7F21BA8-A5EB-469B-AD17-6A6A1390362C}" destId="{87C8B7CC-B6CF-4877-9948-89B39D5C8323}" srcOrd="1" destOrd="0" presId="urn:microsoft.com/office/officeart/2005/8/layout/hierarchy2"/>
    <dgm:cxn modelId="{E8B012A6-15A5-48C6-831B-F11FBC27EC74}" type="presParOf" srcId="{87C8B7CC-B6CF-4877-9948-89B39D5C8323}" destId="{CB47FD0A-7D63-4527-810A-E96F589CF9A6}" srcOrd="0" destOrd="0" presId="urn:microsoft.com/office/officeart/2005/8/layout/hierarchy2"/>
    <dgm:cxn modelId="{108082BC-FBC3-4046-BEDE-031DE46BF448}" type="presParOf" srcId="{CB47FD0A-7D63-4527-810A-E96F589CF9A6}" destId="{BF2C04F5-70D9-4F98-88F1-CFA67AAFA4FB}" srcOrd="0" destOrd="0" presId="urn:microsoft.com/office/officeart/2005/8/layout/hierarchy2"/>
    <dgm:cxn modelId="{54543682-6F26-41FD-8291-BF4605814978}" type="presParOf" srcId="{87C8B7CC-B6CF-4877-9948-89B39D5C8323}" destId="{8022DC5F-DB05-4F2C-8204-52773D052221}" srcOrd="1" destOrd="0" presId="urn:microsoft.com/office/officeart/2005/8/layout/hierarchy2"/>
    <dgm:cxn modelId="{C213F31F-0F16-4EA2-84DB-F0B9C3E5D265}" type="presParOf" srcId="{8022DC5F-DB05-4F2C-8204-52773D052221}" destId="{80FFE882-94B9-4C61-AF32-E679C644FE7E}" srcOrd="0" destOrd="0" presId="urn:microsoft.com/office/officeart/2005/8/layout/hierarchy2"/>
    <dgm:cxn modelId="{5BA8BA3C-812A-463B-AD04-272FB781062F}" type="presParOf" srcId="{8022DC5F-DB05-4F2C-8204-52773D052221}" destId="{C2AC0EDE-A09D-46E9-AD60-9A04015D7EB5}" srcOrd="1" destOrd="0" presId="urn:microsoft.com/office/officeart/2005/8/layout/hierarchy2"/>
    <dgm:cxn modelId="{AD798949-1621-46FC-A9FD-83A3FD92E380}" type="presParOf" srcId="{87C8B7CC-B6CF-4877-9948-89B39D5C8323}" destId="{7F253EAF-1F89-42DA-9840-8225D280DDA2}" srcOrd="2" destOrd="0" presId="urn:microsoft.com/office/officeart/2005/8/layout/hierarchy2"/>
    <dgm:cxn modelId="{69DFDD23-2956-481A-9CB6-C59ED8AC6E89}" type="presParOf" srcId="{7F253EAF-1F89-42DA-9840-8225D280DDA2}" destId="{6E08EE01-AE02-4FB7-B11D-831F8C7AC806}" srcOrd="0" destOrd="0" presId="urn:microsoft.com/office/officeart/2005/8/layout/hierarchy2"/>
    <dgm:cxn modelId="{5D8EA159-8E3F-4F94-B693-F569C0B084EA}" type="presParOf" srcId="{87C8B7CC-B6CF-4877-9948-89B39D5C8323}" destId="{4324C1CF-51E9-414C-8DAC-4B04D49818D6}" srcOrd="3" destOrd="0" presId="urn:microsoft.com/office/officeart/2005/8/layout/hierarchy2"/>
    <dgm:cxn modelId="{D23C4DE6-C87E-45D7-B4DB-C5A3003CE8A4}" type="presParOf" srcId="{4324C1CF-51E9-414C-8DAC-4B04D49818D6}" destId="{2312D824-FD07-41D3-A4DB-A8166DE148B8}" srcOrd="0" destOrd="0" presId="urn:microsoft.com/office/officeart/2005/8/layout/hierarchy2"/>
    <dgm:cxn modelId="{27B075DF-7CE4-42CF-A3A9-E7A1052FBDF7}" type="presParOf" srcId="{4324C1CF-51E9-414C-8DAC-4B04D49818D6}" destId="{21C2CCFA-724A-412D-94AF-D1999BC06661}" srcOrd="1" destOrd="0" presId="urn:microsoft.com/office/officeart/2005/8/layout/hierarchy2"/>
    <dgm:cxn modelId="{184630C8-6BA4-480E-8966-105FFC75FF32}" type="presParOf" srcId="{BC2C44A8-2BAE-4CCC-AFEF-4AACED976071}" destId="{B965D337-7D17-4E05-ACE5-B73BCB90729B}" srcOrd="6" destOrd="0" presId="urn:microsoft.com/office/officeart/2005/8/layout/hierarchy2"/>
    <dgm:cxn modelId="{937EC4A3-77C7-4778-9167-8851C58555CB}" type="presParOf" srcId="{B965D337-7D17-4E05-ACE5-B73BCB90729B}" destId="{377D6002-938C-4EE5-B63A-8C4DA01E7BC2}" srcOrd="0" destOrd="0" presId="urn:microsoft.com/office/officeart/2005/8/layout/hierarchy2"/>
    <dgm:cxn modelId="{4121DD5E-F716-4E4F-8EC4-A0AFB7DDAD37}" type="presParOf" srcId="{BC2C44A8-2BAE-4CCC-AFEF-4AACED976071}" destId="{097D361D-8772-4E01-A8BD-491768FF55CC}" srcOrd="7" destOrd="0" presId="urn:microsoft.com/office/officeart/2005/8/layout/hierarchy2"/>
    <dgm:cxn modelId="{08206D30-AEE2-47DE-9083-B2ACD694CE42}" type="presParOf" srcId="{097D361D-8772-4E01-A8BD-491768FF55CC}" destId="{477F4DE0-6ED5-4767-A5B4-D397AECE6401}" srcOrd="0" destOrd="0" presId="urn:microsoft.com/office/officeart/2005/8/layout/hierarchy2"/>
    <dgm:cxn modelId="{0D994F05-4BCF-48B6-AB7C-F5AEE3EB5D7B}" type="presParOf" srcId="{097D361D-8772-4E01-A8BD-491768FF55CC}" destId="{6AD45DD4-BC89-4010-868E-FB1F5AFF92EF}" srcOrd="1" destOrd="0" presId="urn:microsoft.com/office/officeart/2005/8/layout/hierarchy2"/>
    <dgm:cxn modelId="{58FD339A-2BB7-4DA0-A5CE-166E5AF43951}" type="presParOf" srcId="{BC2C44A8-2BAE-4CCC-AFEF-4AACED976071}" destId="{6DC709CC-E371-40DF-AF9D-2B1782F2B59A}" srcOrd="8" destOrd="0" presId="urn:microsoft.com/office/officeart/2005/8/layout/hierarchy2"/>
    <dgm:cxn modelId="{DC8716BE-69B7-438B-910B-25946DA94490}" type="presParOf" srcId="{6DC709CC-E371-40DF-AF9D-2B1782F2B59A}" destId="{712E6533-A83A-45B5-AB0F-713D3C134F91}" srcOrd="0" destOrd="0" presId="urn:microsoft.com/office/officeart/2005/8/layout/hierarchy2"/>
    <dgm:cxn modelId="{7F07D563-99B2-47BF-B68C-95F376B08016}" type="presParOf" srcId="{BC2C44A8-2BAE-4CCC-AFEF-4AACED976071}" destId="{C34D1941-B585-46FB-A3F2-0125A93F7B64}" srcOrd="9" destOrd="0" presId="urn:microsoft.com/office/officeart/2005/8/layout/hierarchy2"/>
    <dgm:cxn modelId="{DB0BBF05-6923-4DE2-9EF8-5F9CDAB0424C}" type="presParOf" srcId="{C34D1941-B585-46FB-A3F2-0125A93F7B64}" destId="{8E72ED94-4778-42A2-B7FF-431040BCF398}" srcOrd="0" destOrd="0" presId="urn:microsoft.com/office/officeart/2005/8/layout/hierarchy2"/>
    <dgm:cxn modelId="{CD5DC0F4-8106-498C-96C2-E5D472E59E5E}" type="presParOf" srcId="{C34D1941-B585-46FB-A3F2-0125A93F7B64}" destId="{04048153-80FC-42FC-9880-0961B311AB83}" srcOrd="1" destOrd="0" presId="urn:microsoft.com/office/officeart/2005/8/layout/hierarchy2"/>
    <dgm:cxn modelId="{80964E02-1E3F-4609-AB76-49AFD3C4A05D}" type="presParOf" srcId="{04048153-80FC-42FC-9880-0961B311AB83}" destId="{D2CB0D16-207B-47D2-BE1A-5C5BD39D5C38}" srcOrd="0" destOrd="0" presId="urn:microsoft.com/office/officeart/2005/8/layout/hierarchy2"/>
    <dgm:cxn modelId="{9F24DD42-0026-4373-9079-3EA42AC4CDF8}" type="presParOf" srcId="{D2CB0D16-207B-47D2-BE1A-5C5BD39D5C38}" destId="{81621954-892F-4FCC-B3AE-328229306A1A}" srcOrd="0" destOrd="0" presId="urn:microsoft.com/office/officeart/2005/8/layout/hierarchy2"/>
    <dgm:cxn modelId="{5BFB0F3D-380F-4572-A327-D29BD6799D68}" type="presParOf" srcId="{04048153-80FC-42FC-9880-0961B311AB83}" destId="{561DB343-C7F2-43A7-8AAF-DFB52041747A}" srcOrd="1" destOrd="0" presId="urn:microsoft.com/office/officeart/2005/8/layout/hierarchy2"/>
    <dgm:cxn modelId="{2F39F423-86EE-43A6-B495-D79C7AF60D31}" type="presParOf" srcId="{561DB343-C7F2-43A7-8AAF-DFB52041747A}" destId="{28CC1DCA-71F4-4E0B-969F-914AA49FB747}" srcOrd="0" destOrd="0" presId="urn:microsoft.com/office/officeart/2005/8/layout/hierarchy2"/>
    <dgm:cxn modelId="{6B7BF9A1-5FD0-417B-BBC1-B2164FFAAD02}" type="presParOf" srcId="{561DB343-C7F2-43A7-8AAF-DFB52041747A}" destId="{F58C33B8-A1A6-4E9E-AE7F-261CC091D717}" srcOrd="1" destOrd="0" presId="urn:microsoft.com/office/officeart/2005/8/layout/hierarchy2"/>
    <dgm:cxn modelId="{AB7BE914-6818-411D-8933-C86C7ED10B8F}" type="presParOf" srcId="{04048153-80FC-42FC-9880-0961B311AB83}" destId="{6FF0571C-01C2-4F55-AC7D-CBC18ECDA9CA}" srcOrd="2" destOrd="0" presId="urn:microsoft.com/office/officeart/2005/8/layout/hierarchy2"/>
    <dgm:cxn modelId="{E6B494A7-A21A-401D-8053-FD8E513A7FBB}" type="presParOf" srcId="{6FF0571C-01C2-4F55-AC7D-CBC18ECDA9CA}" destId="{34BC07AC-3F16-4B12-B486-9E695B585621}" srcOrd="0" destOrd="0" presId="urn:microsoft.com/office/officeart/2005/8/layout/hierarchy2"/>
    <dgm:cxn modelId="{2C8BAFC2-BDE3-4E40-A35F-C187A5052351}" type="presParOf" srcId="{04048153-80FC-42FC-9880-0961B311AB83}" destId="{57089079-3B17-434F-B5A2-6BAC640044CB}" srcOrd="3" destOrd="0" presId="urn:microsoft.com/office/officeart/2005/8/layout/hierarchy2"/>
    <dgm:cxn modelId="{D094CF2A-60AA-44E6-8974-6605D024D08D}" type="presParOf" srcId="{57089079-3B17-434F-B5A2-6BAC640044CB}" destId="{87AC0D2A-F439-47BF-9D14-FAE010AE80E0}" srcOrd="0" destOrd="0" presId="urn:microsoft.com/office/officeart/2005/8/layout/hierarchy2"/>
    <dgm:cxn modelId="{036F4552-3A11-4A55-B479-9F53BFE32A91}" type="presParOf" srcId="{57089079-3B17-434F-B5A2-6BAC640044CB}" destId="{E0921B63-E008-4CBA-8D51-92B5A6C3DDF2}" srcOrd="1" destOrd="0" presId="urn:microsoft.com/office/officeart/2005/8/layout/hierarchy2"/>
    <dgm:cxn modelId="{4E287D6C-C139-4460-8827-688950655064}" type="presParOf" srcId="{04048153-80FC-42FC-9880-0961B311AB83}" destId="{135163E5-EC3C-4AE3-9EF8-A18FAA2E5235}" srcOrd="4" destOrd="0" presId="urn:microsoft.com/office/officeart/2005/8/layout/hierarchy2"/>
    <dgm:cxn modelId="{7E23AA8D-9175-436F-BD7B-3DAD7220291C}" type="presParOf" srcId="{135163E5-EC3C-4AE3-9EF8-A18FAA2E5235}" destId="{53DA4C10-2F54-4830-833D-459FD73FB309}" srcOrd="0" destOrd="0" presId="urn:microsoft.com/office/officeart/2005/8/layout/hierarchy2"/>
    <dgm:cxn modelId="{7C7789CE-66E4-4B27-BFC5-571C15DBB99C}" type="presParOf" srcId="{04048153-80FC-42FC-9880-0961B311AB83}" destId="{A31552EA-C093-41FB-9D64-3B868C00AB4C}" srcOrd="5" destOrd="0" presId="urn:microsoft.com/office/officeart/2005/8/layout/hierarchy2"/>
    <dgm:cxn modelId="{085CB05A-0579-4DE1-8AB6-D80EBDD6A845}" type="presParOf" srcId="{A31552EA-C093-41FB-9D64-3B868C00AB4C}" destId="{C011210A-57EB-4D42-839E-71E729D85944}" srcOrd="0" destOrd="0" presId="urn:microsoft.com/office/officeart/2005/8/layout/hierarchy2"/>
    <dgm:cxn modelId="{D0D59FCC-2427-43F9-B083-231D8F6474CE}" type="presParOf" srcId="{A31552EA-C093-41FB-9D64-3B868C00AB4C}" destId="{0D838C6B-6E72-463F-9C0F-CABB57949A80}" srcOrd="1" destOrd="0" presId="urn:microsoft.com/office/officeart/2005/8/layout/hierarchy2"/>
    <dgm:cxn modelId="{CE5A721B-4D69-4F2F-BC8F-F0AFF147997E}" type="presParOf" srcId="{BC2C44A8-2BAE-4CCC-AFEF-4AACED976071}" destId="{2FE3C730-38F2-4DEB-8369-46F7EDD20142}" srcOrd="10" destOrd="0" presId="urn:microsoft.com/office/officeart/2005/8/layout/hierarchy2"/>
    <dgm:cxn modelId="{F2B02F75-9D7D-41A9-AB37-ADB25DBD1C5D}" type="presParOf" srcId="{2FE3C730-38F2-4DEB-8369-46F7EDD20142}" destId="{49D8F3A8-E5ED-4863-9A2D-A1E28DBDBE3C}" srcOrd="0" destOrd="0" presId="urn:microsoft.com/office/officeart/2005/8/layout/hierarchy2"/>
    <dgm:cxn modelId="{668F1249-BD8E-4A4C-AD88-634D2D6DC685}" type="presParOf" srcId="{BC2C44A8-2BAE-4CCC-AFEF-4AACED976071}" destId="{77E23FC7-E380-44A1-B555-0FAAA9E21E76}" srcOrd="11" destOrd="0" presId="urn:microsoft.com/office/officeart/2005/8/layout/hierarchy2"/>
    <dgm:cxn modelId="{BE5C4E91-CA59-46AA-BCDC-A6664072ED8E}" type="presParOf" srcId="{77E23FC7-E380-44A1-B555-0FAAA9E21E76}" destId="{15A26DCE-3802-469A-A7C0-1A5BF330852B}" srcOrd="0" destOrd="0" presId="urn:microsoft.com/office/officeart/2005/8/layout/hierarchy2"/>
    <dgm:cxn modelId="{E11BA815-7A3D-49F4-8879-A4C7DE0452C2}" type="presParOf" srcId="{77E23FC7-E380-44A1-B555-0FAAA9E21E76}" destId="{5ADECE51-C27C-413E-969A-C5FE70397588}" srcOrd="1" destOrd="0" presId="urn:microsoft.com/office/officeart/2005/8/layout/hierarchy2"/>
    <dgm:cxn modelId="{FCF11465-7BCA-4D8F-B895-3904C0E6CBBE}" type="presParOf" srcId="{BC2C44A8-2BAE-4CCC-AFEF-4AACED976071}" destId="{B8D2DAA9-5809-4A53-8547-2143AF398530}" srcOrd="12" destOrd="0" presId="urn:microsoft.com/office/officeart/2005/8/layout/hierarchy2"/>
    <dgm:cxn modelId="{2F321C33-0FE2-4AA9-8ABE-2A63AE9F9E32}" type="presParOf" srcId="{B8D2DAA9-5809-4A53-8547-2143AF398530}" destId="{CE4184BF-4DC9-4DEF-B914-80213796D6D0}" srcOrd="0" destOrd="0" presId="urn:microsoft.com/office/officeart/2005/8/layout/hierarchy2"/>
    <dgm:cxn modelId="{F9FCAB7C-6137-40D1-9E79-252ABB3894A3}" type="presParOf" srcId="{BC2C44A8-2BAE-4CCC-AFEF-4AACED976071}" destId="{7D0BDF4E-7A47-43E1-85BA-32AD5FCBD4F5}" srcOrd="13" destOrd="0" presId="urn:microsoft.com/office/officeart/2005/8/layout/hierarchy2"/>
    <dgm:cxn modelId="{25648593-D277-4D88-917C-7194B54E3668}" type="presParOf" srcId="{7D0BDF4E-7A47-43E1-85BA-32AD5FCBD4F5}" destId="{06F3B3D9-09D1-434E-B048-5DB70E6E48A2}" srcOrd="0" destOrd="0" presId="urn:microsoft.com/office/officeart/2005/8/layout/hierarchy2"/>
    <dgm:cxn modelId="{D677DB1C-0263-437A-98F0-CF683F85D688}" type="presParOf" srcId="{7D0BDF4E-7A47-43E1-85BA-32AD5FCBD4F5}" destId="{8E852A7A-7C95-4BD0-9351-F5BFFD166D15}"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16233B-EE4A-4193-A713-D60ED76C0FE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GB"/>
        </a:p>
      </dgm:t>
    </dgm:pt>
    <dgm:pt modelId="{87636660-3713-4F68-B1E0-1F3D86BDA912}">
      <dgm:prSet phldrT="[Text]"/>
      <dgm:spPr/>
      <dgm:t>
        <a:bodyPr/>
        <a:lstStyle/>
        <a:p>
          <a:r>
            <a:rPr lang="en-GB"/>
            <a:t>Revenue</a:t>
          </a:r>
        </a:p>
      </dgm:t>
    </dgm:pt>
    <dgm:pt modelId="{DF9D2F76-FC5A-4C84-B89E-73A53FB660B6}" type="parTrans" cxnId="{5A1BC25E-208E-43C8-95B4-9DD9F5EE13BF}">
      <dgm:prSet/>
      <dgm:spPr/>
      <dgm:t>
        <a:bodyPr/>
        <a:lstStyle/>
        <a:p>
          <a:endParaRPr lang="en-GB"/>
        </a:p>
      </dgm:t>
    </dgm:pt>
    <dgm:pt modelId="{32CAB9EF-768F-43B6-A407-3DBFE20F705B}" type="sibTrans" cxnId="{5A1BC25E-208E-43C8-95B4-9DD9F5EE13BF}">
      <dgm:prSet/>
      <dgm:spPr/>
      <dgm:t>
        <a:bodyPr/>
        <a:lstStyle/>
        <a:p>
          <a:endParaRPr lang="en-GB"/>
        </a:p>
      </dgm:t>
    </dgm:pt>
    <dgm:pt modelId="{B040328F-D758-4F7C-B575-72445A6D73CF}">
      <dgm:prSet phldrT="[Text]"/>
      <dgm:spPr/>
      <dgm:t>
        <a:bodyPr/>
        <a:lstStyle/>
        <a:p>
          <a:r>
            <a:rPr lang="en-GB"/>
            <a:t>MedTech </a:t>
          </a:r>
        </a:p>
      </dgm:t>
    </dgm:pt>
    <dgm:pt modelId="{8D75611B-4AFC-49C3-9516-66898C8EF170}" type="parTrans" cxnId="{B2D285E9-0E83-44BB-A950-CF1D26CB6080}">
      <dgm:prSet/>
      <dgm:spPr/>
      <dgm:t>
        <a:bodyPr/>
        <a:lstStyle/>
        <a:p>
          <a:endParaRPr lang="en-GB"/>
        </a:p>
      </dgm:t>
    </dgm:pt>
    <dgm:pt modelId="{1E4444FE-971F-4D12-B5A7-363FB1E7CCF8}" type="sibTrans" cxnId="{B2D285E9-0E83-44BB-A950-CF1D26CB6080}">
      <dgm:prSet/>
      <dgm:spPr/>
      <dgm:t>
        <a:bodyPr/>
        <a:lstStyle/>
        <a:p>
          <a:endParaRPr lang="en-GB"/>
        </a:p>
      </dgm:t>
    </dgm:pt>
    <dgm:pt modelId="{2722298B-772D-401D-BD4F-F7B61053D1A1}">
      <dgm:prSet phldrT="[Text]"/>
      <dgm:spPr/>
      <dgm:t>
        <a:bodyPr/>
        <a:lstStyle/>
        <a:p>
          <a:r>
            <a:rPr lang="en-GB"/>
            <a:t>Pharmaceutical</a:t>
          </a:r>
        </a:p>
      </dgm:t>
    </dgm:pt>
    <dgm:pt modelId="{98865076-0450-4758-81C3-6FD6B6870056}" type="parTrans" cxnId="{90EE5BCD-18EE-4A44-8F9C-D39F51EE86BA}">
      <dgm:prSet/>
      <dgm:spPr/>
      <dgm:t>
        <a:bodyPr/>
        <a:lstStyle/>
        <a:p>
          <a:endParaRPr lang="en-GB"/>
        </a:p>
      </dgm:t>
    </dgm:pt>
    <dgm:pt modelId="{FD573217-8534-4C36-B76B-DCD80521A42A}" type="sibTrans" cxnId="{90EE5BCD-18EE-4A44-8F9C-D39F51EE86BA}">
      <dgm:prSet/>
      <dgm:spPr/>
      <dgm:t>
        <a:bodyPr/>
        <a:lstStyle/>
        <a:p>
          <a:endParaRPr lang="en-GB"/>
        </a:p>
      </dgm:t>
    </dgm:pt>
    <dgm:pt modelId="{FA6E8E6A-F31D-42FC-9E50-BD63470D1202}">
      <dgm:prSet phldrT="[Text]"/>
      <dgm:spPr/>
      <dgm:t>
        <a:bodyPr/>
        <a:lstStyle/>
        <a:p>
          <a:r>
            <a:rPr lang="en-GB"/>
            <a:t>Consumer Health</a:t>
          </a:r>
        </a:p>
      </dgm:t>
    </dgm:pt>
    <dgm:pt modelId="{9E146FEC-6EDB-4607-B3B7-A7995D1A7816}" type="parTrans" cxnId="{148DE478-328E-483F-8832-AA5BCE4A9D51}">
      <dgm:prSet/>
      <dgm:spPr/>
      <dgm:t>
        <a:bodyPr/>
        <a:lstStyle/>
        <a:p>
          <a:endParaRPr lang="en-GB"/>
        </a:p>
      </dgm:t>
    </dgm:pt>
    <dgm:pt modelId="{96765971-2121-4F11-B258-3E026AF76CB5}" type="sibTrans" cxnId="{148DE478-328E-483F-8832-AA5BCE4A9D51}">
      <dgm:prSet/>
      <dgm:spPr/>
      <dgm:t>
        <a:bodyPr/>
        <a:lstStyle/>
        <a:p>
          <a:endParaRPr lang="en-GB"/>
        </a:p>
      </dgm:t>
    </dgm:pt>
    <dgm:pt modelId="{6F52E130-C3D4-43B1-BE82-E8CD6D7C3C86}">
      <dgm:prSet/>
      <dgm:spPr/>
      <dgm:t>
        <a:bodyPr/>
        <a:lstStyle/>
        <a:p>
          <a:r>
            <a:rPr lang="en-GB"/>
            <a:t>Acquisitions</a:t>
          </a:r>
        </a:p>
      </dgm:t>
    </dgm:pt>
    <dgm:pt modelId="{9AD43E5F-B397-47CD-83C5-95F6CCB32AAA}" type="parTrans" cxnId="{2F853B17-05F8-4669-973A-41D520FEF848}">
      <dgm:prSet/>
      <dgm:spPr/>
      <dgm:t>
        <a:bodyPr/>
        <a:lstStyle/>
        <a:p>
          <a:endParaRPr lang="en-GB"/>
        </a:p>
      </dgm:t>
    </dgm:pt>
    <dgm:pt modelId="{2B258E2A-B809-484E-9897-6D6C2DA80C1F}" type="sibTrans" cxnId="{2F853B17-05F8-4669-973A-41D520FEF848}">
      <dgm:prSet/>
      <dgm:spPr/>
      <dgm:t>
        <a:bodyPr/>
        <a:lstStyle/>
        <a:p>
          <a:endParaRPr lang="en-GB"/>
        </a:p>
      </dgm:t>
    </dgm:pt>
    <dgm:pt modelId="{9A1EE443-8451-4598-BA4C-964FB67C37DA}">
      <dgm:prSet/>
      <dgm:spPr/>
      <dgm:t>
        <a:bodyPr/>
        <a:lstStyle/>
        <a:p>
          <a:r>
            <a:rPr lang="en-GB"/>
            <a:t>Franchise</a:t>
          </a:r>
        </a:p>
      </dgm:t>
    </dgm:pt>
    <dgm:pt modelId="{CBD4499D-BC2E-428F-BD69-570ACB4183D7}" type="parTrans" cxnId="{21EE8DCA-39CF-4A8A-B31A-ACA3886B414B}">
      <dgm:prSet/>
      <dgm:spPr/>
      <dgm:t>
        <a:bodyPr/>
        <a:lstStyle/>
        <a:p>
          <a:endParaRPr lang="en-GB"/>
        </a:p>
      </dgm:t>
    </dgm:pt>
    <dgm:pt modelId="{4093E7C0-C7C3-4C9A-A3B1-808AE2BECA52}" type="sibTrans" cxnId="{21EE8DCA-39CF-4A8A-B31A-ACA3886B414B}">
      <dgm:prSet/>
      <dgm:spPr/>
    </dgm:pt>
    <dgm:pt modelId="{A9D17558-F87B-420D-8032-4FEE4C6E0471}" type="pres">
      <dgm:prSet presAssocID="{E416233B-EE4A-4193-A713-D60ED76C0FE2}" presName="Name0" presStyleCnt="0">
        <dgm:presLayoutVars>
          <dgm:chPref val="1"/>
          <dgm:dir/>
          <dgm:animOne val="branch"/>
          <dgm:animLvl val="lvl"/>
          <dgm:resizeHandles val="exact"/>
        </dgm:presLayoutVars>
      </dgm:prSet>
      <dgm:spPr/>
    </dgm:pt>
    <dgm:pt modelId="{30C810AC-A0AA-40B2-9A64-C4004D8C280E}" type="pres">
      <dgm:prSet presAssocID="{87636660-3713-4F68-B1E0-1F3D86BDA912}" presName="root1" presStyleCnt="0"/>
      <dgm:spPr/>
    </dgm:pt>
    <dgm:pt modelId="{578D07DA-A4CF-4BCC-8ACB-48AC55A206CE}" type="pres">
      <dgm:prSet presAssocID="{87636660-3713-4F68-B1E0-1F3D86BDA912}" presName="LevelOneTextNode" presStyleLbl="node0" presStyleIdx="0" presStyleCnt="1">
        <dgm:presLayoutVars>
          <dgm:chPref val="3"/>
        </dgm:presLayoutVars>
      </dgm:prSet>
      <dgm:spPr/>
    </dgm:pt>
    <dgm:pt modelId="{D4FCA54C-130A-46F4-897F-13B21AE59C74}" type="pres">
      <dgm:prSet presAssocID="{87636660-3713-4F68-B1E0-1F3D86BDA912}" presName="level2hierChild" presStyleCnt="0"/>
      <dgm:spPr/>
    </dgm:pt>
    <dgm:pt modelId="{EF566B66-E74A-4F09-9176-731042AB3B83}" type="pres">
      <dgm:prSet presAssocID="{8D75611B-4AFC-49C3-9516-66898C8EF170}" presName="conn2-1" presStyleLbl="parChTrans1D2" presStyleIdx="0" presStyleCnt="3"/>
      <dgm:spPr/>
    </dgm:pt>
    <dgm:pt modelId="{EB146460-4688-4C9E-821C-85D6795BB551}" type="pres">
      <dgm:prSet presAssocID="{8D75611B-4AFC-49C3-9516-66898C8EF170}" presName="connTx" presStyleLbl="parChTrans1D2" presStyleIdx="0" presStyleCnt="3"/>
      <dgm:spPr/>
    </dgm:pt>
    <dgm:pt modelId="{F3043D24-63D7-49FD-8BEB-B9F64B168E35}" type="pres">
      <dgm:prSet presAssocID="{B040328F-D758-4F7C-B575-72445A6D73CF}" presName="root2" presStyleCnt="0"/>
      <dgm:spPr/>
    </dgm:pt>
    <dgm:pt modelId="{F2DF418D-B083-41D7-8C62-405C75D822BC}" type="pres">
      <dgm:prSet presAssocID="{B040328F-D758-4F7C-B575-72445A6D73CF}" presName="LevelTwoTextNode" presStyleLbl="node2" presStyleIdx="0" presStyleCnt="3">
        <dgm:presLayoutVars>
          <dgm:chPref val="3"/>
        </dgm:presLayoutVars>
      </dgm:prSet>
      <dgm:spPr/>
    </dgm:pt>
    <dgm:pt modelId="{E3CC72F8-0B03-463D-A9E4-85497E78D430}" type="pres">
      <dgm:prSet presAssocID="{B040328F-D758-4F7C-B575-72445A6D73CF}" presName="level3hierChild" presStyleCnt="0"/>
      <dgm:spPr/>
    </dgm:pt>
    <dgm:pt modelId="{865EFC8C-60B8-4890-A034-30BBF4CA989A}" type="pres">
      <dgm:prSet presAssocID="{9AD43E5F-B397-47CD-83C5-95F6CCB32AAA}" presName="conn2-1" presStyleLbl="parChTrans1D3" presStyleIdx="0" presStyleCnt="2"/>
      <dgm:spPr/>
    </dgm:pt>
    <dgm:pt modelId="{B99137F0-10FE-41C8-8F59-FC9E2635050C}" type="pres">
      <dgm:prSet presAssocID="{9AD43E5F-B397-47CD-83C5-95F6CCB32AAA}" presName="connTx" presStyleLbl="parChTrans1D3" presStyleIdx="0" presStyleCnt="2"/>
      <dgm:spPr/>
    </dgm:pt>
    <dgm:pt modelId="{DE9CCA97-0CAA-40FA-9035-C94B81DB8308}" type="pres">
      <dgm:prSet presAssocID="{6F52E130-C3D4-43B1-BE82-E8CD6D7C3C86}" presName="root2" presStyleCnt="0"/>
      <dgm:spPr/>
    </dgm:pt>
    <dgm:pt modelId="{2BED8777-F906-450A-BDEC-B9E63D4B0270}" type="pres">
      <dgm:prSet presAssocID="{6F52E130-C3D4-43B1-BE82-E8CD6D7C3C86}" presName="LevelTwoTextNode" presStyleLbl="node3" presStyleIdx="0" presStyleCnt="2">
        <dgm:presLayoutVars>
          <dgm:chPref val="3"/>
        </dgm:presLayoutVars>
      </dgm:prSet>
      <dgm:spPr/>
    </dgm:pt>
    <dgm:pt modelId="{F6D6F7CA-E7E7-42C7-BA82-71BCF9FC961C}" type="pres">
      <dgm:prSet presAssocID="{6F52E130-C3D4-43B1-BE82-E8CD6D7C3C86}" presName="level3hierChild" presStyleCnt="0"/>
      <dgm:spPr/>
    </dgm:pt>
    <dgm:pt modelId="{44E16CED-8C61-4E84-834D-6D5AF7A16E2C}" type="pres">
      <dgm:prSet presAssocID="{98865076-0450-4758-81C3-6FD6B6870056}" presName="conn2-1" presStyleLbl="parChTrans1D2" presStyleIdx="1" presStyleCnt="3"/>
      <dgm:spPr/>
    </dgm:pt>
    <dgm:pt modelId="{28B611DB-99E0-47A9-BE04-AD2C13D70828}" type="pres">
      <dgm:prSet presAssocID="{98865076-0450-4758-81C3-6FD6B6870056}" presName="connTx" presStyleLbl="parChTrans1D2" presStyleIdx="1" presStyleCnt="3"/>
      <dgm:spPr/>
    </dgm:pt>
    <dgm:pt modelId="{26BB4A15-D781-4DBA-9A1E-461C2240ECED}" type="pres">
      <dgm:prSet presAssocID="{2722298B-772D-401D-BD4F-F7B61053D1A1}" presName="root2" presStyleCnt="0"/>
      <dgm:spPr/>
    </dgm:pt>
    <dgm:pt modelId="{96B35C75-3D0B-46E7-A4FF-D40AD37D6AF6}" type="pres">
      <dgm:prSet presAssocID="{2722298B-772D-401D-BD4F-F7B61053D1A1}" presName="LevelTwoTextNode" presStyleLbl="node2" presStyleIdx="1" presStyleCnt="3">
        <dgm:presLayoutVars>
          <dgm:chPref val="3"/>
        </dgm:presLayoutVars>
      </dgm:prSet>
      <dgm:spPr/>
    </dgm:pt>
    <dgm:pt modelId="{0469A71E-510C-4D63-AE25-E938BCEB5CFE}" type="pres">
      <dgm:prSet presAssocID="{2722298B-772D-401D-BD4F-F7B61053D1A1}" presName="level3hierChild" presStyleCnt="0"/>
      <dgm:spPr/>
    </dgm:pt>
    <dgm:pt modelId="{A2AF03EA-1DAA-47A2-898B-A327BC02C816}" type="pres">
      <dgm:prSet presAssocID="{9E146FEC-6EDB-4607-B3B7-A7995D1A7816}" presName="conn2-1" presStyleLbl="parChTrans1D2" presStyleIdx="2" presStyleCnt="3"/>
      <dgm:spPr/>
    </dgm:pt>
    <dgm:pt modelId="{75576D4E-611A-4C80-AFF9-F1340F2166B9}" type="pres">
      <dgm:prSet presAssocID="{9E146FEC-6EDB-4607-B3B7-A7995D1A7816}" presName="connTx" presStyleLbl="parChTrans1D2" presStyleIdx="2" presStyleCnt="3"/>
      <dgm:spPr/>
    </dgm:pt>
    <dgm:pt modelId="{41790631-AC7C-4DAC-AF7D-802C58443EBC}" type="pres">
      <dgm:prSet presAssocID="{FA6E8E6A-F31D-42FC-9E50-BD63470D1202}" presName="root2" presStyleCnt="0"/>
      <dgm:spPr/>
    </dgm:pt>
    <dgm:pt modelId="{48187662-A7A0-4EAE-98DF-7356FE19D96B}" type="pres">
      <dgm:prSet presAssocID="{FA6E8E6A-F31D-42FC-9E50-BD63470D1202}" presName="LevelTwoTextNode" presStyleLbl="node2" presStyleIdx="2" presStyleCnt="3">
        <dgm:presLayoutVars>
          <dgm:chPref val="3"/>
        </dgm:presLayoutVars>
      </dgm:prSet>
      <dgm:spPr/>
    </dgm:pt>
    <dgm:pt modelId="{2B218F81-3FBA-46F0-8A1F-2B8D6E581A4F}" type="pres">
      <dgm:prSet presAssocID="{FA6E8E6A-F31D-42FC-9E50-BD63470D1202}" presName="level3hierChild" presStyleCnt="0"/>
      <dgm:spPr/>
    </dgm:pt>
    <dgm:pt modelId="{1861484A-DFB1-41EC-98B2-FCB60A1462AD}" type="pres">
      <dgm:prSet presAssocID="{CBD4499D-BC2E-428F-BD69-570ACB4183D7}" presName="conn2-1" presStyleLbl="parChTrans1D3" presStyleIdx="1" presStyleCnt="2"/>
      <dgm:spPr/>
    </dgm:pt>
    <dgm:pt modelId="{47F24EC7-4771-4F9B-A87B-7992CF8C36A8}" type="pres">
      <dgm:prSet presAssocID="{CBD4499D-BC2E-428F-BD69-570ACB4183D7}" presName="connTx" presStyleLbl="parChTrans1D3" presStyleIdx="1" presStyleCnt="2"/>
      <dgm:spPr/>
    </dgm:pt>
    <dgm:pt modelId="{732DD51B-4BD8-438A-8011-BF1257DF7042}" type="pres">
      <dgm:prSet presAssocID="{9A1EE443-8451-4598-BA4C-964FB67C37DA}" presName="root2" presStyleCnt="0"/>
      <dgm:spPr/>
    </dgm:pt>
    <dgm:pt modelId="{1D778C93-E955-434B-8B6F-C9E2FADBBF7F}" type="pres">
      <dgm:prSet presAssocID="{9A1EE443-8451-4598-BA4C-964FB67C37DA}" presName="LevelTwoTextNode" presStyleLbl="node3" presStyleIdx="1" presStyleCnt="2">
        <dgm:presLayoutVars>
          <dgm:chPref val="3"/>
        </dgm:presLayoutVars>
      </dgm:prSet>
      <dgm:spPr/>
    </dgm:pt>
    <dgm:pt modelId="{79A76D5F-7CED-44F1-A046-713862AF7667}" type="pres">
      <dgm:prSet presAssocID="{9A1EE443-8451-4598-BA4C-964FB67C37DA}" presName="level3hierChild" presStyleCnt="0"/>
      <dgm:spPr/>
    </dgm:pt>
  </dgm:ptLst>
  <dgm:cxnLst>
    <dgm:cxn modelId="{FD655A09-1CA0-48A7-8D23-10BF49C34326}" type="presOf" srcId="{2722298B-772D-401D-BD4F-F7B61053D1A1}" destId="{96B35C75-3D0B-46E7-A4FF-D40AD37D6AF6}" srcOrd="0" destOrd="0" presId="urn:microsoft.com/office/officeart/2008/layout/HorizontalMultiLevelHierarchy"/>
    <dgm:cxn modelId="{2F853B17-05F8-4669-973A-41D520FEF848}" srcId="{B040328F-D758-4F7C-B575-72445A6D73CF}" destId="{6F52E130-C3D4-43B1-BE82-E8CD6D7C3C86}" srcOrd="0" destOrd="0" parTransId="{9AD43E5F-B397-47CD-83C5-95F6CCB32AAA}" sibTransId="{2B258E2A-B809-484E-9897-6D6C2DA80C1F}"/>
    <dgm:cxn modelId="{5A1BC25E-208E-43C8-95B4-9DD9F5EE13BF}" srcId="{E416233B-EE4A-4193-A713-D60ED76C0FE2}" destId="{87636660-3713-4F68-B1E0-1F3D86BDA912}" srcOrd="0" destOrd="0" parTransId="{DF9D2F76-FC5A-4C84-B89E-73A53FB660B6}" sibTransId="{32CAB9EF-768F-43B6-A407-3DBFE20F705B}"/>
    <dgm:cxn modelId="{BEEB154C-E9E4-4666-844F-920294524756}" type="presOf" srcId="{9A1EE443-8451-4598-BA4C-964FB67C37DA}" destId="{1D778C93-E955-434B-8B6F-C9E2FADBBF7F}" srcOrd="0" destOrd="0" presId="urn:microsoft.com/office/officeart/2008/layout/HorizontalMultiLevelHierarchy"/>
    <dgm:cxn modelId="{41A19B78-9DDA-46EC-BD5A-10F90F35BBC1}" type="presOf" srcId="{9AD43E5F-B397-47CD-83C5-95F6CCB32AAA}" destId="{865EFC8C-60B8-4890-A034-30BBF4CA989A}" srcOrd="0" destOrd="0" presId="urn:microsoft.com/office/officeart/2008/layout/HorizontalMultiLevelHierarchy"/>
    <dgm:cxn modelId="{148DE478-328E-483F-8832-AA5BCE4A9D51}" srcId="{87636660-3713-4F68-B1E0-1F3D86BDA912}" destId="{FA6E8E6A-F31D-42FC-9E50-BD63470D1202}" srcOrd="2" destOrd="0" parTransId="{9E146FEC-6EDB-4607-B3B7-A7995D1A7816}" sibTransId="{96765971-2121-4F11-B258-3E026AF76CB5}"/>
    <dgm:cxn modelId="{5F5F785A-8364-4246-8DEA-B8E7EC19BAA3}" type="presOf" srcId="{8D75611B-4AFC-49C3-9516-66898C8EF170}" destId="{EF566B66-E74A-4F09-9176-731042AB3B83}" srcOrd="0" destOrd="0" presId="urn:microsoft.com/office/officeart/2008/layout/HorizontalMultiLevelHierarchy"/>
    <dgm:cxn modelId="{D4C76980-19B0-42D8-B25E-9FC73D197110}" type="presOf" srcId="{87636660-3713-4F68-B1E0-1F3D86BDA912}" destId="{578D07DA-A4CF-4BCC-8ACB-48AC55A206CE}" srcOrd="0" destOrd="0" presId="urn:microsoft.com/office/officeart/2008/layout/HorizontalMultiLevelHierarchy"/>
    <dgm:cxn modelId="{1D35AC81-D43E-4C68-B205-AA55F76ED850}" type="presOf" srcId="{6F52E130-C3D4-43B1-BE82-E8CD6D7C3C86}" destId="{2BED8777-F906-450A-BDEC-B9E63D4B0270}" srcOrd="0" destOrd="0" presId="urn:microsoft.com/office/officeart/2008/layout/HorizontalMultiLevelHierarchy"/>
    <dgm:cxn modelId="{B16DBC88-3E08-4B46-8967-1C7F0A805AC8}" type="presOf" srcId="{FA6E8E6A-F31D-42FC-9E50-BD63470D1202}" destId="{48187662-A7A0-4EAE-98DF-7356FE19D96B}" srcOrd="0" destOrd="0" presId="urn:microsoft.com/office/officeart/2008/layout/HorizontalMultiLevelHierarchy"/>
    <dgm:cxn modelId="{6648AC8A-2450-44C3-B7F0-E7C07D35793D}" type="presOf" srcId="{98865076-0450-4758-81C3-6FD6B6870056}" destId="{28B611DB-99E0-47A9-BE04-AD2C13D70828}" srcOrd="1" destOrd="0" presId="urn:microsoft.com/office/officeart/2008/layout/HorizontalMultiLevelHierarchy"/>
    <dgm:cxn modelId="{51537E8D-4A89-478E-9C20-763EB5BF31CD}" type="presOf" srcId="{9AD43E5F-B397-47CD-83C5-95F6CCB32AAA}" destId="{B99137F0-10FE-41C8-8F59-FC9E2635050C}" srcOrd="1" destOrd="0" presId="urn:microsoft.com/office/officeart/2008/layout/HorizontalMultiLevelHierarchy"/>
    <dgm:cxn modelId="{73E212A1-77B9-40C1-ACD7-2B96448BB2F4}" type="presOf" srcId="{9E146FEC-6EDB-4607-B3B7-A7995D1A7816}" destId="{75576D4E-611A-4C80-AFF9-F1340F2166B9}" srcOrd="1" destOrd="0" presId="urn:microsoft.com/office/officeart/2008/layout/HorizontalMultiLevelHierarchy"/>
    <dgm:cxn modelId="{F677F8A8-182F-47A2-8D67-F165489900EC}" type="presOf" srcId="{8D75611B-4AFC-49C3-9516-66898C8EF170}" destId="{EB146460-4688-4C9E-821C-85D6795BB551}" srcOrd="1" destOrd="0" presId="urn:microsoft.com/office/officeart/2008/layout/HorizontalMultiLevelHierarchy"/>
    <dgm:cxn modelId="{47B36CC1-B099-425D-8A29-DA447F8E28E8}" type="presOf" srcId="{98865076-0450-4758-81C3-6FD6B6870056}" destId="{44E16CED-8C61-4E84-834D-6D5AF7A16E2C}" srcOrd="0" destOrd="0" presId="urn:microsoft.com/office/officeart/2008/layout/HorizontalMultiLevelHierarchy"/>
    <dgm:cxn modelId="{21EE8DCA-39CF-4A8A-B31A-ACA3886B414B}" srcId="{FA6E8E6A-F31D-42FC-9E50-BD63470D1202}" destId="{9A1EE443-8451-4598-BA4C-964FB67C37DA}" srcOrd="0" destOrd="0" parTransId="{CBD4499D-BC2E-428F-BD69-570ACB4183D7}" sibTransId="{4093E7C0-C7C3-4C9A-A3B1-808AE2BECA52}"/>
    <dgm:cxn modelId="{90EE5BCD-18EE-4A44-8F9C-D39F51EE86BA}" srcId="{87636660-3713-4F68-B1E0-1F3D86BDA912}" destId="{2722298B-772D-401D-BD4F-F7B61053D1A1}" srcOrd="1" destOrd="0" parTransId="{98865076-0450-4758-81C3-6FD6B6870056}" sibTransId="{FD573217-8534-4C36-B76B-DCD80521A42A}"/>
    <dgm:cxn modelId="{962F90D5-5262-4A05-ABC6-8B312FCF16C2}" type="presOf" srcId="{CBD4499D-BC2E-428F-BD69-570ACB4183D7}" destId="{1861484A-DFB1-41EC-98B2-FCB60A1462AD}" srcOrd="0" destOrd="0" presId="urn:microsoft.com/office/officeart/2008/layout/HorizontalMultiLevelHierarchy"/>
    <dgm:cxn modelId="{3A1A16DD-31DF-47A1-B27F-848E32A4EA0E}" type="presOf" srcId="{B040328F-D758-4F7C-B575-72445A6D73CF}" destId="{F2DF418D-B083-41D7-8C62-405C75D822BC}" srcOrd="0" destOrd="0" presId="urn:microsoft.com/office/officeart/2008/layout/HorizontalMultiLevelHierarchy"/>
    <dgm:cxn modelId="{E99210E6-9E66-4676-A6B2-FB601A065D3D}" type="presOf" srcId="{CBD4499D-BC2E-428F-BD69-570ACB4183D7}" destId="{47F24EC7-4771-4F9B-A87B-7992CF8C36A8}" srcOrd="1" destOrd="0" presId="urn:microsoft.com/office/officeart/2008/layout/HorizontalMultiLevelHierarchy"/>
    <dgm:cxn modelId="{B2D285E9-0E83-44BB-A950-CF1D26CB6080}" srcId="{87636660-3713-4F68-B1E0-1F3D86BDA912}" destId="{B040328F-D758-4F7C-B575-72445A6D73CF}" srcOrd="0" destOrd="0" parTransId="{8D75611B-4AFC-49C3-9516-66898C8EF170}" sibTransId="{1E4444FE-971F-4D12-B5A7-363FB1E7CCF8}"/>
    <dgm:cxn modelId="{B3C63DF0-FD75-451F-8D8F-1A4571137C5C}" type="presOf" srcId="{E416233B-EE4A-4193-A713-D60ED76C0FE2}" destId="{A9D17558-F87B-420D-8032-4FEE4C6E0471}" srcOrd="0" destOrd="0" presId="urn:microsoft.com/office/officeart/2008/layout/HorizontalMultiLevelHierarchy"/>
    <dgm:cxn modelId="{3EA6E1F1-7111-40B7-BC12-14E88B8DC560}" type="presOf" srcId="{9E146FEC-6EDB-4607-B3B7-A7995D1A7816}" destId="{A2AF03EA-1DAA-47A2-898B-A327BC02C816}" srcOrd="0" destOrd="0" presId="urn:microsoft.com/office/officeart/2008/layout/HorizontalMultiLevelHierarchy"/>
    <dgm:cxn modelId="{04C6C424-DEF1-4337-8DE3-8394970CA432}" type="presParOf" srcId="{A9D17558-F87B-420D-8032-4FEE4C6E0471}" destId="{30C810AC-A0AA-40B2-9A64-C4004D8C280E}" srcOrd="0" destOrd="0" presId="urn:microsoft.com/office/officeart/2008/layout/HorizontalMultiLevelHierarchy"/>
    <dgm:cxn modelId="{74A83D1C-3FA5-49FC-BA0E-452DF86BB2A5}" type="presParOf" srcId="{30C810AC-A0AA-40B2-9A64-C4004D8C280E}" destId="{578D07DA-A4CF-4BCC-8ACB-48AC55A206CE}" srcOrd="0" destOrd="0" presId="urn:microsoft.com/office/officeart/2008/layout/HorizontalMultiLevelHierarchy"/>
    <dgm:cxn modelId="{D714EA4A-BA3E-4126-A6FE-239774B1002F}" type="presParOf" srcId="{30C810AC-A0AA-40B2-9A64-C4004D8C280E}" destId="{D4FCA54C-130A-46F4-897F-13B21AE59C74}" srcOrd="1" destOrd="0" presId="urn:microsoft.com/office/officeart/2008/layout/HorizontalMultiLevelHierarchy"/>
    <dgm:cxn modelId="{E26758F2-8BCC-4934-98EC-C79B72B8683E}" type="presParOf" srcId="{D4FCA54C-130A-46F4-897F-13B21AE59C74}" destId="{EF566B66-E74A-4F09-9176-731042AB3B83}" srcOrd="0" destOrd="0" presId="urn:microsoft.com/office/officeart/2008/layout/HorizontalMultiLevelHierarchy"/>
    <dgm:cxn modelId="{5B58B6E4-C48F-4696-804F-3110C21247EC}" type="presParOf" srcId="{EF566B66-E74A-4F09-9176-731042AB3B83}" destId="{EB146460-4688-4C9E-821C-85D6795BB551}" srcOrd="0" destOrd="0" presId="urn:microsoft.com/office/officeart/2008/layout/HorizontalMultiLevelHierarchy"/>
    <dgm:cxn modelId="{E731F31F-2B47-4EF9-9990-F8BCE02677D9}" type="presParOf" srcId="{D4FCA54C-130A-46F4-897F-13B21AE59C74}" destId="{F3043D24-63D7-49FD-8BEB-B9F64B168E35}" srcOrd="1" destOrd="0" presId="urn:microsoft.com/office/officeart/2008/layout/HorizontalMultiLevelHierarchy"/>
    <dgm:cxn modelId="{64F61896-14EA-4521-8B03-C51E2E09266A}" type="presParOf" srcId="{F3043D24-63D7-49FD-8BEB-B9F64B168E35}" destId="{F2DF418D-B083-41D7-8C62-405C75D822BC}" srcOrd="0" destOrd="0" presId="urn:microsoft.com/office/officeart/2008/layout/HorizontalMultiLevelHierarchy"/>
    <dgm:cxn modelId="{3F9DBADF-F69F-4E4E-A064-E89DEAB2D56F}" type="presParOf" srcId="{F3043D24-63D7-49FD-8BEB-B9F64B168E35}" destId="{E3CC72F8-0B03-463D-A9E4-85497E78D430}" srcOrd="1" destOrd="0" presId="urn:microsoft.com/office/officeart/2008/layout/HorizontalMultiLevelHierarchy"/>
    <dgm:cxn modelId="{D9166BDE-6A34-4054-9B98-B1B9199BC625}" type="presParOf" srcId="{E3CC72F8-0B03-463D-A9E4-85497E78D430}" destId="{865EFC8C-60B8-4890-A034-30BBF4CA989A}" srcOrd="0" destOrd="0" presId="urn:microsoft.com/office/officeart/2008/layout/HorizontalMultiLevelHierarchy"/>
    <dgm:cxn modelId="{6864EAC5-D906-4879-B77C-FE767BB61A23}" type="presParOf" srcId="{865EFC8C-60B8-4890-A034-30BBF4CA989A}" destId="{B99137F0-10FE-41C8-8F59-FC9E2635050C}" srcOrd="0" destOrd="0" presId="urn:microsoft.com/office/officeart/2008/layout/HorizontalMultiLevelHierarchy"/>
    <dgm:cxn modelId="{70A99B74-FE39-43D4-ADBD-F9B02E1A660C}" type="presParOf" srcId="{E3CC72F8-0B03-463D-A9E4-85497E78D430}" destId="{DE9CCA97-0CAA-40FA-9035-C94B81DB8308}" srcOrd="1" destOrd="0" presId="urn:microsoft.com/office/officeart/2008/layout/HorizontalMultiLevelHierarchy"/>
    <dgm:cxn modelId="{22F31974-4CD3-4BAA-B446-83030FB8AB1B}" type="presParOf" srcId="{DE9CCA97-0CAA-40FA-9035-C94B81DB8308}" destId="{2BED8777-F906-450A-BDEC-B9E63D4B0270}" srcOrd="0" destOrd="0" presId="urn:microsoft.com/office/officeart/2008/layout/HorizontalMultiLevelHierarchy"/>
    <dgm:cxn modelId="{0EF11A52-91DC-4A6F-8D1A-2C89C121655A}" type="presParOf" srcId="{DE9CCA97-0CAA-40FA-9035-C94B81DB8308}" destId="{F6D6F7CA-E7E7-42C7-BA82-71BCF9FC961C}" srcOrd="1" destOrd="0" presId="urn:microsoft.com/office/officeart/2008/layout/HorizontalMultiLevelHierarchy"/>
    <dgm:cxn modelId="{C3D1C379-CB1A-45CE-B0E3-DFB7CE5B2C05}" type="presParOf" srcId="{D4FCA54C-130A-46F4-897F-13B21AE59C74}" destId="{44E16CED-8C61-4E84-834D-6D5AF7A16E2C}" srcOrd="2" destOrd="0" presId="urn:microsoft.com/office/officeart/2008/layout/HorizontalMultiLevelHierarchy"/>
    <dgm:cxn modelId="{C4E968C5-5797-467B-BCD4-BCE781018C37}" type="presParOf" srcId="{44E16CED-8C61-4E84-834D-6D5AF7A16E2C}" destId="{28B611DB-99E0-47A9-BE04-AD2C13D70828}" srcOrd="0" destOrd="0" presId="urn:microsoft.com/office/officeart/2008/layout/HorizontalMultiLevelHierarchy"/>
    <dgm:cxn modelId="{D915DBAB-4FE2-4542-B912-F3B8A3829809}" type="presParOf" srcId="{D4FCA54C-130A-46F4-897F-13B21AE59C74}" destId="{26BB4A15-D781-4DBA-9A1E-461C2240ECED}" srcOrd="3" destOrd="0" presId="urn:microsoft.com/office/officeart/2008/layout/HorizontalMultiLevelHierarchy"/>
    <dgm:cxn modelId="{6FFFAB39-30D9-490D-94D6-8F14D41A278B}" type="presParOf" srcId="{26BB4A15-D781-4DBA-9A1E-461C2240ECED}" destId="{96B35C75-3D0B-46E7-A4FF-D40AD37D6AF6}" srcOrd="0" destOrd="0" presId="urn:microsoft.com/office/officeart/2008/layout/HorizontalMultiLevelHierarchy"/>
    <dgm:cxn modelId="{6838C864-8CF7-4D41-8DC1-5409C3583246}" type="presParOf" srcId="{26BB4A15-D781-4DBA-9A1E-461C2240ECED}" destId="{0469A71E-510C-4D63-AE25-E938BCEB5CFE}" srcOrd="1" destOrd="0" presId="urn:microsoft.com/office/officeart/2008/layout/HorizontalMultiLevelHierarchy"/>
    <dgm:cxn modelId="{BF562262-8FB9-4798-80E1-3B9C5DAC7C3D}" type="presParOf" srcId="{D4FCA54C-130A-46F4-897F-13B21AE59C74}" destId="{A2AF03EA-1DAA-47A2-898B-A327BC02C816}" srcOrd="4" destOrd="0" presId="urn:microsoft.com/office/officeart/2008/layout/HorizontalMultiLevelHierarchy"/>
    <dgm:cxn modelId="{8E8517BD-24AE-4C8E-B98D-DBBB65F50523}" type="presParOf" srcId="{A2AF03EA-1DAA-47A2-898B-A327BC02C816}" destId="{75576D4E-611A-4C80-AFF9-F1340F2166B9}" srcOrd="0" destOrd="0" presId="urn:microsoft.com/office/officeart/2008/layout/HorizontalMultiLevelHierarchy"/>
    <dgm:cxn modelId="{79855399-8FC3-44E0-84EA-FA8C3A48F63F}" type="presParOf" srcId="{D4FCA54C-130A-46F4-897F-13B21AE59C74}" destId="{41790631-AC7C-4DAC-AF7D-802C58443EBC}" srcOrd="5" destOrd="0" presId="urn:microsoft.com/office/officeart/2008/layout/HorizontalMultiLevelHierarchy"/>
    <dgm:cxn modelId="{E2A13E91-96B0-4C4F-958B-0601095737AC}" type="presParOf" srcId="{41790631-AC7C-4DAC-AF7D-802C58443EBC}" destId="{48187662-A7A0-4EAE-98DF-7356FE19D96B}" srcOrd="0" destOrd="0" presId="urn:microsoft.com/office/officeart/2008/layout/HorizontalMultiLevelHierarchy"/>
    <dgm:cxn modelId="{FD6207BC-3E98-48BA-85D7-D6E53809674C}" type="presParOf" srcId="{41790631-AC7C-4DAC-AF7D-802C58443EBC}" destId="{2B218F81-3FBA-46F0-8A1F-2B8D6E581A4F}" srcOrd="1" destOrd="0" presId="urn:microsoft.com/office/officeart/2008/layout/HorizontalMultiLevelHierarchy"/>
    <dgm:cxn modelId="{5AE3AEDC-AA34-4374-BCF0-F84ED2C4914A}" type="presParOf" srcId="{2B218F81-3FBA-46F0-8A1F-2B8D6E581A4F}" destId="{1861484A-DFB1-41EC-98B2-FCB60A1462AD}" srcOrd="0" destOrd="0" presId="urn:microsoft.com/office/officeart/2008/layout/HorizontalMultiLevelHierarchy"/>
    <dgm:cxn modelId="{516A1BEF-1EBC-45B0-B52A-CC9DA48DD8C1}" type="presParOf" srcId="{1861484A-DFB1-41EC-98B2-FCB60A1462AD}" destId="{47F24EC7-4771-4F9B-A87B-7992CF8C36A8}" srcOrd="0" destOrd="0" presId="urn:microsoft.com/office/officeart/2008/layout/HorizontalMultiLevelHierarchy"/>
    <dgm:cxn modelId="{90E0F9B6-B2AE-4EC1-B3D6-CFAB26AC9803}" type="presParOf" srcId="{2B218F81-3FBA-46F0-8A1F-2B8D6E581A4F}" destId="{732DD51B-4BD8-438A-8011-BF1257DF7042}" srcOrd="1" destOrd="0" presId="urn:microsoft.com/office/officeart/2008/layout/HorizontalMultiLevelHierarchy"/>
    <dgm:cxn modelId="{DF887982-A1B9-4FB5-AFBE-62EDD977F677}" type="presParOf" srcId="{732DD51B-4BD8-438A-8011-BF1257DF7042}" destId="{1D778C93-E955-434B-8B6F-C9E2FADBBF7F}" srcOrd="0" destOrd="0" presId="urn:microsoft.com/office/officeart/2008/layout/HorizontalMultiLevelHierarchy"/>
    <dgm:cxn modelId="{9205CE75-AFFC-483A-B90F-36943B028AD0}" type="presParOf" srcId="{732DD51B-4BD8-438A-8011-BF1257DF7042}" destId="{79A76D5F-7CED-44F1-A046-713862AF7667}"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11EDF5-1244-4275-91E7-798F12079ED1}">
      <dsp:nvSpPr>
        <dsp:cNvPr id="0" name=""/>
        <dsp:cNvSpPr/>
      </dsp:nvSpPr>
      <dsp:spPr>
        <a:xfrm>
          <a:off x="1562924" y="1429025"/>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Revenue Drivers </a:t>
          </a:r>
        </a:p>
      </dsp:txBody>
      <dsp:txXfrm>
        <a:off x="1572021" y="1438122"/>
        <a:ext cx="603003" cy="292404"/>
      </dsp:txXfrm>
    </dsp:sp>
    <dsp:sp modelId="{0551FD7A-D00B-4A6C-AA37-973B9FF78D59}">
      <dsp:nvSpPr>
        <dsp:cNvPr id="0" name=""/>
        <dsp:cNvSpPr/>
      </dsp:nvSpPr>
      <dsp:spPr>
        <a:xfrm rot="16791948">
          <a:off x="1583261" y="861125"/>
          <a:ext cx="1450200" cy="17644"/>
        </a:xfrm>
        <a:custGeom>
          <a:avLst/>
          <a:gdLst/>
          <a:ahLst/>
          <a:cxnLst/>
          <a:rect l="0" t="0" r="0" b="0"/>
          <a:pathLst>
            <a:path>
              <a:moveTo>
                <a:pt x="0" y="8822"/>
              </a:moveTo>
              <a:lnTo>
                <a:pt x="1450200"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72106" y="833692"/>
        <a:ext cx="72510" cy="72510"/>
      </dsp:txXfrm>
    </dsp:sp>
    <dsp:sp modelId="{505B2872-AA8E-4E3F-890F-D8C71C5B896B}">
      <dsp:nvSpPr>
        <dsp:cNvPr id="0" name=""/>
        <dsp:cNvSpPr/>
      </dsp:nvSpPr>
      <dsp:spPr>
        <a:xfrm>
          <a:off x="2432601" y="27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RevPAR(Revenue per room available)</a:t>
          </a:r>
        </a:p>
      </dsp:txBody>
      <dsp:txXfrm>
        <a:off x="2441698" y="9367"/>
        <a:ext cx="603003" cy="292404"/>
      </dsp:txXfrm>
    </dsp:sp>
    <dsp:sp modelId="{2D9140B1-8CC2-4B68-823E-A93FD93478D6}">
      <dsp:nvSpPr>
        <dsp:cNvPr id="0" name=""/>
        <dsp:cNvSpPr/>
      </dsp:nvSpPr>
      <dsp:spPr>
        <a:xfrm rot="16983315">
          <a:off x="1758362" y="1039719"/>
          <a:ext cx="1099998" cy="17644"/>
        </a:xfrm>
        <a:custGeom>
          <a:avLst/>
          <a:gdLst/>
          <a:ahLst/>
          <a:cxnLst/>
          <a:rect l="0" t="0" r="0" b="0"/>
          <a:pathLst>
            <a:path>
              <a:moveTo>
                <a:pt x="0" y="8822"/>
              </a:moveTo>
              <a:lnTo>
                <a:pt x="1099998"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0861" y="1021041"/>
        <a:ext cx="54999" cy="54999"/>
      </dsp:txXfrm>
    </dsp:sp>
    <dsp:sp modelId="{BEBE6058-B1E0-488C-B523-79D7B3B13F3A}">
      <dsp:nvSpPr>
        <dsp:cNvPr id="0" name=""/>
        <dsp:cNvSpPr/>
      </dsp:nvSpPr>
      <dsp:spPr>
        <a:xfrm>
          <a:off x="2432601" y="35745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Franchising and Licensing</a:t>
          </a:r>
        </a:p>
      </dsp:txBody>
      <dsp:txXfrm>
        <a:off x="2441698" y="366556"/>
        <a:ext cx="603003" cy="292404"/>
      </dsp:txXfrm>
    </dsp:sp>
    <dsp:sp modelId="{C655E44D-8A58-4B4F-AB76-E6E5E0E55FAB}">
      <dsp:nvSpPr>
        <dsp:cNvPr id="0" name=""/>
        <dsp:cNvSpPr/>
      </dsp:nvSpPr>
      <dsp:spPr>
        <a:xfrm rot="18289469">
          <a:off x="2960480" y="325342"/>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323286"/>
        <a:ext cx="21755" cy="21755"/>
      </dsp:txXfrm>
    </dsp:sp>
    <dsp:sp modelId="{624BB9C2-9E41-4265-BF81-68B10401DA24}">
      <dsp:nvSpPr>
        <dsp:cNvPr id="0" name=""/>
        <dsp:cNvSpPr/>
      </dsp:nvSpPr>
      <dsp:spPr>
        <a:xfrm>
          <a:off x="3302277" y="27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Initial application fee</a:t>
          </a:r>
        </a:p>
      </dsp:txBody>
      <dsp:txXfrm>
        <a:off x="3311374" y="9367"/>
        <a:ext cx="603003" cy="292404"/>
      </dsp:txXfrm>
    </dsp:sp>
    <dsp:sp modelId="{3E663DA9-397A-407D-AED2-F955C41FDD4E}">
      <dsp:nvSpPr>
        <dsp:cNvPr id="0" name=""/>
        <dsp:cNvSpPr/>
      </dsp:nvSpPr>
      <dsp:spPr>
        <a:xfrm>
          <a:off x="3053798" y="503936"/>
          <a:ext cx="248479" cy="17644"/>
        </a:xfrm>
        <a:custGeom>
          <a:avLst/>
          <a:gdLst/>
          <a:ahLst/>
          <a:cxnLst/>
          <a:rect l="0" t="0" r="0" b="0"/>
          <a:pathLst>
            <a:path>
              <a:moveTo>
                <a:pt x="0" y="8822"/>
              </a:moveTo>
              <a:lnTo>
                <a:pt x="248479"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1826" y="506546"/>
        <a:ext cx="12423" cy="12423"/>
      </dsp:txXfrm>
    </dsp:sp>
    <dsp:sp modelId="{E80EEAA3-E0E5-499F-9E2C-731BC607C5D8}">
      <dsp:nvSpPr>
        <dsp:cNvPr id="0" name=""/>
        <dsp:cNvSpPr/>
      </dsp:nvSpPr>
      <dsp:spPr>
        <a:xfrm>
          <a:off x="3302277" y="35745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Royalty fees</a:t>
          </a:r>
        </a:p>
      </dsp:txBody>
      <dsp:txXfrm>
        <a:off x="3311374" y="366556"/>
        <a:ext cx="603003" cy="292404"/>
      </dsp:txXfrm>
    </dsp:sp>
    <dsp:sp modelId="{EC1424CF-E43F-41BB-B104-510D39A1FB28}">
      <dsp:nvSpPr>
        <dsp:cNvPr id="0" name=""/>
        <dsp:cNvSpPr/>
      </dsp:nvSpPr>
      <dsp:spPr>
        <a:xfrm rot="3310531">
          <a:off x="2960480" y="682531"/>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680475"/>
        <a:ext cx="21755" cy="21755"/>
      </dsp:txXfrm>
    </dsp:sp>
    <dsp:sp modelId="{51D73C36-844A-4698-A93C-24D897E2620D}">
      <dsp:nvSpPr>
        <dsp:cNvPr id="0" name=""/>
        <dsp:cNvSpPr/>
      </dsp:nvSpPr>
      <dsp:spPr>
        <a:xfrm>
          <a:off x="3302277" y="714648"/>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Branding fees for residentiqal property promotion</a:t>
          </a:r>
        </a:p>
      </dsp:txBody>
      <dsp:txXfrm>
        <a:off x="3311374" y="723745"/>
        <a:ext cx="603003" cy="292404"/>
      </dsp:txXfrm>
    </dsp:sp>
    <dsp:sp modelId="{1C3C7D26-9BDA-45D3-B132-852A3842B3EF}">
      <dsp:nvSpPr>
        <dsp:cNvPr id="0" name=""/>
        <dsp:cNvSpPr/>
      </dsp:nvSpPr>
      <dsp:spPr>
        <a:xfrm rot="19457599">
          <a:off x="2155360" y="1486205"/>
          <a:ext cx="306002" cy="17644"/>
        </a:xfrm>
        <a:custGeom>
          <a:avLst/>
          <a:gdLst/>
          <a:ahLst/>
          <a:cxnLst/>
          <a:rect l="0" t="0" r="0" b="0"/>
          <a:pathLst>
            <a:path>
              <a:moveTo>
                <a:pt x="0" y="8822"/>
              </a:moveTo>
              <a:lnTo>
                <a:pt x="306002"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300711" y="1487377"/>
        <a:ext cx="15300" cy="15300"/>
      </dsp:txXfrm>
    </dsp:sp>
    <dsp:sp modelId="{3F8BCCBF-1960-40AE-94B4-4F2591EB8398}">
      <dsp:nvSpPr>
        <dsp:cNvPr id="0" name=""/>
        <dsp:cNvSpPr/>
      </dsp:nvSpPr>
      <dsp:spPr>
        <a:xfrm>
          <a:off x="2432601" y="125043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Leases</a:t>
          </a:r>
        </a:p>
      </dsp:txBody>
      <dsp:txXfrm>
        <a:off x="2441698" y="1259528"/>
        <a:ext cx="603003" cy="292404"/>
      </dsp:txXfrm>
    </dsp:sp>
    <dsp:sp modelId="{CB47FD0A-7D63-4527-810A-E96F589CF9A6}">
      <dsp:nvSpPr>
        <dsp:cNvPr id="0" name=""/>
        <dsp:cNvSpPr/>
      </dsp:nvSpPr>
      <dsp:spPr>
        <a:xfrm rot="19457599">
          <a:off x="3025036" y="1307611"/>
          <a:ext cx="306002" cy="17644"/>
        </a:xfrm>
        <a:custGeom>
          <a:avLst/>
          <a:gdLst/>
          <a:ahLst/>
          <a:cxnLst/>
          <a:rect l="0" t="0" r="0" b="0"/>
          <a:pathLst>
            <a:path>
              <a:moveTo>
                <a:pt x="0" y="8822"/>
              </a:moveTo>
              <a:lnTo>
                <a:pt x="306002"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0388" y="1308783"/>
        <a:ext cx="15300" cy="15300"/>
      </dsp:txXfrm>
    </dsp:sp>
    <dsp:sp modelId="{80FFE882-94B9-4C61-AF32-E679C644FE7E}">
      <dsp:nvSpPr>
        <dsp:cNvPr id="0" name=""/>
        <dsp:cNvSpPr/>
      </dsp:nvSpPr>
      <dsp:spPr>
        <a:xfrm>
          <a:off x="3302277" y="1071836"/>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Fixed annual rentals</a:t>
          </a:r>
        </a:p>
      </dsp:txBody>
      <dsp:txXfrm>
        <a:off x="3311374" y="1080933"/>
        <a:ext cx="603003" cy="292404"/>
      </dsp:txXfrm>
    </dsp:sp>
    <dsp:sp modelId="{7F253EAF-1F89-42DA-9840-8225D280DDA2}">
      <dsp:nvSpPr>
        <dsp:cNvPr id="0" name=""/>
        <dsp:cNvSpPr/>
      </dsp:nvSpPr>
      <dsp:spPr>
        <a:xfrm rot="2142401">
          <a:off x="3025036" y="1486205"/>
          <a:ext cx="306002" cy="17644"/>
        </a:xfrm>
        <a:custGeom>
          <a:avLst/>
          <a:gdLst/>
          <a:ahLst/>
          <a:cxnLst/>
          <a:rect l="0" t="0" r="0" b="0"/>
          <a:pathLst>
            <a:path>
              <a:moveTo>
                <a:pt x="0" y="8822"/>
              </a:moveTo>
              <a:lnTo>
                <a:pt x="306002"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0388" y="1487377"/>
        <a:ext cx="15300" cy="15300"/>
      </dsp:txXfrm>
    </dsp:sp>
    <dsp:sp modelId="{2312D824-FD07-41D3-A4DB-A8166DE148B8}">
      <dsp:nvSpPr>
        <dsp:cNvPr id="0" name=""/>
        <dsp:cNvSpPr/>
      </dsp:nvSpPr>
      <dsp:spPr>
        <a:xfrm>
          <a:off x="3302277" y="1429025"/>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Rental based on specific percentage  of revenue that exceed a given threshold.</a:t>
          </a:r>
        </a:p>
      </dsp:txBody>
      <dsp:txXfrm>
        <a:off x="3311374" y="1438122"/>
        <a:ext cx="603003" cy="292404"/>
      </dsp:txXfrm>
    </dsp:sp>
    <dsp:sp modelId="{B965D337-7D17-4E05-ACE5-B73BCB90729B}">
      <dsp:nvSpPr>
        <dsp:cNvPr id="0" name=""/>
        <dsp:cNvSpPr/>
      </dsp:nvSpPr>
      <dsp:spPr>
        <a:xfrm rot="2142401">
          <a:off x="2155360" y="1664800"/>
          <a:ext cx="306002" cy="17644"/>
        </a:xfrm>
        <a:custGeom>
          <a:avLst/>
          <a:gdLst/>
          <a:ahLst/>
          <a:cxnLst/>
          <a:rect l="0" t="0" r="0" b="0"/>
          <a:pathLst>
            <a:path>
              <a:moveTo>
                <a:pt x="0" y="8822"/>
              </a:moveTo>
              <a:lnTo>
                <a:pt x="306002"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300711" y="1665972"/>
        <a:ext cx="15300" cy="15300"/>
      </dsp:txXfrm>
    </dsp:sp>
    <dsp:sp modelId="{477F4DE0-6ED5-4767-A5B4-D397AECE6401}">
      <dsp:nvSpPr>
        <dsp:cNvPr id="0" name=""/>
        <dsp:cNvSpPr/>
      </dsp:nvSpPr>
      <dsp:spPr>
        <a:xfrm>
          <a:off x="2432601" y="1607619"/>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co-branded credit card fees</a:t>
          </a:r>
        </a:p>
      </dsp:txBody>
      <dsp:txXfrm>
        <a:off x="2441698" y="1616716"/>
        <a:ext cx="603003" cy="292404"/>
      </dsp:txXfrm>
    </dsp:sp>
    <dsp:sp modelId="{6DC709CC-E371-40DF-AF9D-2B1782F2B59A}">
      <dsp:nvSpPr>
        <dsp:cNvPr id="0" name=""/>
        <dsp:cNvSpPr/>
      </dsp:nvSpPr>
      <dsp:spPr>
        <a:xfrm rot="4249260">
          <a:off x="1930182" y="1932691"/>
          <a:ext cx="756357" cy="17644"/>
        </a:xfrm>
        <a:custGeom>
          <a:avLst/>
          <a:gdLst/>
          <a:ahLst/>
          <a:cxnLst/>
          <a:rect l="0" t="0" r="0" b="0"/>
          <a:pathLst>
            <a:path>
              <a:moveTo>
                <a:pt x="0" y="8822"/>
              </a:moveTo>
              <a:lnTo>
                <a:pt x="756357"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9452" y="1922604"/>
        <a:ext cx="37817" cy="37817"/>
      </dsp:txXfrm>
    </dsp:sp>
    <dsp:sp modelId="{8E72ED94-4778-42A2-B7FF-431040BCF398}">
      <dsp:nvSpPr>
        <dsp:cNvPr id="0" name=""/>
        <dsp:cNvSpPr/>
      </dsp:nvSpPr>
      <dsp:spPr>
        <a:xfrm>
          <a:off x="2432601" y="2143402"/>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Management fees</a:t>
          </a:r>
        </a:p>
      </dsp:txBody>
      <dsp:txXfrm>
        <a:off x="2441698" y="2152499"/>
        <a:ext cx="603003" cy="292404"/>
      </dsp:txXfrm>
    </dsp:sp>
    <dsp:sp modelId="{D2CB0D16-207B-47D2-BE1A-5C5BD39D5C38}">
      <dsp:nvSpPr>
        <dsp:cNvPr id="0" name=""/>
        <dsp:cNvSpPr/>
      </dsp:nvSpPr>
      <dsp:spPr>
        <a:xfrm rot="18289469">
          <a:off x="2960480" y="2111286"/>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2109230"/>
        <a:ext cx="21755" cy="21755"/>
      </dsp:txXfrm>
    </dsp:sp>
    <dsp:sp modelId="{28CC1DCA-71F4-4E0B-969F-914AA49FB747}">
      <dsp:nvSpPr>
        <dsp:cNvPr id="0" name=""/>
        <dsp:cNvSpPr/>
      </dsp:nvSpPr>
      <dsp:spPr>
        <a:xfrm>
          <a:off x="3302277" y="1786214"/>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Base management fee</a:t>
          </a:r>
        </a:p>
      </dsp:txBody>
      <dsp:txXfrm>
        <a:off x="3311374" y="1795311"/>
        <a:ext cx="603003" cy="292404"/>
      </dsp:txXfrm>
    </dsp:sp>
    <dsp:sp modelId="{6FF0571C-01C2-4F55-AC7D-CBC18ECDA9CA}">
      <dsp:nvSpPr>
        <dsp:cNvPr id="0" name=""/>
        <dsp:cNvSpPr/>
      </dsp:nvSpPr>
      <dsp:spPr>
        <a:xfrm>
          <a:off x="3053798" y="2289880"/>
          <a:ext cx="248479" cy="17644"/>
        </a:xfrm>
        <a:custGeom>
          <a:avLst/>
          <a:gdLst/>
          <a:ahLst/>
          <a:cxnLst/>
          <a:rect l="0" t="0" r="0" b="0"/>
          <a:pathLst>
            <a:path>
              <a:moveTo>
                <a:pt x="0" y="8822"/>
              </a:moveTo>
              <a:lnTo>
                <a:pt x="248479"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71826" y="2292490"/>
        <a:ext cx="12423" cy="12423"/>
      </dsp:txXfrm>
    </dsp:sp>
    <dsp:sp modelId="{87AC0D2A-F439-47BF-9D14-FAE010AE80E0}">
      <dsp:nvSpPr>
        <dsp:cNvPr id="0" name=""/>
        <dsp:cNvSpPr/>
      </dsp:nvSpPr>
      <dsp:spPr>
        <a:xfrm>
          <a:off x="3302277" y="2143402"/>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Incentive management fee</a:t>
          </a:r>
        </a:p>
      </dsp:txBody>
      <dsp:txXfrm>
        <a:off x="3311374" y="2152499"/>
        <a:ext cx="603003" cy="292404"/>
      </dsp:txXfrm>
    </dsp:sp>
    <dsp:sp modelId="{135163E5-EC3C-4AE3-9EF8-A18FAA2E5235}">
      <dsp:nvSpPr>
        <dsp:cNvPr id="0" name=""/>
        <dsp:cNvSpPr/>
      </dsp:nvSpPr>
      <dsp:spPr>
        <a:xfrm rot="3310531">
          <a:off x="2960480" y="2468474"/>
          <a:ext cx="435115" cy="17644"/>
        </a:xfrm>
        <a:custGeom>
          <a:avLst/>
          <a:gdLst/>
          <a:ahLst/>
          <a:cxnLst/>
          <a:rect l="0" t="0" r="0" b="0"/>
          <a:pathLst>
            <a:path>
              <a:moveTo>
                <a:pt x="0" y="8822"/>
              </a:moveTo>
              <a:lnTo>
                <a:pt x="435115" y="88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3167160" y="2466418"/>
        <a:ext cx="21755" cy="21755"/>
      </dsp:txXfrm>
    </dsp:sp>
    <dsp:sp modelId="{C011210A-57EB-4D42-839E-71E729D85944}">
      <dsp:nvSpPr>
        <dsp:cNvPr id="0" name=""/>
        <dsp:cNvSpPr/>
      </dsp:nvSpPr>
      <dsp:spPr>
        <a:xfrm>
          <a:off x="3302277" y="250059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Cost reimbursement</a:t>
          </a:r>
        </a:p>
      </dsp:txBody>
      <dsp:txXfrm>
        <a:off x="3311374" y="2509688"/>
        <a:ext cx="603003" cy="292404"/>
      </dsp:txXfrm>
    </dsp:sp>
    <dsp:sp modelId="{2FE3C730-38F2-4DEB-8369-46F7EDD20142}">
      <dsp:nvSpPr>
        <dsp:cNvPr id="0" name=""/>
        <dsp:cNvSpPr/>
      </dsp:nvSpPr>
      <dsp:spPr>
        <a:xfrm rot="4616685">
          <a:off x="1758362" y="2111286"/>
          <a:ext cx="1099998" cy="17644"/>
        </a:xfrm>
        <a:custGeom>
          <a:avLst/>
          <a:gdLst/>
          <a:ahLst/>
          <a:cxnLst/>
          <a:rect l="0" t="0" r="0" b="0"/>
          <a:pathLst>
            <a:path>
              <a:moveTo>
                <a:pt x="0" y="8822"/>
              </a:moveTo>
              <a:lnTo>
                <a:pt x="1099998"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80861" y="2092608"/>
        <a:ext cx="54999" cy="54999"/>
      </dsp:txXfrm>
    </dsp:sp>
    <dsp:sp modelId="{15A26DCE-3802-469A-A7C0-1A5BF330852B}">
      <dsp:nvSpPr>
        <dsp:cNvPr id="0" name=""/>
        <dsp:cNvSpPr/>
      </dsp:nvSpPr>
      <dsp:spPr>
        <a:xfrm>
          <a:off x="2432601" y="2500591"/>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Marriot Bonvoy Programme</a:t>
          </a:r>
        </a:p>
      </dsp:txBody>
      <dsp:txXfrm>
        <a:off x="2441698" y="2509688"/>
        <a:ext cx="603003" cy="292404"/>
      </dsp:txXfrm>
    </dsp:sp>
    <dsp:sp modelId="{B8D2DAA9-5809-4A53-8547-2143AF398530}">
      <dsp:nvSpPr>
        <dsp:cNvPr id="0" name=""/>
        <dsp:cNvSpPr/>
      </dsp:nvSpPr>
      <dsp:spPr>
        <a:xfrm rot="4808052">
          <a:off x="1583261" y="2289880"/>
          <a:ext cx="1450200" cy="17644"/>
        </a:xfrm>
        <a:custGeom>
          <a:avLst/>
          <a:gdLst/>
          <a:ahLst/>
          <a:cxnLst/>
          <a:rect l="0" t="0" r="0" b="0"/>
          <a:pathLst>
            <a:path>
              <a:moveTo>
                <a:pt x="0" y="8822"/>
              </a:moveTo>
              <a:lnTo>
                <a:pt x="1450200" y="88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n-GB" sz="400" kern="1200"/>
        </a:p>
      </dsp:txBody>
      <dsp:txXfrm>
        <a:off x="2272106" y="2262447"/>
        <a:ext cx="72510" cy="72510"/>
      </dsp:txXfrm>
    </dsp:sp>
    <dsp:sp modelId="{06F3B3D9-09D1-434E-B048-5DB70E6E48A2}">
      <dsp:nvSpPr>
        <dsp:cNvPr id="0" name=""/>
        <dsp:cNvSpPr/>
      </dsp:nvSpPr>
      <dsp:spPr>
        <a:xfrm>
          <a:off x="2432601" y="2857780"/>
          <a:ext cx="621197" cy="310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Ritzacarlton yatch collection</a:t>
          </a:r>
        </a:p>
      </dsp:txBody>
      <dsp:txXfrm>
        <a:off x="2441698" y="2866877"/>
        <a:ext cx="603003" cy="292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1484A-DFB1-41EC-98B2-FCB60A1462AD}">
      <dsp:nvSpPr>
        <dsp:cNvPr id="0" name=""/>
        <dsp:cNvSpPr/>
      </dsp:nvSpPr>
      <dsp:spPr>
        <a:xfrm>
          <a:off x="3047238" y="2314575"/>
          <a:ext cx="398897" cy="91440"/>
        </a:xfrm>
        <a:custGeom>
          <a:avLst/>
          <a:gdLst/>
          <a:ahLst/>
          <a:cxnLst/>
          <a:rect l="0" t="0" r="0" b="0"/>
          <a:pathLst>
            <a:path>
              <a:moveTo>
                <a:pt x="0" y="45720"/>
              </a:moveTo>
              <a:lnTo>
                <a:pt x="39889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36714" y="2350322"/>
        <a:ext cx="19944" cy="19944"/>
      </dsp:txXfrm>
    </dsp:sp>
    <dsp:sp modelId="{A2AF03EA-1DAA-47A2-898B-A327BC02C816}">
      <dsp:nvSpPr>
        <dsp:cNvPr id="0" name=""/>
        <dsp:cNvSpPr/>
      </dsp:nvSpPr>
      <dsp:spPr>
        <a:xfrm>
          <a:off x="653850"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31839" y="1958787"/>
        <a:ext cx="42920" cy="42920"/>
      </dsp:txXfrm>
    </dsp:sp>
    <dsp:sp modelId="{44E16CED-8C61-4E84-834D-6D5AF7A16E2C}">
      <dsp:nvSpPr>
        <dsp:cNvPr id="0" name=""/>
        <dsp:cNvSpPr/>
      </dsp:nvSpPr>
      <dsp:spPr>
        <a:xfrm>
          <a:off x="653850" y="1554479"/>
          <a:ext cx="398897" cy="91440"/>
        </a:xfrm>
        <a:custGeom>
          <a:avLst/>
          <a:gdLst/>
          <a:ahLst/>
          <a:cxnLst/>
          <a:rect l="0" t="0" r="0" b="0"/>
          <a:pathLst>
            <a:path>
              <a:moveTo>
                <a:pt x="0" y="45720"/>
              </a:moveTo>
              <a:lnTo>
                <a:pt x="398897"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43327" y="1590227"/>
        <a:ext cx="19944" cy="19944"/>
      </dsp:txXfrm>
    </dsp:sp>
    <dsp:sp modelId="{865EFC8C-60B8-4890-A034-30BBF4CA989A}">
      <dsp:nvSpPr>
        <dsp:cNvPr id="0" name=""/>
        <dsp:cNvSpPr/>
      </dsp:nvSpPr>
      <dsp:spPr>
        <a:xfrm>
          <a:off x="3047238" y="794384"/>
          <a:ext cx="398897" cy="91440"/>
        </a:xfrm>
        <a:custGeom>
          <a:avLst/>
          <a:gdLst/>
          <a:ahLst/>
          <a:cxnLst/>
          <a:rect l="0" t="0" r="0" b="0"/>
          <a:pathLst>
            <a:path>
              <a:moveTo>
                <a:pt x="0" y="45720"/>
              </a:moveTo>
              <a:lnTo>
                <a:pt x="39889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36714" y="830132"/>
        <a:ext cx="19944" cy="19944"/>
      </dsp:txXfrm>
    </dsp:sp>
    <dsp:sp modelId="{EF566B66-E74A-4F09-9176-731042AB3B83}">
      <dsp:nvSpPr>
        <dsp:cNvPr id="0" name=""/>
        <dsp:cNvSpPr/>
      </dsp:nvSpPr>
      <dsp:spPr>
        <a:xfrm>
          <a:off x="653850"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831839" y="1198692"/>
        <a:ext cx="42920" cy="42920"/>
      </dsp:txXfrm>
    </dsp:sp>
    <dsp:sp modelId="{578D07DA-A4CF-4BCC-8ACB-48AC55A206CE}">
      <dsp:nvSpPr>
        <dsp:cNvPr id="0" name=""/>
        <dsp:cNvSpPr/>
      </dsp:nvSpPr>
      <dsp:spPr>
        <a:xfrm rot="16200000">
          <a:off x="-1250387" y="1296162"/>
          <a:ext cx="3200400"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1733550">
            <a:lnSpc>
              <a:spcPct val="90000"/>
            </a:lnSpc>
            <a:spcBef>
              <a:spcPct val="0"/>
            </a:spcBef>
            <a:spcAft>
              <a:spcPct val="35000"/>
            </a:spcAft>
            <a:buNone/>
          </a:pPr>
          <a:r>
            <a:rPr lang="en-GB" sz="3900" kern="1200"/>
            <a:t>Revenue</a:t>
          </a:r>
        </a:p>
      </dsp:txBody>
      <dsp:txXfrm>
        <a:off x="-1250387" y="1296162"/>
        <a:ext cx="3200400" cy="608076"/>
      </dsp:txXfrm>
    </dsp:sp>
    <dsp:sp modelId="{F2DF418D-B083-41D7-8C62-405C75D822BC}">
      <dsp:nvSpPr>
        <dsp:cNvPr id="0" name=""/>
        <dsp:cNvSpPr/>
      </dsp:nvSpPr>
      <dsp:spPr>
        <a:xfrm>
          <a:off x="1052748" y="536066"/>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MedTech </a:t>
          </a:r>
        </a:p>
      </dsp:txBody>
      <dsp:txXfrm>
        <a:off x="1052748" y="536066"/>
        <a:ext cx="1994489" cy="608076"/>
      </dsp:txXfrm>
    </dsp:sp>
    <dsp:sp modelId="{2BED8777-F906-450A-BDEC-B9E63D4B0270}">
      <dsp:nvSpPr>
        <dsp:cNvPr id="0" name=""/>
        <dsp:cNvSpPr/>
      </dsp:nvSpPr>
      <dsp:spPr>
        <a:xfrm>
          <a:off x="3446135" y="536066"/>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Acquisitions</a:t>
          </a:r>
        </a:p>
      </dsp:txBody>
      <dsp:txXfrm>
        <a:off x="3446135" y="536066"/>
        <a:ext cx="1994489" cy="608076"/>
      </dsp:txXfrm>
    </dsp:sp>
    <dsp:sp modelId="{96B35C75-3D0B-46E7-A4FF-D40AD37D6AF6}">
      <dsp:nvSpPr>
        <dsp:cNvPr id="0" name=""/>
        <dsp:cNvSpPr/>
      </dsp:nvSpPr>
      <dsp:spPr>
        <a:xfrm>
          <a:off x="1052748" y="1296161"/>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Pharmaceutical</a:t>
          </a:r>
        </a:p>
      </dsp:txBody>
      <dsp:txXfrm>
        <a:off x="1052748" y="1296161"/>
        <a:ext cx="1994489" cy="608076"/>
      </dsp:txXfrm>
    </dsp:sp>
    <dsp:sp modelId="{48187662-A7A0-4EAE-98DF-7356FE19D96B}">
      <dsp:nvSpPr>
        <dsp:cNvPr id="0" name=""/>
        <dsp:cNvSpPr/>
      </dsp:nvSpPr>
      <dsp:spPr>
        <a:xfrm>
          <a:off x="1052748" y="2056257"/>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Consumer Health</a:t>
          </a:r>
        </a:p>
      </dsp:txBody>
      <dsp:txXfrm>
        <a:off x="1052748" y="2056257"/>
        <a:ext cx="1994489" cy="608076"/>
      </dsp:txXfrm>
    </dsp:sp>
    <dsp:sp modelId="{1D778C93-E955-434B-8B6F-C9E2FADBBF7F}">
      <dsp:nvSpPr>
        <dsp:cNvPr id="0" name=""/>
        <dsp:cNvSpPr/>
      </dsp:nvSpPr>
      <dsp:spPr>
        <a:xfrm>
          <a:off x="3446135" y="2056257"/>
          <a:ext cx="1994489" cy="6080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Franchise</a:t>
          </a:r>
        </a:p>
      </dsp:txBody>
      <dsp:txXfrm>
        <a:off x="3446135" y="2056257"/>
        <a:ext cx="1994489" cy="6080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7</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Leonardo Zonouzi</cp:lastModifiedBy>
  <cp:revision>103</cp:revision>
  <dcterms:created xsi:type="dcterms:W3CDTF">2023-10-30T09:45:00Z</dcterms:created>
  <dcterms:modified xsi:type="dcterms:W3CDTF">2023-11-01T12:07:00Z</dcterms:modified>
</cp:coreProperties>
</file>