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E44B" w14:textId="7FA539C1" w:rsidR="000B5933" w:rsidRDefault="000B5933" w:rsidP="00971CD2">
      <w:pPr>
        <w:autoSpaceDE w:val="0"/>
        <w:autoSpaceDN w:val="0"/>
        <w:adjustRightInd w:val="0"/>
        <w:spacing w:after="0" w:line="240" w:lineRule="auto"/>
        <w:jc w:val="center"/>
        <w:rPr>
          <w:rFonts w:ascii="TimesNewRoman" w:hAnsi="TimesNewRoman" w:cs="TimesNewRoman"/>
          <w:b/>
          <w:bCs/>
          <w:sz w:val="24"/>
          <w:szCs w:val="24"/>
        </w:rPr>
      </w:pPr>
      <w:r>
        <w:rPr>
          <w:rFonts w:ascii="TimesNewRoman" w:hAnsi="TimesNewRoman" w:cs="TimesNewRoman"/>
          <w:b/>
          <w:bCs/>
          <w:sz w:val="24"/>
          <w:szCs w:val="24"/>
        </w:rPr>
        <w:t>Task 4: Revenue and Cost Drivers - Mohammed</w:t>
      </w:r>
    </w:p>
    <w:p w14:paraId="07B63BE8" w14:textId="45E6E689" w:rsidR="007C381A" w:rsidRDefault="007C381A" w:rsidP="00971CD2">
      <w:pPr>
        <w:autoSpaceDE w:val="0"/>
        <w:autoSpaceDN w:val="0"/>
        <w:adjustRightInd w:val="0"/>
        <w:spacing w:after="0" w:line="240" w:lineRule="auto"/>
        <w:jc w:val="center"/>
        <w:rPr>
          <w:rFonts w:ascii="TimesNewRoman" w:hAnsi="TimesNewRoman" w:cs="TimesNewRoman"/>
          <w:b/>
          <w:bCs/>
          <w:sz w:val="24"/>
          <w:szCs w:val="24"/>
        </w:rPr>
      </w:pPr>
      <w:r w:rsidRPr="007C381A">
        <w:rPr>
          <w:rFonts w:ascii="TimesNewRoman" w:hAnsi="TimesNewRoman" w:cs="TimesNewRoman"/>
          <w:b/>
          <w:bCs/>
          <w:sz w:val="24"/>
          <w:szCs w:val="24"/>
        </w:rPr>
        <w:t>Marriott</w:t>
      </w:r>
      <w:r w:rsidR="00971CD2">
        <w:rPr>
          <w:rFonts w:ascii="TimesNewRoman" w:hAnsi="TimesNewRoman" w:cs="TimesNewRoman"/>
          <w:b/>
          <w:bCs/>
          <w:sz w:val="24"/>
          <w:szCs w:val="24"/>
        </w:rPr>
        <w:t xml:space="preserve"> International</w:t>
      </w:r>
      <w:r w:rsidRPr="007C381A">
        <w:rPr>
          <w:rFonts w:ascii="TimesNewRoman" w:hAnsi="TimesNewRoman" w:cs="TimesNewRoman"/>
          <w:b/>
          <w:bCs/>
          <w:sz w:val="24"/>
          <w:szCs w:val="24"/>
        </w:rPr>
        <w:t xml:space="preserve"> Inc.</w:t>
      </w:r>
    </w:p>
    <w:p w14:paraId="4D27759B" w14:textId="77777777" w:rsidR="007C381A" w:rsidRPr="007C381A" w:rsidRDefault="007C381A" w:rsidP="00D94473">
      <w:pPr>
        <w:autoSpaceDE w:val="0"/>
        <w:autoSpaceDN w:val="0"/>
        <w:adjustRightInd w:val="0"/>
        <w:spacing w:after="0" w:line="240" w:lineRule="auto"/>
        <w:rPr>
          <w:rFonts w:ascii="TimesNewRoman" w:hAnsi="TimesNewRoman" w:cs="TimesNewRoman"/>
          <w:b/>
          <w:bCs/>
          <w:sz w:val="24"/>
          <w:szCs w:val="24"/>
        </w:rPr>
      </w:pPr>
    </w:p>
    <w:p w14:paraId="234B8405" w14:textId="77777777" w:rsidR="00634988" w:rsidRPr="00971CD2" w:rsidRDefault="00634988" w:rsidP="008B74D0">
      <w:pPr>
        <w:jc w:val="both"/>
        <w:rPr>
          <w:rFonts w:ascii="TimesNewRoman" w:hAnsi="TimesNewRoman" w:cs="TimesNewRoman"/>
          <w:b/>
          <w:bCs/>
          <w:sz w:val="24"/>
          <w:szCs w:val="24"/>
          <w:u w:val="single"/>
        </w:rPr>
      </w:pPr>
      <w:r w:rsidRPr="00971CD2">
        <w:rPr>
          <w:rFonts w:ascii="TimesNewRoman" w:hAnsi="TimesNewRoman" w:cs="TimesNewRoman"/>
          <w:b/>
          <w:bCs/>
          <w:sz w:val="24"/>
          <w:szCs w:val="24"/>
          <w:u w:val="single"/>
        </w:rPr>
        <w:t>Revenue Drivers</w:t>
      </w:r>
    </w:p>
    <w:p w14:paraId="06CE57B3" w14:textId="412E2B9A" w:rsidR="00895E00" w:rsidRDefault="007C381A" w:rsidP="008B74D0">
      <w:pPr>
        <w:jc w:val="both"/>
        <w:rPr>
          <w:rFonts w:ascii="Times New Roman" w:hAnsi="Times New Roman" w:cs="Times New Roman"/>
          <w:sz w:val="24"/>
          <w:szCs w:val="24"/>
        </w:rPr>
      </w:pPr>
      <w:r w:rsidRPr="00BE5C00">
        <w:rPr>
          <w:rFonts w:ascii="TimesNewRoman" w:hAnsi="TimesNewRoman" w:cs="TimesNewRoman"/>
          <w:sz w:val="24"/>
          <w:szCs w:val="24"/>
        </w:rPr>
        <w:t>Marriott Inc.</w:t>
      </w:r>
      <w:r w:rsidR="00BE5C00">
        <w:rPr>
          <w:rFonts w:ascii="TimesNewRoman" w:hAnsi="TimesNewRoman" w:cs="TimesNewRoman"/>
          <w:sz w:val="24"/>
          <w:szCs w:val="24"/>
        </w:rPr>
        <w:t>,</w:t>
      </w:r>
      <w:r w:rsidRPr="00BE5C00">
        <w:rPr>
          <w:rFonts w:ascii="TimesNewRoman" w:hAnsi="TimesNewRoman" w:cs="TimesNewRoman"/>
          <w:sz w:val="24"/>
          <w:szCs w:val="24"/>
        </w:rPr>
        <w:t xml:space="preserve"> major revenue drivers </w:t>
      </w:r>
      <w:r w:rsidR="00BE5C00" w:rsidRPr="00BE5C00">
        <w:rPr>
          <w:rFonts w:ascii="TimesNewRoman" w:hAnsi="TimesNewRoman" w:cs="TimesNewRoman"/>
          <w:sz w:val="24"/>
          <w:szCs w:val="24"/>
        </w:rPr>
        <w:t>include</w:t>
      </w:r>
      <w:r w:rsidRPr="00BE5C00">
        <w:rPr>
          <w:rFonts w:ascii="TimesNewRoman" w:hAnsi="TimesNewRoman" w:cs="TimesNewRoman"/>
          <w:sz w:val="24"/>
          <w:szCs w:val="24"/>
        </w:rPr>
        <w:t xml:space="preserve"> </w:t>
      </w:r>
      <w:r w:rsidRPr="00040746">
        <w:rPr>
          <w:rFonts w:ascii="TimesNewRoman" w:hAnsi="TimesNewRoman" w:cs="TimesNewRoman"/>
          <w:b/>
          <w:bCs/>
          <w:sz w:val="24"/>
          <w:szCs w:val="24"/>
        </w:rPr>
        <w:t xml:space="preserve">Based </w:t>
      </w:r>
      <w:r w:rsidR="00BE5C00" w:rsidRPr="00040746">
        <w:rPr>
          <w:rFonts w:ascii="TimesNewRoman" w:hAnsi="TimesNewRoman" w:cs="TimesNewRoman"/>
          <w:b/>
          <w:bCs/>
          <w:sz w:val="24"/>
          <w:szCs w:val="24"/>
        </w:rPr>
        <w:t>M</w:t>
      </w:r>
      <w:r w:rsidRPr="00040746">
        <w:rPr>
          <w:rFonts w:ascii="TimesNewRoman" w:hAnsi="TimesNewRoman" w:cs="TimesNewRoman"/>
          <w:b/>
          <w:bCs/>
          <w:sz w:val="24"/>
          <w:szCs w:val="24"/>
        </w:rPr>
        <w:t xml:space="preserve">anagement </w:t>
      </w:r>
      <w:r w:rsidR="00BE5C00" w:rsidRPr="00040746">
        <w:rPr>
          <w:rFonts w:ascii="TimesNewRoman" w:hAnsi="TimesNewRoman" w:cs="TimesNewRoman"/>
          <w:b/>
          <w:bCs/>
          <w:sz w:val="24"/>
          <w:szCs w:val="24"/>
        </w:rPr>
        <w:t>F</w:t>
      </w:r>
      <w:r w:rsidRPr="00040746">
        <w:rPr>
          <w:rFonts w:ascii="TimesNewRoman" w:hAnsi="TimesNewRoman" w:cs="TimesNewRoman"/>
          <w:b/>
          <w:bCs/>
          <w:sz w:val="24"/>
          <w:szCs w:val="24"/>
        </w:rPr>
        <w:t>ees</w:t>
      </w:r>
      <w:r w:rsidR="00C85B92">
        <w:rPr>
          <w:rFonts w:ascii="TimesNewRoman" w:hAnsi="TimesNewRoman" w:cs="TimesNewRoman"/>
          <w:sz w:val="24"/>
          <w:szCs w:val="24"/>
        </w:rPr>
        <w:t xml:space="preserve"> (</w:t>
      </w:r>
      <w:r w:rsidR="00C85B92" w:rsidRPr="0027457B">
        <w:rPr>
          <w:rFonts w:ascii="TimesNewRoman" w:hAnsi="TimesNewRoman" w:cs="TimesNewRoman"/>
          <w:sz w:val="24"/>
          <w:szCs w:val="24"/>
        </w:rPr>
        <w:t>Base and incentive management fees earned from hotel management services</w:t>
      </w:r>
      <w:r w:rsidR="00C85B92">
        <w:rPr>
          <w:rFonts w:ascii="TimesNewRoman" w:hAnsi="TimesNewRoman" w:cs="TimesNewRoman"/>
          <w:sz w:val="24"/>
          <w:szCs w:val="24"/>
        </w:rPr>
        <w:t>)</w:t>
      </w:r>
      <w:r w:rsidRPr="00BE5C00">
        <w:rPr>
          <w:rFonts w:ascii="TimesNewRoman" w:hAnsi="TimesNewRoman" w:cs="TimesNewRoman"/>
          <w:sz w:val="24"/>
          <w:szCs w:val="24"/>
        </w:rPr>
        <w:t>,</w:t>
      </w:r>
      <w:r>
        <w:rPr>
          <w:rFonts w:ascii="TimesNewRoman" w:hAnsi="TimesNewRoman" w:cs="TimesNewRoman"/>
          <w:sz w:val="20"/>
          <w:szCs w:val="20"/>
        </w:rPr>
        <w:t xml:space="preserve"> </w:t>
      </w:r>
      <w:r w:rsidRPr="00040746">
        <w:rPr>
          <w:rFonts w:ascii="Times New Roman" w:hAnsi="Times New Roman" w:cs="Times New Roman"/>
          <w:b/>
          <w:bCs/>
          <w:sz w:val="24"/>
          <w:szCs w:val="24"/>
        </w:rPr>
        <w:t>Franchise Fees</w:t>
      </w:r>
      <w:r w:rsidR="00C85B92">
        <w:rPr>
          <w:rFonts w:ascii="Times New Roman" w:hAnsi="Times New Roman" w:cs="Times New Roman"/>
          <w:sz w:val="24"/>
          <w:szCs w:val="24"/>
        </w:rPr>
        <w:t xml:space="preserve"> (</w:t>
      </w:r>
      <w:r w:rsidR="00C85B92" w:rsidRPr="0027457B">
        <w:rPr>
          <w:rFonts w:ascii="TimesNewRoman" w:hAnsi="TimesNewRoman" w:cs="TimesNewRoman"/>
          <w:sz w:val="24"/>
          <w:szCs w:val="24"/>
        </w:rPr>
        <w:t xml:space="preserve">application and royalty fees for the use of Marriott Inc., </w:t>
      </w:r>
      <w:r w:rsidR="00C85B92">
        <w:rPr>
          <w:rFonts w:ascii="TimesNewRoman" w:hAnsi="TimesNewRoman" w:cs="TimesNewRoman"/>
          <w:sz w:val="24"/>
          <w:szCs w:val="24"/>
        </w:rPr>
        <w:t xml:space="preserve">franchise and </w:t>
      </w:r>
      <w:r w:rsidR="00C85B92" w:rsidRPr="0027457B">
        <w:rPr>
          <w:rFonts w:ascii="TimesNewRoman" w:hAnsi="TimesNewRoman" w:cs="TimesNewRoman"/>
          <w:sz w:val="24"/>
          <w:szCs w:val="24"/>
        </w:rPr>
        <w:t>brand names</w:t>
      </w:r>
      <w:r w:rsidR="00C85B92">
        <w:rPr>
          <w:rFonts w:ascii="TimesNewRoman" w:hAnsi="TimesNewRoman" w:cs="TimesNewRoman"/>
          <w:sz w:val="24"/>
          <w:szCs w:val="24"/>
        </w:rPr>
        <w:t>)</w:t>
      </w:r>
      <w:r w:rsidRPr="00BE5C00">
        <w:rPr>
          <w:rFonts w:ascii="Times New Roman" w:hAnsi="Times New Roman" w:cs="Times New Roman"/>
          <w:sz w:val="24"/>
          <w:szCs w:val="24"/>
        </w:rPr>
        <w:t xml:space="preserve">, </w:t>
      </w:r>
      <w:r w:rsidRPr="00040746">
        <w:rPr>
          <w:rFonts w:ascii="Times New Roman" w:hAnsi="Times New Roman" w:cs="Times New Roman"/>
          <w:b/>
          <w:bCs/>
          <w:sz w:val="24"/>
          <w:szCs w:val="24"/>
        </w:rPr>
        <w:t>Owned, Leased, and other Revenue</w:t>
      </w:r>
      <w:r w:rsidR="00C85B92" w:rsidRPr="00040746">
        <w:rPr>
          <w:rFonts w:ascii="Times New Roman" w:hAnsi="Times New Roman" w:cs="Times New Roman"/>
          <w:b/>
          <w:bCs/>
          <w:sz w:val="24"/>
          <w:szCs w:val="24"/>
        </w:rPr>
        <w:t xml:space="preserve"> </w:t>
      </w:r>
      <w:r w:rsidR="00C85B92">
        <w:rPr>
          <w:rFonts w:ascii="Times New Roman" w:hAnsi="Times New Roman" w:cs="Times New Roman"/>
          <w:sz w:val="24"/>
          <w:szCs w:val="24"/>
        </w:rPr>
        <w:t xml:space="preserve">( rent and fees earned from Marriott’s owned hotels accommodation and services </w:t>
      </w:r>
      <w:r w:rsidR="00514F9A">
        <w:rPr>
          <w:rFonts w:ascii="Times New Roman" w:hAnsi="Times New Roman" w:cs="Times New Roman"/>
          <w:sz w:val="24"/>
          <w:szCs w:val="24"/>
        </w:rPr>
        <w:t>from</w:t>
      </w:r>
      <w:r w:rsidR="00C85B92">
        <w:rPr>
          <w:rFonts w:ascii="Times New Roman" w:hAnsi="Times New Roman" w:cs="Times New Roman"/>
          <w:sz w:val="24"/>
          <w:szCs w:val="24"/>
        </w:rPr>
        <w:t xml:space="preserve"> guest)</w:t>
      </w:r>
      <w:r w:rsidRPr="00BE5C00">
        <w:rPr>
          <w:rFonts w:ascii="Times New Roman" w:hAnsi="Times New Roman" w:cs="Times New Roman"/>
          <w:sz w:val="24"/>
          <w:szCs w:val="24"/>
        </w:rPr>
        <w:t xml:space="preserve">, </w:t>
      </w:r>
      <w:r w:rsidRPr="00040746">
        <w:rPr>
          <w:rFonts w:ascii="Times New Roman" w:hAnsi="Times New Roman" w:cs="Times New Roman"/>
          <w:b/>
          <w:bCs/>
          <w:sz w:val="24"/>
          <w:szCs w:val="24"/>
        </w:rPr>
        <w:t>Cost Reimbursement Revenue</w:t>
      </w:r>
      <w:r w:rsidR="00514F9A">
        <w:rPr>
          <w:rFonts w:ascii="Times New Roman" w:hAnsi="Times New Roman" w:cs="Times New Roman"/>
          <w:sz w:val="24"/>
          <w:szCs w:val="24"/>
        </w:rPr>
        <w:t xml:space="preserve"> (reimbursement of </w:t>
      </w:r>
      <w:r w:rsidR="00514F9A" w:rsidRPr="00514F9A">
        <w:rPr>
          <w:rFonts w:ascii="Times New Roman" w:hAnsi="Times New Roman" w:cs="Times New Roman"/>
          <w:sz w:val="24"/>
          <w:szCs w:val="24"/>
        </w:rPr>
        <w:t>costs incur on behalf of the managed, franchised, and licensed properties</w:t>
      </w:r>
      <w:r w:rsidR="00514F9A">
        <w:rPr>
          <w:rFonts w:ascii="Times New Roman" w:hAnsi="Times New Roman" w:cs="Times New Roman"/>
          <w:sz w:val="24"/>
          <w:szCs w:val="24"/>
        </w:rPr>
        <w:t>)</w:t>
      </w:r>
      <w:r w:rsidR="00C85B92" w:rsidRPr="00514F9A">
        <w:rPr>
          <w:rFonts w:ascii="Times New Roman" w:hAnsi="Times New Roman" w:cs="Times New Roman"/>
          <w:sz w:val="24"/>
          <w:szCs w:val="24"/>
        </w:rPr>
        <w:t>,</w:t>
      </w:r>
      <w:r w:rsidR="00C85B92">
        <w:rPr>
          <w:rFonts w:ascii="Times New Roman" w:hAnsi="Times New Roman" w:cs="Times New Roman"/>
          <w:sz w:val="24"/>
          <w:szCs w:val="24"/>
        </w:rPr>
        <w:t xml:space="preserve"> </w:t>
      </w:r>
      <w:r w:rsidR="00514F9A">
        <w:rPr>
          <w:rFonts w:ascii="Times New Roman" w:hAnsi="Times New Roman" w:cs="Times New Roman"/>
          <w:sz w:val="24"/>
          <w:szCs w:val="24"/>
        </w:rPr>
        <w:t xml:space="preserve">and </w:t>
      </w:r>
      <w:r w:rsidR="00C85B92" w:rsidRPr="00040746">
        <w:rPr>
          <w:rFonts w:ascii="Times New Roman" w:hAnsi="Times New Roman" w:cs="Times New Roman"/>
          <w:b/>
          <w:bCs/>
          <w:sz w:val="24"/>
          <w:szCs w:val="24"/>
        </w:rPr>
        <w:t>Incentive Management Fees</w:t>
      </w:r>
      <w:r w:rsidRPr="00BE5C00">
        <w:rPr>
          <w:rFonts w:ascii="Times New Roman" w:hAnsi="Times New Roman" w:cs="Times New Roman"/>
          <w:sz w:val="24"/>
          <w:szCs w:val="24"/>
        </w:rPr>
        <w:t>.</w:t>
      </w:r>
    </w:p>
    <w:p w14:paraId="5166C50B" w14:textId="77777777" w:rsidR="00C72C76" w:rsidRDefault="00C72C76" w:rsidP="008B74D0">
      <w:pPr>
        <w:jc w:val="both"/>
        <w:rPr>
          <w:rFonts w:ascii="Times New Roman" w:hAnsi="Times New Roman" w:cs="Times New Roman"/>
          <w:sz w:val="24"/>
          <w:szCs w:val="24"/>
        </w:rPr>
      </w:pPr>
    </w:p>
    <w:p w14:paraId="5BF0C1F4" w14:textId="77777777" w:rsidR="00C72C76" w:rsidRPr="00E12C21" w:rsidRDefault="00C72C76" w:rsidP="00C72C76">
      <w:pPr>
        <w:ind w:left="360"/>
        <w:rPr>
          <w:shd w:val="clear" w:color="auto" w:fill="00FF00"/>
        </w:rPr>
      </w:pPr>
      <w:r w:rsidRPr="00E12C21">
        <w:rPr>
          <w:shd w:val="clear" w:color="auto" w:fill="00FF00"/>
        </w:rPr>
        <w:t xml:space="preserve">Revenue is driven as RevPAR * No. Rooms where, </w:t>
      </w:r>
    </w:p>
    <w:p w14:paraId="3E4D9A36" w14:textId="77777777" w:rsidR="00C72C76" w:rsidRPr="00E12C21" w:rsidRDefault="00C72C76" w:rsidP="00C72C76">
      <w:pPr>
        <w:ind w:left="360"/>
        <w:rPr>
          <w:shd w:val="clear" w:color="auto" w:fill="00FF00"/>
        </w:rPr>
      </w:pPr>
      <w:r w:rsidRPr="00E12C21">
        <w:rPr>
          <w:shd w:val="clear" w:color="auto" w:fill="00FF00"/>
        </w:rPr>
        <w:t xml:space="preserve"> RevPAR is the function of ADR (price impact) * Occupancy (volume impact)</w:t>
      </w:r>
    </w:p>
    <w:p w14:paraId="4221EB06" w14:textId="77777777" w:rsidR="00C72C76" w:rsidRPr="00E12C21" w:rsidRDefault="00C72C76" w:rsidP="00C72C76">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2A42241E" w14:textId="77777777" w:rsidR="00C72C76" w:rsidRDefault="00C72C76" w:rsidP="00C72C76">
      <w:pPr>
        <w:spacing w:after="0" w:line="360" w:lineRule="auto"/>
        <w:ind w:left="-284" w:right="-284" w:firstLine="1004"/>
        <w:jc w:val="both"/>
        <w:rPr>
          <w:rFonts w:ascii="Cambria" w:hAnsi="Cambria"/>
        </w:rPr>
      </w:pPr>
    </w:p>
    <w:p w14:paraId="46704BB2" w14:textId="77777777" w:rsidR="00C72C76" w:rsidRDefault="00C72C76" w:rsidP="00C72C76">
      <w:pPr>
        <w:spacing w:after="0" w:line="360" w:lineRule="auto"/>
        <w:ind w:left="-284" w:right="-284" w:firstLine="1004"/>
        <w:jc w:val="both"/>
        <w:rPr>
          <w:rFonts w:ascii="Cambria" w:hAnsi="Cambria"/>
        </w:rPr>
      </w:pPr>
      <w:r w:rsidRPr="00703462">
        <w:rPr>
          <w:noProof/>
          <w:shd w:val="clear" w:color="auto" w:fill="00FF00"/>
        </w:rPr>
        <w:drawing>
          <wp:inline distT="0" distB="0" distL="0" distR="0" wp14:anchorId="7F180C7B" wp14:editId="58A3D9DF">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4911" cy="2514818"/>
                    </a:xfrm>
                    <a:prstGeom prst="rect">
                      <a:avLst/>
                    </a:prstGeom>
                  </pic:spPr>
                </pic:pic>
              </a:graphicData>
            </a:graphic>
          </wp:inline>
        </w:drawing>
      </w:r>
    </w:p>
    <w:p w14:paraId="5D14B95D" w14:textId="77777777" w:rsidR="00C72C76" w:rsidRPr="009D0768" w:rsidRDefault="00C72C76" w:rsidP="00C72C76">
      <w:r>
        <w:rPr>
          <w:shd w:val="clear" w:color="auto" w:fill="00FF00"/>
        </w:rPr>
        <w:t>Large portion of Marriot’s cost is the reimbursed expenses which is directly related to reimbursed revenue. Management and franchise related operating expenses will have be derived as a % of revenue.</w:t>
      </w:r>
    </w:p>
    <w:p w14:paraId="6EA21AF3" w14:textId="77777777" w:rsidR="00C72C76" w:rsidRPr="008B74D0" w:rsidRDefault="00C72C76" w:rsidP="008B74D0">
      <w:pPr>
        <w:jc w:val="both"/>
        <w:rPr>
          <w:rFonts w:ascii="TimesNewRoman" w:hAnsi="TimesNewRoman" w:cs="TimesNewRoman"/>
          <w:sz w:val="24"/>
          <w:szCs w:val="24"/>
        </w:rPr>
      </w:pPr>
    </w:p>
    <w:p w14:paraId="6F3DF0C8" w14:textId="77777777" w:rsidR="00895E00" w:rsidRDefault="00895E00" w:rsidP="00D94473">
      <w:pPr>
        <w:autoSpaceDE w:val="0"/>
        <w:autoSpaceDN w:val="0"/>
        <w:adjustRightInd w:val="0"/>
        <w:spacing w:after="0" w:line="240" w:lineRule="auto"/>
        <w:rPr>
          <w:rFonts w:ascii="TimesNewRoman" w:hAnsi="TimesNewRoman" w:cs="TimesNewRoman"/>
          <w:sz w:val="20"/>
          <w:szCs w:val="20"/>
        </w:rPr>
      </w:pPr>
    </w:p>
    <w:p w14:paraId="530D402D" w14:textId="77777777" w:rsidR="008B74D0" w:rsidRPr="00743F65" w:rsidRDefault="008B74D0" w:rsidP="008B74D0">
      <w:pPr>
        <w:jc w:val="both"/>
        <w:rPr>
          <w:rFonts w:ascii="Times New Roman" w:hAnsi="Times New Roman" w:cs="Times New Roman"/>
          <w:b/>
          <w:bCs/>
          <w:sz w:val="24"/>
          <w:szCs w:val="24"/>
        </w:rPr>
      </w:pPr>
      <w:r w:rsidRPr="00743F65">
        <w:rPr>
          <w:rFonts w:ascii="Times New Roman" w:hAnsi="Times New Roman" w:cs="Times New Roman"/>
          <w:b/>
          <w:bCs/>
          <w:sz w:val="24"/>
          <w:szCs w:val="24"/>
        </w:rPr>
        <w:t>Base Management Fees</w:t>
      </w:r>
    </w:p>
    <w:p w14:paraId="5A8572C5" w14:textId="0EC194D4" w:rsidR="0087199F" w:rsidRDefault="008B74D0" w:rsidP="008B74D0">
      <w:pPr>
        <w:pStyle w:val="ListParagraph"/>
        <w:numPr>
          <w:ilvl w:val="0"/>
          <w:numId w:val="13"/>
        </w:numPr>
        <w:jc w:val="both"/>
        <w:rPr>
          <w:rFonts w:ascii="Times New Roman" w:hAnsi="Times New Roman" w:cs="Times New Roman"/>
          <w:sz w:val="24"/>
          <w:szCs w:val="24"/>
        </w:rPr>
      </w:pPr>
      <w:r w:rsidRPr="0087199F">
        <w:rPr>
          <w:rFonts w:ascii="Times New Roman" w:hAnsi="Times New Roman" w:cs="Times New Roman"/>
          <w:sz w:val="24"/>
          <w:szCs w:val="24"/>
        </w:rPr>
        <w:t>Increasing trend over the years with growth rates of 51.02% and 56.05% for 2021 and 2022 respectively</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Pr="0087199F">
        <w:rPr>
          <w:rFonts w:ascii="Times New Roman" w:hAnsi="Times New Roman" w:cs="Times New Roman"/>
          <w:sz w:val="24"/>
          <w:szCs w:val="24"/>
        </w:rPr>
        <w:t>.</w:t>
      </w:r>
    </w:p>
    <w:p w14:paraId="2A14460F" w14:textId="583B8F4E" w:rsidR="0087199F" w:rsidRDefault="008B74D0" w:rsidP="008B74D0">
      <w:pPr>
        <w:pStyle w:val="ListParagraph"/>
        <w:numPr>
          <w:ilvl w:val="0"/>
          <w:numId w:val="13"/>
        </w:numPr>
        <w:jc w:val="both"/>
        <w:rPr>
          <w:rFonts w:ascii="Times New Roman" w:hAnsi="Times New Roman" w:cs="Times New Roman"/>
          <w:sz w:val="24"/>
          <w:szCs w:val="24"/>
        </w:rPr>
      </w:pPr>
      <w:r w:rsidRPr="0087199F">
        <w:rPr>
          <w:rFonts w:ascii="Times New Roman" w:hAnsi="Times New Roman" w:cs="Times New Roman"/>
          <w:sz w:val="24"/>
          <w:szCs w:val="24"/>
        </w:rPr>
        <w:lastRenderedPageBreak/>
        <w:t xml:space="preserve">Contributes about 4.19%, 4.83% and 5.03% </w:t>
      </w:r>
      <w:r w:rsidR="0087199F" w:rsidRPr="0087199F">
        <w:rPr>
          <w:rFonts w:ascii="Times New Roman" w:hAnsi="Times New Roman" w:cs="Times New Roman"/>
          <w:sz w:val="24"/>
          <w:szCs w:val="24"/>
        </w:rPr>
        <w:t xml:space="preserve">to gross revenue </w:t>
      </w:r>
      <w:r w:rsidRPr="0087199F">
        <w:rPr>
          <w:rFonts w:ascii="Times New Roman" w:hAnsi="Times New Roman" w:cs="Times New Roman"/>
          <w:sz w:val="24"/>
          <w:szCs w:val="24"/>
        </w:rPr>
        <w:t>for 2020, 2021 and 2022 respectively</w:t>
      </w:r>
      <w:r w:rsidR="001F55D4">
        <w:rPr>
          <w:rFonts w:ascii="Times New Roman" w:hAnsi="Times New Roman" w:cs="Times New Roman"/>
          <w:sz w:val="24"/>
          <w:szCs w:val="24"/>
        </w:rPr>
        <w:t xml:space="preserve"> -</w:t>
      </w:r>
      <w:r w:rsidR="001F55D4" w:rsidRPr="001F55D4">
        <w:rPr>
          <w:rFonts w:ascii="Times New Roman" w:hAnsi="Times New Roman" w:cs="Times New Roman"/>
          <w:b/>
          <w:bCs/>
          <w:i/>
          <w:iCs/>
          <w:sz w:val="24"/>
          <w:szCs w:val="24"/>
        </w:rPr>
        <w:t xml:space="preserve"> </w:t>
      </w:r>
      <w:r w:rsidR="001F55D4" w:rsidRPr="00D94E9C">
        <w:rPr>
          <w:rFonts w:ascii="Times New Roman" w:hAnsi="Times New Roman" w:cs="Times New Roman"/>
          <w:b/>
          <w:bCs/>
          <w:i/>
          <w:iCs/>
          <w:sz w:val="24"/>
          <w:szCs w:val="24"/>
        </w:rPr>
        <w:t>refer to diagram below</w:t>
      </w:r>
      <w:r w:rsidRPr="0087199F">
        <w:rPr>
          <w:rFonts w:ascii="Times New Roman" w:hAnsi="Times New Roman" w:cs="Times New Roman"/>
          <w:sz w:val="24"/>
          <w:szCs w:val="24"/>
        </w:rPr>
        <w:t xml:space="preserve">. </w:t>
      </w:r>
    </w:p>
    <w:p w14:paraId="5C2F2A08" w14:textId="2CDE8374" w:rsidR="008B74D0" w:rsidRPr="00971CD2" w:rsidRDefault="008B74D0" w:rsidP="008B74D0">
      <w:pPr>
        <w:pStyle w:val="ListParagraph"/>
        <w:numPr>
          <w:ilvl w:val="0"/>
          <w:numId w:val="13"/>
        </w:numPr>
        <w:jc w:val="both"/>
        <w:rPr>
          <w:rFonts w:ascii="Times New Roman" w:hAnsi="Times New Roman" w:cs="Times New Roman"/>
          <w:sz w:val="24"/>
          <w:szCs w:val="24"/>
        </w:rPr>
      </w:pPr>
      <w:r w:rsidRPr="0087199F">
        <w:rPr>
          <w:rFonts w:ascii="Times New Roman" w:hAnsi="Times New Roman" w:cs="Times New Roman"/>
          <w:sz w:val="24"/>
          <w:szCs w:val="24"/>
        </w:rPr>
        <w:t>Higher base management fees contribute positively to the gross revenue growth.</w:t>
      </w:r>
    </w:p>
    <w:p w14:paraId="186C4B27" w14:textId="77777777" w:rsidR="008B74D0" w:rsidRPr="00743F65" w:rsidRDefault="008B74D0" w:rsidP="008B74D0">
      <w:pPr>
        <w:jc w:val="both"/>
        <w:rPr>
          <w:rFonts w:ascii="Times New Roman" w:hAnsi="Times New Roman" w:cs="Times New Roman"/>
          <w:b/>
          <w:bCs/>
          <w:sz w:val="24"/>
          <w:szCs w:val="24"/>
        </w:rPr>
      </w:pPr>
      <w:r w:rsidRPr="00743F65">
        <w:rPr>
          <w:rFonts w:ascii="Times New Roman" w:hAnsi="Times New Roman" w:cs="Times New Roman"/>
          <w:b/>
          <w:bCs/>
          <w:sz w:val="24"/>
          <w:szCs w:val="24"/>
        </w:rPr>
        <w:t>Franchise Fees</w:t>
      </w:r>
    </w:p>
    <w:p w14:paraId="6A1248FE" w14:textId="33773287" w:rsidR="0087199F" w:rsidRDefault="008B74D0" w:rsidP="008B74D0">
      <w:pPr>
        <w:pStyle w:val="ListParagraph"/>
        <w:numPr>
          <w:ilvl w:val="0"/>
          <w:numId w:val="14"/>
        </w:numPr>
        <w:jc w:val="both"/>
        <w:rPr>
          <w:rFonts w:ascii="Times New Roman" w:hAnsi="Times New Roman" w:cs="Times New Roman"/>
          <w:sz w:val="24"/>
          <w:szCs w:val="24"/>
        </w:rPr>
      </w:pPr>
      <w:r w:rsidRPr="0087199F">
        <w:rPr>
          <w:rFonts w:ascii="Times New Roman" w:hAnsi="Times New Roman" w:cs="Times New Roman"/>
          <w:sz w:val="24"/>
          <w:szCs w:val="24"/>
        </w:rPr>
        <w:t>Increasing trend over the years with 2020 ($1,153m), 2021 ($1,790m) and 2022 ($2,505m)</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00D94E9C">
        <w:rPr>
          <w:rFonts w:ascii="Times New Roman" w:hAnsi="Times New Roman" w:cs="Times New Roman"/>
          <w:b/>
          <w:bCs/>
          <w:i/>
          <w:iCs/>
          <w:sz w:val="24"/>
          <w:szCs w:val="24"/>
        </w:rPr>
        <w:t xml:space="preserve">. </w:t>
      </w:r>
    </w:p>
    <w:p w14:paraId="418EBAF1" w14:textId="651E1A45" w:rsidR="0087199F" w:rsidRDefault="008B74D0" w:rsidP="008B74D0">
      <w:pPr>
        <w:pStyle w:val="ListParagraph"/>
        <w:numPr>
          <w:ilvl w:val="0"/>
          <w:numId w:val="14"/>
        </w:numPr>
        <w:jc w:val="both"/>
        <w:rPr>
          <w:rFonts w:ascii="Times New Roman" w:hAnsi="Times New Roman" w:cs="Times New Roman"/>
          <w:sz w:val="24"/>
          <w:szCs w:val="24"/>
        </w:rPr>
      </w:pPr>
      <w:r w:rsidRPr="0087199F">
        <w:rPr>
          <w:rFonts w:ascii="Times New Roman" w:hAnsi="Times New Roman" w:cs="Times New Roman"/>
          <w:sz w:val="24"/>
          <w:szCs w:val="24"/>
        </w:rPr>
        <w:t>Contributes about 10.91%, 12.92% and 12.02% for 2020, 2021 and 2022 respectively to gross revenue</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Pr="0087199F">
        <w:rPr>
          <w:rFonts w:ascii="Times New Roman" w:hAnsi="Times New Roman" w:cs="Times New Roman"/>
          <w:sz w:val="24"/>
          <w:szCs w:val="24"/>
        </w:rPr>
        <w:t>.</w:t>
      </w:r>
    </w:p>
    <w:p w14:paraId="05A70FEC" w14:textId="11032AD4" w:rsidR="008B74D0" w:rsidRPr="0087199F" w:rsidRDefault="008B74D0" w:rsidP="008B74D0">
      <w:pPr>
        <w:pStyle w:val="ListParagraph"/>
        <w:numPr>
          <w:ilvl w:val="0"/>
          <w:numId w:val="14"/>
        </w:numPr>
        <w:jc w:val="both"/>
        <w:rPr>
          <w:rFonts w:ascii="Times New Roman" w:hAnsi="Times New Roman" w:cs="Times New Roman"/>
          <w:sz w:val="24"/>
          <w:szCs w:val="24"/>
        </w:rPr>
      </w:pPr>
      <w:r w:rsidRPr="0087199F">
        <w:rPr>
          <w:rFonts w:ascii="Times New Roman" w:hAnsi="Times New Roman" w:cs="Times New Roman"/>
          <w:sz w:val="24"/>
          <w:szCs w:val="24"/>
        </w:rPr>
        <w:t>Growing franchise fees have a significant positive impact on gross revenue.</w:t>
      </w:r>
    </w:p>
    <w:p w14:paraId="751A9451" w14:textId="77777777" w:rsidR="008B74D0" w:rsidRPr="00743F65" w:rsidRDefault="008B74D0" w:rsidP="008B74D0">
      <w:pPr>
        <w:jc w:val="both"/>
        <w:rPr>
          <w:rFonts w:ascii="Times New Roman" w:hAnsi="Times New Roman" w:cs="Times New Roman"/>
          <w:b/>
          <w:bCs/>
          <w:sz w:val="24"/>
          <w:szCs w:val="24"/>
        </w:rPr>
      </w:pPr>
      <w:r w:rsidRPr="00743F65">
        <w:rPr>
          <w:rFonts w:ascii="Times New Roman" w:hAnsi="Times New Roman" w:cs="Times New Roman"/>
          <w:b/>
          <w:bCs/>
          <w:sz w:val="24"/>
          <w:szCs w:val="24"/>
        </w:rPr>
        <w:t>Incentive Management Fees</w:t>
      </w:r>
    </w:p>
    <w:p w14:paraId="0C5049EF" w14:textId="57EEA23D" w:rsidR="0087199F" w:rsidRDefault="008B74D0" w:rsidP="008B74D0">
      <w:pPr>
        <w:pStyle w:val="ListParagraph"/>
        <w:numPr>
          <w:ilvl w:val="0"/>
          <w:numId w:val="15"/>
        </w:numPr>
        <w:jc w:val="both"/>
        <w:rPr>
          <w:rFonts w:ascii="Times New Roman" w:hAnsi="Times New Roman" w:cs="Times New Roman"/>
          <w:sz w:val="24"/>
          <w:szCs w:val="24"/>
        </w:rPr>
      </w:pPr>
      <w:r w:rsidRPr="0087199F">
        <w:rPr>
          <w:rFonts w:ascii="Times New Roman" w:hAnsi="Times New Roman" w:cs="Times New Roman"/>
          <w:sz w:val="24"/>
          <w:szCs w:val="24"/>
        </w:rPr>
        <w:t>Increasing trend over the years 2020 ($87m), 2021 ($235m), 2022 ($529m)</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Pr="0087199F">
        <w:rPr>
          <w:rFonts w:ascii="Times New Roman" w:hAnsi="Times New Roman" w:cs="Times New Roman"/>
          <w:sz w:val="24"/>
          <w:szCs w:val="24"/>
        </w:rPr>
        <w:t xml:space="preserve">. </w:t>
      </w:r>
    </w:p>
    <w:p w14:paraId="6B3701AC" w14:textId="5FFC35A2" w:rsidR="0087199F" w:rsidRDefault="008B74D0" w:rsidP="008B74D0">
      <w:pPr>
        <w:pStyle w:val="ListParagraph"/>
        <w:numPr>
          <w:ilvl w:val="0"/>
          <w:numId w:val="15"/>
        </w:numPr>
        <w:jc w:val="both"/>
        <w:rPr>
          <w:rFonts w:ascii="Times New Roman" w:hAnsi="Times New Roman" w:cs="Times New Roman"/>
          <w:sz w:val="24"/>
          <w:szCs w:val="24"/>
        </w:rPr>
      </w:pPr>
      <w:r w:rsidRPr="0087199F">
        <w:rPr>
          <w:rFonts w:ascii="Times New Roman" w:hAnsi="Times New Roman" w:cs="Times New Roman"/>
          <w:sz w:val="24"/>
          <w:szCs w:val="24"/>
        </w:rPr>
        <w:t>Contributes about 0.82%, 1.70% and 2.55% for 2020, 2021 and 2022 respectively to gross revenue</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Pr="0087199F">
        <w:rPr>
          <w:rFonts w:ascii="Times New Roman" w:hAnsi="Times New Roman" w:cs="Times New Roman"/>
          <w:sz w:val="24"/>
          <w:szCs w:val="24"/>
        </w:rPr>
        <w:t>.</w:t>
      </w:r>
    </w:p>
    <w:p w14:paraId="17474303" w14:textId="6048FDA1" w:rsidR="008B74D0" w:rsidRPr="0087199F" w:rsidRDefault="008B74D0" w:rsidP="008B74D0">
      <w:pPr>
        <w:pStyle w:val="ListParagraph"/>
        <w:numPr>
          <w:ilvl w:val="0"/>
          <w:numId w:val="15"/>
        </w:numPr>
        <w:jc w:val="both"/>
        <w:rPr>
          <w:rFonts w:ascii="Times New Roman" w:hAnsi="Times New Roman" w:cs="Times New Roman"/>
          <w:sz w:val="24"/>
          <w:szCs w:val="24"/>
        </w:rPr>
      </w:pPr>
      <w:r w:rsidRPr="0087199F">
        <w:rPr>
          <w:rFonts w:ascii="Times New Roman" w:hAnsi="Times New Roman" w:cs="Times New Roman"/>
          <w:sz w:val="24"/>
          <w:szCs w:val="24"/>
        </w:rPr>
        <w:t>One of the least revenue drivers and the rise in incentive management fees positively influences gross revenue.</w:t>
      </w:r>
    </w:p>
    <w:p w14:paraId="23E28416" w14:textId="77777777" w:rsidR="008B74D0" w:rsidRPr="00743F65" w:rsidRDefault="008B74D0" w:rsidP="008B74D0">
      <w:pPr>
        <w:jc w:val="both"/>
        <w:rPr>
          <w:rFonts w:ascii="Times New Roman" w:hAnsi="Times New Roman" w:cs="Times New Roman"/>
          <w:b/>
          <w:bCs/>
          <w:sz w:val="24"/>
          <w:szCs w:val="24"/>
        </w:rPr>
      </w:pPr>
      <w:r w:rsidRPr="00743F65">
        <w:rPr>
          <w:rFonts w:ascii="Times New Roman" w:hAnsi="Times New Roman" w:cs="Times New Roman"/>
          <w:b/>
          <w:bCs/>
          <w:sz w:val="24"/>
          <w:szCs w:val="24"/>
        </w:rPr>
        <w:t>Owned, Leased, and other Revenue.</w:t>
      </w:r>
    </w:p>
    <w:p w14:paraId="3618BF38" w14:textId="643BE7BA" w:rsidR="0087199F" w:rsidRDefault="008B74D0" w:rsidP="008B74D0">
      <w:pPr>
        <w:pStyle w:val="ListParagraph"/>
        <w:numPr>
          <w:ilvl w:val="0"/>
          <w:numId w:val="16"/>
        </w:numPr>
        <w:jc w:val="both"/>
        <w:rPr>
          <w:rFonts w:ascii="Times New Roman" w:hAnsi="Times New Roman" w:cs="Times New Roman"/>
          <w:sz w:val="24"/>
          <w:szCs w:val="24"/>
        </w:rPr>
      </w:pPr>
      <w:r w:rsidRPr="0087199F">
        <w:rPr>
          <w:rFonts w:ascii="Times New Roman" w:hAnsi="Times New Roman" w:cs="Times New Roman"/>
          <w:sz w:val="24"/>
          <w:szCs w:val="24"/>
        </w:rPr>
        <w:t>Increasing trend over the years growing significantly from 40.14% in 2021 to 71.73% in 2022</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p>
    <w:p w14:paraId="4DFC59B7" w14:textId="77777777" w:rsidR="0087199F" w:rsidRDefault="008B74D0" w:rsidP="008B74D0">
      <w:pPr>
        <w:pStyle w:val="ListParagraph"/>
        <w:numPr>
          <w:ilvl w:val="0"/>
          <w:numId w:val="16"/>
        </w:numPr>
        <w:jc w:val="both"/>
        <w:rPr>
          <w:rFonts w:ascii="Times New Roman" w:hAnsi="Times New Roman" w:cs="Times New Roman"/>
          <w:sz w:val="24"/>
          <w:szCs w:val="24"/>
        </w:rPr>
      </w:pPr>
      <w:r w:rsidRPr="0087199F">
        <w:rPr>
          <w:rFonts w:ascii="Times New Roman" w:hAnsi="Times New Roman" w:cs="Times New Roman"/>
          <w:sz w:val="24"/>
          <w:szCs w:val="24"/>
        </w:rPr>
        <w:t>This type of revenue contributes to the overall growth of gross revenue.</w:t>
      </w:r>
    </w:p>
    <w:p w14:paraId="600B5A2D" w14:textId="78354133" w:rsidR="008B74D0" w:rsidRPr="0087199F" w:rsidRDefault="008B74D0" w:rsidP="008B74D0">
      <w:pPr>
        <w:pStyle w:val="ListParagraph"/>
        <w:numPr>
          <w:ilvl w:val="0"/>
          <w:numId w:val="16"/>
        </w:numPr>
        <w:jc w:val="both"/>
        <w:rPr>
          <w:rFonts w:ascii="Times New Roman" w:hAnsi="Times New Roman" w:cs="Times New Roman"/>
          <w:sz w:val="24"/>
          <w:szCs w:val="24"/>
        </w:rPr>
      </w:pPr>
      <w:r w:rsidRPr="0087199F">
        <w:rPr>
          <w:rFonts w:ascii="Times New Roman" w:hAnsi="Times New Roman" w:cs="Times New Roman"/>
          <w:sz w:val="24"/>
          <w:szCs w:val="24"/>
        </w:rPr>
        <w:t>Contributing about 5.37%, 5.74% and 6.58% for 2020, 2021 and 2022 respectively to gross revenue</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0087199F">
        <w:rPr>
          <w:rFonts w:ascii="Times New Roman" w:hAnsi="Times New Roman" w:cs="Times New Roman"/>
          <w:sz w:val="24"/>
          <w:szCs w:val="24"/>
        </w:rPr>
        <w:t>.</w:t>
      </w:r>
    </w:p>
    <w:p w14:paraId="2E8F6D1B" w14:textId="77777777" w:rsidR="008B74D0" w:rsidRPr="00743F65" w:rsidRDefault="008B74D0" w:rsidP="008B74D0">
      <w:pPr>
        <w:jc w:val="both"/>
        <w:rPr>
          <w:rFonts w:ascii="Times New Roman" w:hAnsi="Times New Roman" w:cs="Times New Roman"/>
          <w:b/>
          <w:bCs/>
          <w:sz w:val="24"/>
          <w:szCs w:val="24"/>
        </w:rPr>
      </w:pPr>
      <w:r w:rsidRPr="00743F65">
        <w:rPr>
          <w:rFonts w:ascii="Times New Roman" w:hAnsi="Times New Roman" w:cs="Times New Roman"/>
          <w:b/>
          <w:bCs/>
          <w:sz w:val="24"/>
          <w:szCs w:val="24"/>
        </w:rPr>
        <w:t>Cost Reimbursement Revenue</w:t>
      </w:r>
      <w:r w:rsidRPr="00E842B9">
        <w:rPr>
          <w:rFonts w:ascii="Times New Roman" w:hAnsi="Times New Roman" w:cs="Times New Roman"/>
          <w:b/>
          <w:bCs/>
          <w:sz w:val="24"/>
          <w:szCs w:val="24"/>
        </w:rPr>
        <w:t>.</w:t>
      </w:r>
    </w:p>
    <w:p w14:paraId="63C6CF90" w14:textId="50E70449" w:rsidR="0087199F" w:rsidRDefault="008B74D0" w:rsidP="008B74D0">
      <w:pPr>
        <w:pStyle w:val="ListParagraph"/>
        <w:numPr>
          <w:ilvl w:val="0"/>
          <w:numId w:val="17"/>
        </w:numPr>
        <w:jc w:val="both"/>
        <w:rPr>
          <w:rFonts w:ascii="Times New Roman" w:hAnsi="Times New Roman" w:cs="Times New Roman"/>
          <w:sz w:val="24"/>
          <w:szCs w:val="24"/>
        </w:rPr>
      </w:pPr>
      <w:r w:rsidRPr="0087199F">
        <w:rPr>
          <w:rFonts w:ascii="Times New Roman" w:hAnsi="Times New Roman" w:cs="Times New Roman"/>
          <w:sz w:val="24"/>
          <w:szCs w:val="24"/>
        </w:rPr>
        <w:t>Increasing trend over the years with $8,452m for 2020, $10,442m for 2021 and $15,417m for 2022</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Pr="0087199F">
        <w:rPr>
          <w:rFonts w:ascii="Times New Roman" w:hAnsi="Times New Roman" w:cs="Times New Roman"/>
          <w:sz w:val="24"/>
          <w:szCs w:val="24"/>
        </w:rPr>
        <w:t>.</w:t>
      </w:r>
    </w:p>
    <w:p w14:paraId="210E9053" w14:textId="46C3944C" w:rsidR="0087199F" w:rsidRDefault="008B74D0" w:rsidP="008B74D0">
      <w:pPr>
        <w:pStyle w:val="ListParagraph"/>
        <w:numPr>
          <w:ilvl w:val="0"/>
          <w:numId w:val="17"/>
        </w:numPr>
        <w:jc w:val="both"/>
        <w:rPr>
          <w:rFonts w:ascii="Times New Roman" w:hAnsi="Times New Roman" w:cs="Times New Roman"/>
          <w:sz w:val="24"/>
          <w:szCs w:val="24"/>
        </w:rPr>
      </w:pPr>
      <w:r w:rsidRPr="0087199F">
        <w:rPr>
          <w:rFonts w:ascii="Times New Roman" w:hAnsi="Times New Roman" w:cs="Times New Roman"/>
          <w:sz w:val="24"/>
          <w:szCs w:val="24"/>
        </w:rPr>
        <w:t>Cost reimbursement revenue has a substantial positive impact on gross revenue, and it is the highest revenue driver for Marriott Inc.</w:t>
      </w:r>
      <w:r w:rsidR="0087199F">
        <w:rPr>
          <w:rFonts w:ascii="Times New Roman" w:hAnsi="Times New Roman" w:cs="Times New Roman"/>
          <w:sz w:val="24"/>
          <w:szCs w:val="24"/>
        </w:rPr>
        <w:t>,</w:t>
      </w:r>
      <w:r w:rsidRPr="0087199F">
        <w:rPr>
          <w:rFonts w:ascii="Times New Roman" w:hAnsi="Times New Roman" w:cs="Times New Roman"/>
          <w:sz w:val="24"/>
          <w:szCs w:val="24"/>
        </w:rPr>
        <w:t xml:space="preserve"> over the years.</w:t>
      </w:r>
    </w:p>
    <w:p w14:paraId="17692D08" w14:textId="4DC926B4" w:rsidR="008B74D0" w:rsidRPr="0087199F" w:rsidRDefault="008B74D0" w:rsidP="008B74D0">
      <w:pPr>
        <w:pStyle w:val="ListParagraph"/>
        <w:numPr>
          <w:ilvl w:val="0"/>
          <w:numId w:val="17"/>
        </w:numPr>
        <w:jc w:val="both"/>
        <w:rPr>
          <w:rFonts w:ascii="Times New Roman" w:hAnsi="Times New Roman" w:cs="Times New Roman"/>
          <w:sz w:val="24"/>
          <w:szCs w:val="24"/>
        </w:rPr>
      </w:pPr>
      <w:r w:rsidRPr="0087199F">
        <w:rPr>
          <w:rFonts w:ascii="Times New Roman" w:hAnsi="Times New Roman" w:cs="Times New Roman"/>
          <w:sz w:val="24"/>
          <w:szCs w:val="24"/>
        </w:rPr>
        <w:t>Contributing more than three-quarters of the entire revenue for Marriott thus. 79.95%, 75.36% and 74.22% for 2020, 2021 and 2022 respectively</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Pr="0087199F">
        <w:rPr>
          <w:rFonts w:ascii="Times New Roman" w:hAnsi="Times New Roman" w:cs="Times New Roman"/>
          <w:sz w:val="24"/>
          <w:szCs w:val="24"/>
        </w:rPr>
        <w:t>.</w:t>
      </w:r>
    </w:p>
    <w:p w14:paraId="790A18AB" w14:textId="77777777" w:rsidR="00895E00" w:rsidRDefault="00895E00" w:rsidP="00D94473">
      <w:pPr>
        <w:autoSpaceDE w:val="0"/>
        <w:autoSpaceDN w:val="0"/>
        <w:adjustRightInd w:val="0"/>
        <w:spacing w:after="0" w:line="240" w:lineRule="auto"/>
        <w:rPr>
          <w:rFonts w:ascii="TimesNewRoman" w:hAnsi="TimesNewRoman" w:cs="TimesNewRoman"/>
          <w:sz w:val="20"/>
          <w:szCs w:val="20"/>
        </w:rPr>
      </w:pPr>
    </w:p>
    <w:p w14:paraId="508FAC3D" w14:textId="77777777" w:rsidR="00DC06A2" w:rsidRDefault="00DC06A2" w:rsidP="00D94473">
      <w:pPr>
        <w:autoSpaceDE w:val="0"/>
        <w:autoSpaceDN w:val="0"/>
        <w:adjustRightInd w:val="0"/>
        <w:spacing w:after="0" w:line="240" w:lineRule="auto"/>
        <w:rPr>
          <w:rFonts w:ascii="TimesNewRoman" w:hAnsi="TimesNewRoman" w:cs="TimesNewRoman"/>
          <w:sz w:val="20"/>
          <w:szCs w:val="20"/>
        </w:rPr>
      </w:pPr>
    </w:p>
    <w:p w14:paraId="23450CA7" w14:textId="39B785AA" w:rsidR="00722BCA" w:rsidRDefault="00722BCA" w:rsidP="00D94473">
      <w:pPr>
        <w:autoSpaceDE w:val="0"/>
        <w:autoSpaceDN w:val="0"/>
        <w:adjustRightInd w:val="0"/>
        <w:spacing w:after="0" w:line="240" w:lineRule="auto"/>
        <w:rPr>
          <w:rFonts w:ascii="TimesNewRoman" w:hAnsi="TimesNewRoman" w:cs="TimesNewRoman"/>
          <w:sz w:val="20"/>
          <w:szCs w:val="20"/>
        </w:rPr>
      </w:pPr>
      <w:r>
        <w:rPr>
          <w:noProof/>
        </w:rPr>
        <w:lastRenderedPageBreak/>
        <w:drawing>
          <wp:inline distT="0" distB="0" distL="0" distR="0" wp14:anchorId="12164613" wp14:editId="03B5C90F">
            <wp:extent cx="4572000" cy="2781300"/>
            <wp:effectExtent l="0" t="0" r="0" b="0"/>
            <wp:docPr id="211532099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3B551E-EF43-C8EE-C8F3-F9446E60A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A22B29" w14:textId="77777777" w:rsidR="00722BCA" w:rsidRDefault="00722BCA" w:rsidP="00D94473">
      <w:pPr>
        <w:autoSpaceDE w:val="0"/>
        <w:autoSpaceDN w:val="0"/>
        <w:adjustRightInd w:val="0"/>
        <w:spacing w:after="0" w:line="240" w:lineRule="auto"/>
        <w:rPr>
          <w:rFonts w:ascii="TimesNewRoman" w:hAnsi="TimesNewRoman" w:cs="TimesNewRoman"/>
          <w:sz w:val="20"/>
          <w:szCs w:val="20"/>
        </w:rPr>
      </w:pPr>
    </w:p>
    <w:p w14:paraId="40C77C1B" w14:textId="77777777" w:rsidR="00722BCA" w:rsidRDefault="00722BCA" w:rsidP="00D94473">
      <w:pPr>
        <w:autoSpaceDE w:val="0"/>
        <w:autoSpaceDN w:val="0"/>
        <w:adjustRightInd w:val="0"/>
        <w:spacing w:after="0" w:line="240" w:lineRule="auto"/>
        <w:rPr>
          <w:rFonts w:ascii="TimesNewRoman" w:hAnsi="TimesNewRoman" w:cs="TimesNewRoman"/>
          <w:sz w:val="20"/>
          <w:szCs w:val="20"/>
        </w:rPr>
      </w:pPr>
    </w:p>
    <w:p w14:paraId="4E0EF7FA" w14:textId="7D94250F" w:rsidR="008B74D0" w:rsidRPr="00634988" w:rsidRDefault="008B74D0" w:rsidP="00634988">
      <w:pPr>
        <w:jc w:val="both"/>
        <w:rPr>
          <w:rFonts w:ascii="Times New Roman" w:hAnsi="Times New Roman" w:cs="Times New Roman"/>
          <w:sz w:val="24"/>
          <w:szCs w:val="24"/>
        </w:rPr>
      </w:pPr>
      <w:r w:rsidRPr="00743F65">
        <w:rPr>
          <w:rFonts w:ascii="Times New Roman" w:hAnsi="Times New Roman" w:cs="Times New Roman"/>
          <w:sz w:val="24"/>
          <w:szCs w:val="24"/>
        </w:rPr>
        <w:t xml:space="preserve">Overall, </w:t>
      </w:r>
      <w:r w:rsidR="003C6E25">
        <w:rPr>
          <w:rFonts w:ascii="Times New Roman" w:hAnsi="Times New Roman" w:cs="Times New Roman"/>
          <w:sz w:val="24"/>
          <w:szCs w:val="24"/>
        </w:rPr>
        <w:t>Marriott’</w:t>
      </w:r>
      <w:r w:rsidRPr="00743F65">
        <w:rPr>
          <w:rFonts w:ascii="Times New Roman" w:hAnsi="Times New Roman" w:cs="Times New Roman"/>
          <w:sz w:val="24"/>
          <w:szCs w:val="24"/>
        </w:rPr>
        <w:t>s revenue streams have been robust</w:t>
      </w:r>
      <w:r w:rsidR="00634988">
        <w:rPr>
          <w:rFonts w:ascii="Times New Roman" w:hAnsi="Times New Roman" w:cs="Times New Roman"/>
          <w:sz w:val="24"/>
          <w:szCs w:val="24"/>
        </w:rPr>
        <w:t xml:space="preserve"> with the cost reimbursement driver contributing three-quarters of </w:t>
      </w:r>
      <w:r w:rsidR="003C6E25">
        <w:rPr>
          <w:rFonts w:ascii="Times New Roman" w:hAnsi="Times New Roman" w:cs="Times New Roman"/>
          <w:sz w:val="24"/>
          <w:szCs w:val="24"/>
        </w:rPr>
        <w:t xml:space="preserve">the </w:t>
      </w:r>
      <w:r w:rsidR="00634988">
        <w:rPr>
          <w:rFonts w:ascii="Times New Roman" w:hAnsi="Times New Roman" w:cs="Times New Roman"/>
          <w:sz w:val="24"/>
          <w:szCs w:val="24"/>
        </w:rPr>
        <w:t>entire revenue.</w:t>
      </w:r>
      <w:r w:rsidRPr="00743F65">
        <w:rPr>
          <w:rFonts w:ascii="Times New Roman" w:hAnsi="Times New Roman" w:cs="Times New Roman"/>
          <w:sz w:val="24"/>
          <w:szCs w:val="24"/>
        </w:rPr>
        <w:t xml:space="preserve"> </w:t>
      </w:r>
      <w:r w:rsidR="00634988">
        <w:rPr>
          <w:rFonts w:ascii="Times New Roman" w:hAnsi="Times New Roman" w:cs="Times New Roman"/>
          <w:sz w:val="24"/>
          <w:szCs w:val="24"/>
        </w:rPr>
        <w:t xml:space="preserve">Moreover, each revenue driver is </w:t>
      </w:r>
      <w:r w:rsidRPr="00743F65">
        <w:rPr>
          <w:rFonts w:ascii="Times New Roman" w:hAnsi="Times New Roman" w:cs="Times New Roman"/>
          <w:sz w:val="24"/>
          <w:szCs w:val="24"/>
        </w:rPr>
        <w:t>experiencing positive growth resulting in a significant increase in gross revenue over the years.</w:t>
      </w:r>
    </w:p>
    <w:p w14:paraId="6E43237F" w14:textId="77777777" w:rsidR="00A454FB" w:rsidRDefault="00A454FB" w:rsidP="00D94473">
      <w:pPr>
        <w:autoSpaceDE w:val="0"/>
        <w:autoSpaceDN w:val="0"/>
        <w:adjustRightInd w:val="0"/>
        <w:spacing w:after="0" w:line="240" w:lineRule="auto"/>
        <w:rPr>
          <w:rFonts w:ascii="TimesNewRoman" w:hAnsi="TimesNewRoman" w:cs="TimesNewRoman"/>
          <w:sz w:val="20"/>
          <w:szCs w:val="20"/>
        </w:rPr>
      </w:pPr>
    </w:p>
    <w:p w14:paraId="24EA0672" w14:textId="53DCBA6A" w:rsidR="00634988" w:rsidRPr="003C6E25" w:rsidRDefault="003C6E25" w:rsidP="00D94473">
      <w:pPr>
        <w:autoSpaceDE w:val="0"/>
        <w:autoSpaceDN w:val="0"/>
        <w:adjustRightInd w:val="0"/>
        <w:spacing w:after="0" w:line="240" w:lineRule="auto"/>
        <w:rPr>
          <w:rFonts w:ascii="TimesNewRoman" w:hAnsi="TimesNewRoman" w:cs="TimesNewRoman"/>
          <w:b/>
          <w:bCs/>
          <w:sz w:val="24"/>
          <w:szCs w:val="24"/>
          <w:u w:val="single"/>
        </w:rPr>
      </w:pPr>
      <w:r w:rsidRPr="003C6E25">
        <w:rPr>
          <w:rFonts w:ascii="TimesNewRoman" w:hAnsi="TimesNewRoman" w:cs="TimesNewRoman"/>
          <w:b/>
          <w:bCs/>
          <w:sz w:val="24"/>
          <w:szCs w:val="24"/>
          <w:u w:val="single"/>
        </w:rPr>
        <w:t xml:space="preserve">Major </w:t>
      </w:r>
      <w:r w:rsidR="00643B00" w:rsidRPr="003C6E25">
        <w:rPr>
          <w:rFonts w:ascii="TimesNewRoman" w:hAnsi="TimesNewRoman" w:cs="TimesNewRoman"/>
          <w:b/>
          <w:bCs/>
          <w:sz w:val="24"/>
          <w:szCs w:val="24"/>
          <w:u w:val="single"/>
        </w:rPr>
        <w:t>Cost Drivers</w:t>
      </w:r>
    </w:p>
    <w:p w14:paraId="21D10178" w14:textId="77777777" w:rsidR="00634988" w:rsidRDefault="00634988" w:rsidP="00D94473">
      <w:pPr>
        <w:autoSpaceDE w:val="0"/>
        <w:autoSpaceDN w:val="0"/>
        <w:adjustRightInd w:val="0"/>
        <w:spacing w:after="0" w:line="240" w:lineRule="auto"/>
        <w:rPr>
          <w:rFonts w:ascii="TimesNewRoman" w:hAnsi="TimesNewRoman" w:cs="TimesNewRoman"/>
          <w:sz w:val="20"/>
          <w:szCs w:val="20"/>
        </w:rPr>
      </w:pPr>
    </w:p>
    <w:p w14:paraId="56FE875E" w14:textId="11244FB1" w:rsidR="00D94E9C" w:rsidRPr="00D94E9C" w:rsidRDefault="00D94E9C" w:rsidP="00643B00">
      <w:pPr>
        <w:jc w:val="both"/>
        <w:rPr>
          <w:rFonts w:ascii="Times New Roman" w:hAnsi="Times New Roman" w:cs="Times New Roman"/>
          <w:sz w:val="24"/>
          <w:szCs w:val="24"/>
        </w:rPr>
      </w:pPr>
      <w:r w:rsidRPr="00D94E9C">
        <w:rPr>
          <w:rFonts w:ascii="Times New Roman" w:hAnsi="Times New Roman" w:cs="Times New Roman"/>
          <w:sz w:val="24"/>
          <w:szCs w:val="24"/>
        </w:rPr>
        <w:t>Three Major Cost Driver have been identified. The diagram below summarizes the percentage impact of each cost driver on revenue.</w:t>
      </w:r>
    </w:p>
    <w:p w14:paraId="6EC7C5BA" w14:textId="01E205A0" w:rsidR="00643B00" w:rsidRPr="00A07313" w:rsidRDefault="00643B00" w:rsidP="00643B00">
      <w:pPr>
        <w:jc w:val="both"/>
        <w:rPr>
          <w:rFonts w:ascii="Times New Roman" w:hAnsi="Times New Roman" w:cs="Times New Roman"/>
          <w:b/>
          <w:bCs/>
          <w:sz w:val="24"/>
          <w:szCs w:val="24"/>
        </w:rPr>
      </w:pPr>
      <w:r w:rsidRPr="00A07313">
        <w:rPr>
          <w:rFonts w:ascii="Times New Roman" w:hAnsi="Times New Roman" w:cs="Times New Roman"/>
          <w:b/>
          <w:bCs/>
          <w:sz w:val="24"/>
          <w:szCs w:val="24"/>
        </w:rPr>
        <w:t>Owned, Leased, and other-direct</w:t>
      </w:r>
      <w:r w:rsidR="003C6E25">
        <w:rPr>
          <w:rFonts w:ascii="Times New Roman" w:hAnsi="Times New Roman" w:cs="Times New Roman"/>
          <w:b/>
          <w:bCs/>
          <w:sz w:val="24"/>
          <w:szCs w:val="24"/>
        </w:rPr>
        <w:t xml:space="preserve"> Cost</w:t>
      </w:r>
      <w:r>
        <w:rPr>
          <w:rFonts w:ascii="Times New Roman" w:hAnsi="Times New Roman" w:cs="Times New Roman"/>
          <w:b/>
          <w:bCs/>
          <w:sz w:val="24"/>
          <w:szCs w:val="24"/>
        </w:rPr>
        <w:t>.</w:t>
      </w:r>
    </w:p>
    <w:p w14:paraId="432E7333" w14:textId="2C53997D" w:rsidR="003C6E25" w:rsidRDefault="00643B00" w:rsidP="00643B00">
      <w:pPr>
        <w:pStyle w:val="ListParagraph"/>
        <w:numPr>
          <w:ilvl w:val="0"/>
          <w:numId w:val="18"/>
        </w:numPr>
        <w:jc w:val="both"/>
        <w:rPr>
          <w:rFonts w:ascii="Times New Roman" w:hAnsi="Times New Roman" w:cs="Times New Roman"/>
          <w:sz w:val="24"/>
          <w:szCs w:val="24"/>
        </w:rPr>
      </w:pPr>
      <w:r w:rsidRPr="003C6E25">
        <w:rPr>
          <w:rFonts w:ascii="Times New Roman" w:hAnsi="Times New Roman" w:cs="Times New Roman"/>
          <w:sz w:val="24"/>
          <w:szCs w:val="24"/>
        </w:rPr>
        <w:t>Increasing trend over the years $677m (2020), $734m (2021), $1,074m (2022)</w:t>
      </w:r>
      <w:r w:rsidR="00D94E9C">
        <w:rPr>
          <w:rFonts w:ascii="Times New Roman" w:hAnsi="Times New Roman" w:cs="Times New Roman"/>
          <w:sz w:val="24"/>
          <w:szCs w:val="24"/>
        </w:rPr>
        <w:t xml:space="preserve"> -</w:t>
      </w:r>
      <w:r w:rsidR="00D94E9C" w:rsidRPr="00D94E9C">
        <w:rPr>
          <w:rFonts w:ascii="Times New Roman" w:hAnsi="Times New Roman" w:cs="Times New Roman"/>
          <w:b/>
          <w:bCs/>
          <w:i/>
          <w:iCs/>
          <w:sz w:val="24"/>
          <w:szCs w:val="24"/>
        </w:rPr>
        <w:t xml:space="preserve"> see excel sheet</w:t>
      </w:r>
      <w:r w:rsidRPr="003C6E25">
        <w:rPr>
          <w:rFonts w:ascii="Times New Roman" w:hAnsi="Times New Roman" w:cs="Times New Roman"/>
          <w:sz w:val="24"/>
          <w:szCs w:val="24"/>
        </w:rPr>
        <w:t>.</w:t>
      </w:r>
    </w:p>
    <w:p w14:paraId="5113762D" w14:textId="514C961F" w:rsidR="003C6E25" w:rsidRDefault="003C6E25" w:rsidP="00643B0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D</w:t>
      </w:r>
      <w:r w:rsidR="00643B00" w:rsidRPr="003C6E25">
        <w:rPr>
          <w:rFonts w:ascii="Times New Roman" w:hAnsi="Times New Roman" w:cs="Times New Roman"/>
          <w:sz w:val="24"/>
          <w:szCs w:val="24"/>
        </w:rPr>
        <w:t xml:space="preserve">ecreasing trend in terms of </w:t>
      </w:r>
      <w:r>
        <w:rPr>
          <w:rFonts w:ascii="Times New Roman" w:hAnsi="Times New Roman" w:cs="Times New Roman"/>
          <w:sz w:val="24"/>
          <w:szCs w:val="24"/>
        </w:rPr>
        <w:t>impact</w:t>
      </w:r>
      <w:r w:rsidR="00643B00" w:rsidRPr="003C6E25">
        <w:rPr>
          <w:rFonts w:ascii="Times New Roman" w:hAnsi="Times New Roman" w:cs="Times New Roman"/>
          <w:sz w:val="24"/>
          <w:szCs w:val="24"/>
        </w:rPr>
        <w:t xml:space="preserve"> on revenue (6.40%, 5.30% and 5.17% for 2020, 2021 and 2022 respectively)</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00643B00" w:rsidRPr="003C6E25">
        <w:rPr>
          <w:rFonts w:ascii="Times New Roman" w:hAnsi="Times New Roman" w:cs="Times New Roman"/>
          <w:sz w:val="24"/>
          <w:szCs w:val="24"/>
        </w:rPr>
        <w:t xml:space="preserve">. </w:t>
      </w:r>
    </w:p>
    <w:p w14:paraId="7ABBE105" w14:textId="6806345B" w:rsidR="00643B00" w:rsidRPr="003C6E25" w:rsidRDefault="00643B00" w:rsidP="00643B00">
      <w:pPr>
        <w:pStyle w:val="ListParagraph"/>
        <w:numPr>
          <w:ilvl w:val="0"/>
          <w:numId w:val="18"/>
        </w:numPr>
        <w:jc w:val="both"/>
        <w:rPr>
          <w:rFonts w:ascii="Times New Roman" w:hAnsi="Times New Roman" w:cs="Times New Roman"/>
          <w:sz w:val="24"/>
          <w:szCs w:val="24"/>
        </w:rPr>
      </w:pPr>
      <w:r w:rsidRPr="003C6E25">
        <w:rPr>
          <w:rFonts w:ascii="Times New Roman" w:hAnsi="Times New Roman" w:cs="Times New Roman"/>
          <w:sz w:val="24"/>
          <w:szCs w:val="24"/>
        </w:rPr>
        <w:t>Negatively correlates with the increasing trend in gross revenue over the same period.</w:t>
      </w:r>
    </w:p>
    <w:p w14:paraId="677B5093" w14:textId="3E8D1939" w:rsidR="00643B00" w:rsidRPr="00A07313" w:rsidRDefault="00643B00" w:rsidP="00643B00">
      <w:pPr>
        <w:jc w:val="both"/>
        <w:rPr>
          <w:rFonts w:ascii="Times New Roman" w:hAnsi="Times New Roman" w:cs="Times New Roman"/>
          <w:b/>
          <w:bCs/>
          <w:sz w:val="24"/>
          <w:szCs w:val="24"/>
        </w:rPr>
      </w:pPr>
      <w:r w:rsidRPr="00A07313">
        <w:rPr>
          <w:rFonts w:ascii="Times New Roman" w:hAnsi="Times New Roman" w:cs="Times New Roman"/>
          <w:b/>
          <w:bCs/>
          <w:sz w:val="24"/>
          <w:szCs w:val="24"/>
        </w:rPr>
        <w:t>General, Administrative, and other</w:t>
      </w:r>
      <w:r w:rsidR="003C6E25">
        <w:rPr>
          <w:rFonts w:ascii="Times New Roman" w:hAnsi="Times New Roman" w:cs="Times New Roman"/>
          <w:b/>
          <w:bCs/>
          <w:sz w:val="24"/>
          <w:szCs w:val="24"/>
        </w:rPr>
        <w:t xml:space="preserve"> Cost</w:t>
      </w:r>
    </w:p>
    <w:p w14:paraId="3247E00D" w14:textId="22127358" w:rsidR="003C6E25" w:rsidRDefault="00643B00" w:rsidP="00643B00">
      <w:pPr>
        <w:pStyle w:val="ListParagraph"/>
        <w:numPr>
          <w:ilvl w:val="0"/>
          <w:numId w:val="19"/>
        </w:numPr>
        <w:jc w:val="both"/>
        <w:rPr>
          <w:rFonts w:ascii="Times New Roman" w:hAnsi="Times New Roman" w:cs="Times New Roman"/>
          <w:sz w:val="24"/>
          <w:szCs w:val="24"/>
        </w:rPr>
      </w:pPr>
      <w:r w:rsidRPr="003C6E25">
        <w:rPr>
          <w:rFonts w:ascii="Times New Roman" w:hAnsi="Times New Roman" w:cs="Times New Roman"/>
          <w:sz w:val="24"/>
          <w:szCs w:val="24"/>
        </w:rPr>
        <w:t>Increasing trend over the years $762 (2020), $823 (2021), $891 (2022)</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Pr="003C6E25">
        <w:rPr>
          <w:rFonts w:ascii="Times New Roman" w:hAnsi="Times New Roman" w:cs="Times New Roman"/>
          <w:sz w:val="24"/>
          <w:szCs w:val="24"/>
        </w:rPr>
        <w:t>.</w:t>
      </w:r>
    </w:p>
    <w:p w14:paraId="7EFAA012" w14:textId="2B30E78F" w:rsidR="003C6E25" w:rsidRDefault="003C6E25" w:rsidP="00643B00">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w:t>
      </w:r>
      <w:r w:rsidR="00643B00" w:rsidRPr="003C6E25">
        <w:rPr>
          <w:rFonts w:ascii="Times New Roman" w:hAnsi="Times New Roman" w:cs="Times New Roman"/>
          <w:sz w:val="24"/>
          <w:szCs w:val="24"/>
        </w:rPr>
        <w:t>ecreasing trend in terms of effect on revenue (7.21%, 5.94% and 4.29% for 2020, 2021 and 2022 respectively)</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00643B00" w:rsidRPr="003C6E25">
        <w:rPr>
          <w:rFonts w:ascii="Times New Roman" w:hAnsi="Times New Roman" w:cs="Times New Roman"/>
          <w:sz w:val="24"/>
          <w:szCs w:val="24"/>
        </w:rPr>
        <w:t xml:space="preserve">. </w:t>
      </w:r>
    </w:p>
    <w:p w14:paraId="1FC73527" w14:textId="763C3643" w:rsidR="00643B00" w:rsidRPr="003C6E25" w:rsidRDefault="00643B00" w:rsidP="00643B00">
      <w:pPr>
        <w:pStyle w:val="ListParagraph"/>
        <w:numPr>
          <w:ilvl w:val="0"/>
          <w:numId w:val="19"/>
        </w:numPr>
        <w:jc w:val="both"/>
        <w:rPr>
          <w:rFonts w:ascii="Times New Roman" w:hAnsi="Times New Roman" w:cs="Times New Roman"/>
          <w:sz w:val="24"/>
          <w:szCs w:val="24"/>
        </w:rPr>
      </w:pPr>
      <w:r w:rsidRPr="003C6E25">
        <w:rPr>
          <w:rFonts w:ascii="Times New Roman" w:hAnsi="Times New Roman" w:cs="Times New Roman"/>
          <w:sz w:val="24"/>
          <w:szCs w:val="24"/>
        </w:rPr>
        <w:t>Negatively correlates with the increasing trend in gross revenue over the same period.</w:t>
      </w:r>
    </w:p>
    <w:p w14:paraId="384ED99C" w14:textId="77777777" w:rsidR="00643B00" w:rsidRPr="00A07313" w:rsidRDefault="00643B00" w:rsidP="00643B00">
      <w:pPr>
        <w:jc w:val="both"/>
        <w:rPr>
          <w:rFonts w:ascii="Times New Roman" w:hAnsi="Times New Roman" w:cs="Times New Roman"/>
          <w:b/>
          <w:bCs/>
          <w:sz w:val="24"/>
          <w:szCs w:val="24"/>
        </w:rPr>
      </w:pPr>
      <w:r w:rsidRPr="00A07313">
        <w:rPr>
          <w:rFonts w:ascii="Times New Roman" w:hAnsi="Times New Roman" w:cs="Times New Roman"/>
          <w:b/>
          <w:bCs/>
          <w:sz w:val="24"/>
          <w:szCs w:val="24"/>
        </w:rPr>
        <w:t>Reimbursed Expenses:</w:t>
      </w:r>
    </w:p>
    <w:p w14:paraId="6735481A" w14:textId="23A03851" w:rsidR="003C6E25" w:rsidRDefault="00643B00" w:rsidP="003C6E25">
      <w:pPr>
        <w:pStyle w:val="ListParagraph"/>
        <w:numPr>
          <w:ilvl w:val="0"/>
          <w:numId w:val="20"/>
        </w:numPr>
        <w:jc w:val="both"/>
        <w:rPr>
          <w:rFonts w:ascii="Times New Roman" w:hAnsi="Times New Roman" w:cs="Times New Roman"/>
          <w:sz w:val="24"/>
          <w:szCs w:val="24"/>
        </w:rPr>
      </w:pPr>
      <w:r w:rsidRPr="003C6E25">
        <w:rPr>
          <w:rFonts w:ascii="Times New Roman" w:hAnsi="Times New Roman" w:cs="Times New Roman"/>
          <w:sz w:val="24"/>
          <w:szCs w:val="24"/>
        </w:rPr>
        <w:t>Major cost driver with increasing trend over the years $8435m (2020), $10322m (2021) and $15,141m (2022)</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Pr="003C6E25">
        <w:rPr>
          <w:rFonts w:ascii="Times New Roman" w:hAnsi="Times New Roman" w:cs="Times New Roman"/>
          <w:sz w:val="24"/>
          <w:szCs w:val="24"/>
        </w:rPr>
        <w:t xml:space="preserve">. </w:t>
      </w:r>
    </w:p>
    <w:p w14:paraId="796EF6CE" w14:textId="77777777" w:rsidR="003C6E25" w:rsidRDefault="00643B00" w:rsidP="003C6E25">
      <w:pPr>
        <w:pStyle w:val="ListParagraph"/>
        <w:numPr>
          <w:ilvl w:val="0"/>
          <w:numId w:val="20"/>
        </w:numPr>
        <w:jc w:val="both"/>
        <w:rPr>
          <w:rFonts w:ascii="Times New Roman" w:hAnsi="Times New Roman" w:cs="Times New Roman"/>
          <w:sz w:val="24"/>
          <w:szCs w:val="24"/>
        </w:rPr>
      </w:pPr>
      <w:r w:rsidRPr="003C6E25">
        <w:rPr>
          <w:rFonts w:ascii="Times New Roman" w:hAnsi="Times New Roman" w:cs="Times New Roman"/>
          <w:sz w:val="24"/>
          <w:szCs w:val="24"/>
        </w:rPr>
        <w:t>Taking on average 75% of Revenue over the years</w:t>
      </w:r>
      <w:r w:rsidR="003C6E25">
        <w:rPr>
          <w:rFonts w:ascii="Times New Roman" w:hAnsi="Times New Roman" w:cs="Times New Roman"/>
          <w:sz w:val="24"/>
          <w:szCs w:val="24"/>
        </w:rPr>
        <w:t>.</w:t>
      </w:r>
    </w:p>
    <w:p w14:paraId="757EB81C" w14:textId="58588E42" w:rsidR="003C6E25" w:rsidRDefault="003C6E25" w:rsidP="00643B00">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D</w:t>
      </w:r>
      <w:r w:rsidR="00643B00" w:rsidRPr="003C6E25">
        <w:rPr>
          <w:rFonts w:ascii="Times New Roman" w:hAnsi="Times New Roman" w:cs="Times New Roman"/>
          <w:sz w:val="24"/>
          <w:szCs w:val="24"/>
        </w:rPr>
        <w:t>ecreasing trend in terms of effect on revenue (79.79%, 74.49% and 72.89% for 2020, 2021 and 2022 respectively)</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refer to diagram below</w:t>
      </w:r>
      <w:r w:rsidR="00643B00" w:rsidRPr="003C6E25">
        <w:rPr>
          <w:rFonts w:ascii="Times New Roman" w:hAnsi="Times New Roman" w:cs="Times New Roman"/>
          <w:sz w:val="24"/>
          <w:szCs w:val="24"/>
        </w:rPr>
        <w:t xml:space="preserve">. </w:t>
      </w:r>
    </w:p>
    <w:p w14:paraId="483BE724" w14:textId="77777777" w:rsidR="003C6E25" w:rsidRDefault="00643B00" w:rsidP="003C6E25">
      <w:pPr>
        <w:pStyle w:val="ListParagraph"/>
        <w:numPr>
          <w:ilvl w:val="0"/>
          <w:numId w:val="20"/>
        </w:numPr>
        <w:jc w:val="both"/>
        <w:rPr>
          <w:rFonts w:ascii="Times New Roman" w:hAnsi="Times New Roman" w:cs="Times New Roman"/>
          <w:sz w:val="24"/>
          <w:szCs w:val="24"/>
        </w:rPr>
      </w:pPr>
      <w:r w:rsidRPr="003C6E25">
        <w:rPr>
          <w:rFonts w:ascii="Times New Roman" w:hAnsi="Times New Roman" w:cs="Times New Roman"/>
          <w:sz w:val="24"/>
          <w:szCs w:val="24"/>
        </w:rPr>
        <w:t>Negatively correlates with the increasing trend in gross revenue over the same period.</w:t>
      </w:r>
    </w:p>
    <w:p w14:paraId="2832D6B2" w14:textId="5B0654B8" w:rsidR="00643B00" w:rsidRPr="003C6E25" w:rsidRDefault="003C6E25" w:rsidP="003C6E25">
      <w:pPr>
        <w:pStyle w:val="ListParagraph"/>
        <w:numPr>
          <w:ilvl w:val="0"/>
          <w:numId w:val="21"/>
        </w:numPr>
        <w:jc w:val="both"/>
        <w:rPr>
          <w:rFonts w:ascii="Times New Roman" w:hAnsi="Times New Roman" w:cs="Times New Roman"/>
          <w:sz w:val="24"/>
          <w:szCs w:val="24"/>
        </w:rPr>
      </w:pPr>
      <w:r w:rsidRPr="003C6E25">
        <w:rPr>
          <w:rFonts w:ascii="Times New Roman" w:hAnsi="Times New Roman" w:cs="Times New Roman"/>
          <w:sz w:val="24"/>
          <w:szCs w:val="24"/>
        </w:rPr>
        <w:t xml:space="preserve">NOTE: </w:t>
      </w:r>
      <w:r>
        <w:rPr>
          <w:rFonts w:ascii="Times New Roman" w:hAnsi="Times New Roman" w:cs="Times New Roman"/>
          <w:sz w:val="24"/>
          <w:szCs w:val="24"/>
        </w:rPr>
        <w:t>T</w:t>
      </w:r>
      <w:r w:rsidRPr="003C6E25">
        <w:rPr>
          <w:rFonts w:ascii="Times New Roman" w:hAnsi="Times New Roman" w:cs="Times New Roman"/>
          <w:sz w:val="24"/>
          <w:szCs w:val="24"/>
        </w:rPr>
        <w:t>his cost item is reimbursed as revenue stream for the company which ends up cancelling out each other.</w:t>
      </w:r>
    </w:p>
    <w:p w14:paraId="5203963C" w14:textId="77777777" w:rsidR="00634988" w:rsidRDefault="00634988" w:rsidP="00D94473">
      <w:pPr>
        <w:autoSpaceDE w:val="0"/>
        <w:autoSpaceDN w:val="0"/>
        <w:adjustRightInd w:val="0"/>
        <w:spacing w:after="0" w:line="240" w:lineRule="auto"/>
        <w:rPr>
          <w:rFonts w:ascii="TimesNewRoman" w:hAnsi="TimesNewRoman" w:cs="TimesNewRoman"/>
          <w:sz w:val="20"/>
          <w:szCs w:val="20"/>
        </w:rPr>
      </w:pPr>
    </w:p>
    <w:p w14:paraId="759D13D1" w14:textId="51066FFA" w:rsidR="00A454FB" w:rsidRDefault="00A454FB" w:rsidP="00D94473">
      <w:pPr>
        <w:autoSpaceDE w:val="0"/>
        <w:autoSpaceDN w:val="0"/>
        <w:adjustRightInd w:val="0"/>
        <w:spacing w:after="0" w:line="240" w:lineRule="auto"/>
        <w:rPr>
          <w:rFonts w:ascii="TimesNewRoman" w:hAnsi="TimesNewRoman" w:cs="TimesNewRoman"/>
          <w:sz w:val="20"/>
          <w:szCs w:val="20"/>
        </w:rPr>
      </w:pPr>
      <w:r>
        <w:rPr>
          <w:noProof/>
        </w:rPr>
        <w:drawing>
          <wp:inline distT="0" distB="0" distL="0" distR="0" wp14:anchorId="7F029E43" wp14:editId="008C0BE2">
            <wp:extent cx="4572000" cy="2743200"/>
            <wp:effectExtent l="0" t="0" r="0" b="0"/>
            <wp:docPr id="185229214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B146DD-5B8D-5E00-18FA-6B0C397B5D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200032" w14:textId="77777777" w:rsidR="00722BCA" w:rsidRDefault="00722BCA" w:rsidP="00D94473">
      <w:pPr>
        <w:autoSpaceDE w:val="0"/>
        <w:autoSpaceDN w:val="0"/>
        <w:adjustRightInd w:val="0"/>
        <w:spacing w:after="0" w:line="240" w:lineRule="auto"/>
        <w:rPr>
          <w:rFonts w:ascii="TimesNewRoman" w:hAnsi="TimesNewRoman" w:cs="TimesNewRoman"/>
          <w:sz w:val="20"/>
          <w:szCs w:val="20"/>
        </w:rPr>
      </w:pPr>
    </w:p>
    <w:p w14:paraId="308017E9" w14:textId="77777777" w:rsidR="00BD4583" w:rsidRDefault="00BD4583" w:rsidP="003D2906">
      <w:pPr>
        <w:jc w:val="both"/>
        <w:rPr>
          <w:rFonts w:ascii="Times New Roman" w:hAnsi="Times New Roman" w:cs="Times New Roman"/>
          <w:b/>
          <w:bCs/>
          <w:sz w:val="24"/>
          <w:szCs w:val="24"/>
          <w:u w:val="single"/>
        </w:rPr>
      </w:pPr>
    </w:p>
    <w:p w14:paraId="34DE8EEB" w14:textId="6C37B74E" w:rsidR="00A07313" w:rsidRPr="00BD4583" w:rsidRDefault="00BD4583" w:rsidP="003D2906">
      <w:pPr>
        <w:jc w:val="both"/>
        <w:rPr>
          <w:rFonts w:ascii="Times New Roman" w:hAnsi="Times New Roman" w:cs="Times New Roman"/>
          <w:b/>
          <w:bCs/>
          <w:sz w:val="24"/>
          <w:szCs w:val="24"/>
          <w:u w:val="single"/>
        </w:rPr>
      </w:pPr>
      <w:r w:rsidRPr="00BD4583">
        <w:rPr>
          <w:rFonts w:ascii="Times New Roman" w:hAnsi="Times New Roman" w:cs="Times New Roman"/>
          <w:b/>
          <w:bCs/>
          <w:sz w:val="24"/>
          <w:szCs w:val="24"/>
          <w:u w:val="single"/>
        </w:rPr>
        <w:t xml:space="preserve">Peer Comparison and </w:t>
      </w:r>
      <w:r w:rsidR="00A07313" w:rsidRPr="00BD4583">
        <w:rPr>
          <w:rFonts w:ascii="Times New Roman" w:hAnsi="Times New Roman" w:cs="Times New Roman"/>
          <w:b/>
          <w:bCs/>
          <w:sz w:val="24"/>
          <w:szCs w:val="24"/>
          <w:u w:val="single"/>
        </w:rPr>
        <w:t>Summary</w:t>
      </w:r>
    </w:p>
    <w:p w14:paraId="6C657079" w14:textId="77777777" w:rsidR="00390CDE" w:rsidRDefault="00A07313" w:rsidP="00390CDE">
      <w:pPr>
        <w:pStyle w:val="ListParagraph"/>
        <w:numPr>
          <w:ilvl w:val="0"/>
          <w:numId w:val="22"/>
        </w:numPr>
        <w:jc w:val="both"/>
        <w:rPr>
          <w:rFonts w:ascii="Times New Roman" w:hAnsi="Times New Roman" w:cs="Times New Roman"/>
          <w:sz w:val="24"/>
          <w:szCs w:val="24"/>
        </w:rPr>
      </w:pPr>
      <w:r w:rsidRPr="00390CDE">
        <w:rPr>
          <w:rFonts w:ascii="Times New Roman" w:hAnsi="Times New Roman" w:cs="Times New Roman"/>
          <w:sz w:val="24"/>
          <w:szCs w:val="24"/>
        </w:rPr>
        <w:t xml:space="preserve">The cost drivers correlate </w:t>
      </w:r>
      <w:r w:rsidR="00643B00" w:rsidRPr="00390CDE">
        <w:rPr>
          <w:rFonts w:ascii="Times New Roman" w:hAnsi="Times New Roman" w:cs="Times New Roman"/>
          <w:sz w:val="24"/>
          <w:szCs w:val="24"/>
        </w:rPr>
        <w:t>negatively</w:t>
      </w:r>
      <w:r w:rsidRPr="00390CDE">
        <w:rPr>
          <w:rFonts w:ascii="Times New Roman" w:hAnsi="Times New Roman" w:cs="Times New Roman"/>
          <w:sz w:val="24"/>
          <w:szCs w:val="24"/>
        </w:rPr>
        <w:t xml:space="preserve"> with the increasing trend in gross revenue.</w:t>
      </w:r>
      <w:r w:rsidR="00957894" w:rsidRPr="00390CDE">
        <w:rPr>
          <w:rFonts w:ascii="Times New Roman" w:hAnsi="Times New Roman" w:cs="Times New Roman"/>
          <w:sz w:val="24"/>
          <w:szCs w:val="24"/>
        </w:rPr>
        <w:t xml:space="preserve"> </w:t>
      </w:r>
    </w:p>
    <w:p w14:paraId="4D3AC2C8" w14:textId="51D17AEB" w:rsidR="00634988" w:rsidRPr="00390CDE" w:rsidRDefault="00A07313" w:rsidP="00390CDE">
      <w:pPr>
        <w:pStyle w:val="ListParagraph"/>
        <w:numPr>
          <w:ilvl w:val="0"/>
          <w:numId w:val="22"/>
        </w:numPr>
        <w:jc w:val="both"/>
        <w:rPr>
          <w:rFonts w:ascii="Times New Roman" w:hAnsi="Times New Roman" w:cs="Times New Roman"/>
          <w:sz w:val="24"/>
          <w:szCs w:val="24"/>
        </w:rPr>
      </w:pPr>
      <w:r w:rsidRPr="00390CDE">
        <w:rPr>
          <w:rFonts w:ascii="Times New Roman" w:hAnsi="Times New Roman" w:cs="Times New Roman"/>
          <w:sz w:val="24"/>
          <w:szCs w:val="24"/>
        </w:rPr>
        <w:t xml:space="preserve">Overall, the correlation suggests that as </w:t>
      </w:r>
      <w:r w:rsidR="00643B00" w:rsidRPr="00390CDE">
        <w:rPr>
          <w:rFonts w:ascii="Times New Roman" w:hAnsi="Times New Roman" w:cs="Times New Roman"/>
          <w:sz w:val="24"/>
          <w:szCs w:val="24"/>
        </w:rPr>
        <w:t>the</w:t>
      </w:r>
      <w:r w:rsidRPr="00390CDE">
        <w:rPr>
          <w:rFonts w:ascii="Times New Roman" w:hAnsi="Times New Roman" w:cs="Times New Roman"/>
          <w:sz w:val="24"/>
          <w:szCs w:val="24"/>
        </w:rPr>
        <w:t xml:space="preserve"> cost dri</w:t>
      </w:r>
      <w:r w:rsidR="00643B00" w:rsidRPr="00390CDE">
        <w:rPr>
          <w:rFonts w:ascii="Times New Roman" w:hAnsi="Times New Roman" w:cs="Times New Roman"/>
          <w:sz w:val="24"/>
          <w:szCs w:val="24"/>
        </w:rPr>
        <w:t>ver</w:t>
      </w:r>
      <w:r w:rsidR="0087199F" w:rsidRPr="00390CDE">
        <w:rPr>
          <w:rFonts w:ascii="Times New Roman" w:hAnsi="Times New Roman" w:cs="Times New Roman"/>
          <w:sz w:val="24"/>
          <w:szCs w:val="24"/>
        </w:rPr>
        <w:t>s</w:t>
      </w:r>
      <w:r w:rsidRPr="00390CDE">
        <w:rPr>
          <w:rFonts w:ascii="Times New Roman" w:hAnsi="Times New Roman" w:cs="Times New Roman"/>
          <w:sz w:val="24"/>
          <w:szCs w:val="24"/>
        </w:rPr>
        <w:t xml:space="preserve"> decrease, </w:t>
      </w:r>
      <w:r w:rsidR="00957894" w:rsidRPr="00390CDE">
        <w:rPr>
          <w:rFonts w:ascii="Times New Roman" w:hAnsi="Times New Roman" w:cs="Times New Roman"/>
          <w:sz w:val="24"/>
          <w:szCs w:val="24"/>
        </w:rPr>
        <w:t xml:space="preserve">they tend to have less </w:t>
      </w:r>
      <w:r w:rsidRPr="00390CDE">
        <w:rPr>
          <w:rFonts w:ascii="Times New Roman" w:hAnsi="Times New Roman" w:cs="Times New Roman"/>
          <w:sz w:val="24"/>
          <w:szCs w:val="24"/>
        </w:rPr>
        <w:t xml:space="preserve">corresponding impact on </w:t>
      </w:r>
      <w:r w:rsidR="00957894" w:rsidRPr="00390CDE">
        <w:rPr>
          <w:rFonts w:ascii="Times New Roman" w:hAnsi="Times New Roman" w:cs="Times New Roman"/>
          <w:sz w:val="24"/>
          <w:szCs w:val="24"/>
        </w:rPr>
        <w:t>Marriott’</w:t>
      </w:r>
      <w:r w:rsidRPr="00390CDE">
        <w:rPr>
          <w:rFonts w:ascii="Times New Roman" w:hAnsi="Times New Roman" w:cs="Times New Roman"/>
          <w:sz w:val="24"/>
          <w:szCs w:val="24"/>
        </w:rPr>
        <w:t>s gross revenue.</w:t>
      </w:r>
    </w:p>
    <w:p w14:paraId="70063987" w14:textId="77777777" w:rsidR="00390CDE" w:rsidRDefault="00957894" w:rsidP="00390CDE">
      <w:pPr>
        <w:pStyle w:val="ListParagraph"/>
        <w:numPr>
          <w:ilvl w:val="0"/>
          <w:numId w:val="21"/>
        </w:numPr>
        <w:jc w:val="both"/>
        <w:rPr>
          <w:rFonts w:ascii="Times New Roman" w:hAnsi="Times New Roman" w:cs="Times New Roman"/>
          <w:sz w:val="24"/>
          <w:szCs w:val="24"/>
        </w:rPr>
      </w:pPr>
      <w:r w:rsidRPr="00390CDE">
        <w:rPr>
          <w:rFonts w:ascii="Times New Roman" w:hAnsi="Times New Roman" w:cs="Times New Roman"/>
          <w:sz w:val="24"/>
          <w:szCs w:val="24"/>
        </w:rPr>
        <w:t>A comparison to Hyatt Hotels Corporations indicates that, just like Marriott Inc., the major revenue driver of Hyatt is their 'revenues for the reimbursement of costs incurred on behalf of managed and franchised properties' contributing more than half of the total revenue.</w:t>
      </w:r>
    </w:p>
    <w:p w14:paraId="5B9F234A" w14:textId="77777777" w:rsidR="00390CDE" w:rsidRDefault="00957894" w:rsidP="00390CDE">
      <w:pPr>
        <w:pStyle w:val="ListParagraph"/>
        <w:numPr>
          <w:ilvl w:val="0"/>
          <w:numId w:val="21"/>
        </w:numPr>
        <w:jc w:val="both"/>
        <w:rPr>
          <w:rFonts w:ascii="Times New Roman" w:hAnsi="Times New Roman" w:cs="Times New Roman"/>
          <w:sz w:val="24"/>
          <w:szCs w:val="24"/>
        </w:rPr>
      </w:pPr>
      <w:r w:rsidRPr="00390CDE">
        <w:rPr>
          <w:rFonts w:ascii="Times New Roman" w:hAnsi="Times New Roman" w:cs="Times New Roman"/>
          <w:sz w:val="24"/>
          <w:szCs w:val="24"/>
        </w:rPr>
        <w:t xml:space="preserve">Hyatt costs have been growing over the period to the extent they have been making net losses for 2020 and 2021 but improved marginally in 2022. </w:t>
      </w:r>
    </w:p>
    <w:p w14:paraId="0D5AB251" w14:textId="77777777" w:rsidR="00390CDE" w:rsidRDefault="00957894" w:rsidP="00390CDE">
      <w:pPr>
        <w:pStyle w:val="ListParagraph"/>
        <w:numPr>
          <w:ilvl w:val="0"/>
          <w:numId w:val="21"/>
        </w:numPr>
        <w:jc w:val="both"/>
        <w:rPr>
          <w:rFonts w:ascii="Times New Roman" w:hAnsi="Times New Roman" w:cs="Times New Roman"/>
          <w:sz w:val="24"/>
          <w:szCs w:val="24"/>
        </w:rPr>
      </w:pPr>
      <w:r w:rsidRPr="00390CDE">
        <w:rPr>
          <w:rFonts w:ascii="Times New Roman" w:hAnsi="Times New Roman" w:cs="Times New Roman"/>
          <w:sz w:val="24"/>
          <w:szCs w:val="24"/>
        </w:rPr>
        <w:t xml:space="preserve">The revenue drivers increased substantially in 2022 which offset the increased costs. </w:t>
      </w:r>
    </w:p>
    <w:p w14:paraId="652B48FA" w14:textId="77777777" w:rsidR="00390CDE" w:rsidRDefault="00390CDE" w:rsidP="00390CDE">
      <w:pPr>
        <w:pStyle w:val="ListParagraph"/>
        <w:ind w:left="1080"/>
        <w:jc w:val="both"/>
        <w:rPr>
          <w:rFonts w:ascii="Times New Roman" w:hAnsi="Times New Roman" w:cs="Times New Roman"/>
          <w:sz w:val="24"/>
          <w:szCs w:val="24"/>
        </w:rPr>
      </w:pPr>
    </w:p>
    <w:p w14:paraId="75A0B2D3" w14:textId="6B77920F" w:rsidR="00957894" w:rsidRPr="00390CDE" w:rsidRDefault="00957894" w:rsidP="00390CDE">
      <w:pPr>
        <w:pStyle w:val="ListParagraph"/>
        <w:numPr>
          <w:ilvl w:val="0"/>
          <w:numId w:val="23"/>
        </w:numPr>
        <w:jc w:val="both"/>
        <w:rPr>
          <w:rFonts w:ascii="Times New Roman" w:hAnsi="Times New Roman" w:cs="Times New Roman"/>
          <w:sz w:val="24"/>
          <w:szCs w:val="24"/>
        </w:rPr>
      </w:pPr>
      <w:r w:rsidRPr="00390CDE">
        <w:rPr>
          <w:rFonts w:ascii="Times New Roman" w:hAnsi="Times New Roman" w:cs="Times New Roman"/>
          <w:sz w:val="24"/>
          <w:szCs w:val="24"/>
        </w:rPr>
        <w:t xml:space="preserve">Generally, </w:t>
      </w:r>
      <w:r w:rsidR="0087199F" w:rsidRPr="00390CDE">
        <w:rPr>
          <w:rFonts w:ascii="Times New Roman" w:hAnsi="Times New Roman" w:cs="Times New Roman"/>
          <w:sz w:val="24"/>
          <w:szCs w:val="24"/>
        </w:rPr>
        <w:t>Marriott Inc., is relatively healthier financially vis-à-vis Hyatt Hotels Corp.</w:t>
      </w:r>
    </w:p>
    <w:p w14:paraId="1A37DE77" w14:textId="77777777" w:rsidR="00A6721C" w:rsidRDefault="00A6721C" w:rsidP="00643B00">
      <w:pPr>
        <w:jc w:val="both"/>
        <w:rPr>
          <w:rFonts w:ascii="Times New Roman" w:hAnsi="Times New Roman" w:cs="Times New Roman"/>
          <w:b/>
          <w:bCs/>
          <w:sz w:val="24"/>
          <w:szCs w:val="24"/>
        </w:rPr>
      </w:pPr>
    </w:p>
    <w:p w14:paraId="299DE4A1" w14:textId="6E4A26E3" w:rsidR="00643B00" w:rsidRDefault="00643B00" w:rsidP="008F03F9">
      <w:pPr>
        <w:jc w:val="center"/>
        <w:rPr>
          <w:rFonts w:ascii="Times New Roman" w:hAnsi="Times New Roman" w:cs="Times New Roman"/>
          <w:b/>
          <w:bCs/>
          <w:sz w:val="24"/>
          <w:szCs w:val="24"/>
        </w:rPr>
      </w:pPr>
      <w:r w:rsidRPr="00643B00">
        <w:rPr>
          <w:rFonts w:ascii="Times New Roman" w:hAnsi="Times New Roman" w:cs="Times New Roman"/>
          <w:b/>
          <w:bCs/>
          <w:sz w:val="24"/>
          <w:szCs w:val="24"/>
        </w:rPr>
        <w:t>Johnson and Johnson</w:t>
      </w:r>
      <w:r w:rsidR="008F03F9">
        <w:rPr>
          <w:rFonts w:ascii="Times New Roman" w:hAnsi="Times New Roman" w:cs="Times New Roman"/>
          <w:b/>
          <w:bCs/>
          <w:sz w:val="24"/>
          <w:szCs w:val="24"/>
        </w:rPr>
        <w:t xml:space="preserve"> (J&amp;J)</w:t>
      </w:r>
    </w:p>
    <w:p w14:paraId="1BC7D669" w14:textId="7CD687F4" w:rsidR="003D1CB6" w:rsidRDefault="003D1CB6" w:rsidP="00643B00">
      <w:pPr>
        <w:jc w:val="both"/>
        <w:rPr>
          <w:rFonts w:ascii="Times New Roman" w:hAnsi="Times New Roman" w:cs="Times New Roman"/>
          <w:b/>
          <w:bCs/>
          <w:sz w:val="24"/>
          <w:szCs w:val="24"/>
          <w:u w:val="single"/>
        </w:rPr>
      </w:pPr>
      <w:r w:rsidRPr="008F03F9">
        <w:rPr>
          <w:rFonts w:ascii="Times New Roman" w:hAnsi="Times New Roman" w:cs="Times New Roman"/>
          <w:b/>
          <w:bCs/>
          <w:sz w:val="24"/>
          <w:szCs w:val="24"/>
          <w:u w:val="single"/>
        </w:rPr>
        <w:t>Major Revenue Drivers</w:t>
      </w:r>
    </w:p>
    <w:p w14:paraId="39CB19AD" w14:textId="77777777" w:rsidR="00C72C76" w:rsidRDefault="00C72C76" w:rsidP="00643B00">
      <w:pPr>
        <w:jc w:val="both"/>
        <w:rPr>
          <w:rFonts w:ascii="Times New Roman" w:hAnsi="Times New Roman" w:cs="Times New Roman"/>
          <w:b/>
          <w:bCs/>
          <w:sz w:val="24"/>
          <w:szCs w:val="24"/>
          <w:u w:val="single"/>
        </w:rPr>
      </w:pPr>
    </w:p>
    <w:p w14:paraId="312850A6" w14:textId="77777777" w:rsidR="00C72C76" w:rsidRDefault="00C72C76" w:rsidP="00C72C76">
      <w:pPr>
        <w:spacing w:line="276" w:lineRule="auto"/>
      </w:pPr>
      <w:r w:rsidRPr="0056541D">
        <w:rPr>
          <w:highlight w:val="green"/>
        </w:rPr>
        <w:lastRenderedPageBreak/>
        <w:t xml:space="preserve">Each of the three segments, Consumer, Pharmaceuticals and Medical Devices have sub segments with product lines </w:t>
      </w:r>
      <w:r>
        <w:rPr>
          <w:highlight w:val="green"/>
        </w:rPr>
        <w:t xml:space="preserve">like Remicade, </w:t>
      </w:r>
      <w:r w:rsidRPr="00C8728A">
        <w:rPr>
          <w:highlight w:val="green"/>
        </w:rPr>
        <w:t xml:space="preserve">Darzalex , Stelara and Tremfya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14:paraId="72AAAF9E" w14:textId="77777777" w:rsidR="00C72C76" w:rsidRDefault="00C72C76" w:rsidP="00C72C76">
      <w:pPr>
        <w:pStyle w:val="Default"/>
        <w:spacing w:after="240" w:line="240" w:lineRule="auto"/>
        <w:rPr>
          <w:rFonts w:ascii="Times New Roman" w:eastAsia="Times New Roman" w:hAnsi="Times New Roman" w:cs="Times New Roman"/>
          <w:sz w:val="24"/>
          <w:szCs w:val="24"/>
        </w:rPr>
      </w:pPr>
    </w:p>
    <w:p w14:paraId="19202CE6" w14:textId="77777777" w:rsidR="00C72C76" w:rsidRPr="00556097" w:rsidRDefault="00C72C76" w:rsidP="00C72C76">
      <w:pPr>
        <w:rPr>
          <w:highlight w:val="green"/>
          <w:u w:val="single"/>
        </w:rPr>
      </w:pPr>
      <w:r w:rsidRPr="00556097">
        <w:rPr>
          <w:highlight w:val="green"/>
          <w:u w:val="single"/>
        </w:rPr>
        <w:t>Cost Drivers</w:t>
      </w:r>
      <w:r>
        <w:rPr>
          <w:highlight w:val="green"/>
          <w:u w:val="single"/>
        </w:rPr>
        <w:t xml:space="preserve"> – as % of revenue (trend analysis)</w:t>
      </w:r>
    </w:p>
    <w:p w14:paraId="026727A2" w14:textId="77777777" w:rsidR="00C72C76" w:rsidRPr="00556097" w:rsidRDefault="00C72C76" w:rsidP="00C72C76">
      <w:pPr>
        <w:pStyle w:val="ListParagraph"/>
        <w:numPr>
          <w:ilvl w:val="0"/>
          <w:numId w:val="31"/>
        </w:numPr>
        <w:rPr>
          <w:highlight w:val="green"/>
          <w:u w:val="single"/>
        </w:rPr>
      </w:pPr>
      <w:r w:rsidRPr="00556097">
        <w:rPr>
          <w:highlight w:val="green"/>
        </w:rPr>
        <w:t>Selling, Marketing and Administrative Expenses</w:t>
      </w:r>
    </w:p>
    <w:p w14:paraId="4A682E8B" w14:textId="77777777" w:rsidR="00C72C76" w:rsidRPr="00556097" w:rsidRDefault="00C72C76" w:rsidP="00C72C76">
      <w:pPr>
        <w:pStyle w:val="ListParagraph"/>
        <w:numPr>
          <w:ilvl w:val="0"/>
          <w:numId w:val="31"/>
        </w:numPr>
        <w:rPr>
          <w:highlight w:val="green"/>
          <w:u w:val="single"/>
        </w:rPr>
      </w:pPr>
      <w:r w:rsidRPr="00556097">
        <w:rPr>
          <w:highlight w:val="green"/>
        </w:rPr>
        <w:t>Research and Development Expenses</w:t>
      </w:r>
    </w:p>
    <w:p w14:paraId="19CE6949" w14:textId="77777777" w:rsidR="00C72C76" w:rsidRPr="00E10FB1" w:rsidRDefault="00C72C76" w:rsidP="00C72C76">
      <w:pPr>
        <w:pStyle w:val="ListParagraph"/>
        <w:numPr>
          <w:ilvl w:val="0"/>
          <w:numId w:val="31"/>
        </w:numPr>
        <w:rPr>
          <w:highlight w:val="green"/>
          <w:u w:val="single"/>
        </w:rPr>
      </w:pPr>
      <w:r w:rsidRPr="00556097">
        <w:rPr>
          <w:highlight w:val="green"/>
        </w:rPr>
        <w:t>In-process research and development</w:t>
      </w:r>
    </w:p>
    <w:p w14:paraId="1EA9D762" w14:textId="77777777" w:rsidR="00C72C76" w:rsidRPr="00E10FB1" w:rsidRDefault="00C72C76" w:rsidP="00C72C76">
      <w:pPr>
        <w:pStyle w:val="ListParagraph"/>
        <w:numPr>
          <w:ilvl w:val="0"/>
          <w:numId w:val="31"/>
        </w:numPr>
        <w:rPr>
          <w:highlight w:val="green"/>
          <w:u w:val="single"/>
        </w:rPr>
      </w:pPr>
      <w:r w:rsidRPr="00E10FB1">
        <w:rPr>
          <w:highlight w:val="green"/>
        </w:rPr>
        <w:t>Cost of products sold</w:t>
      </w:r>
    </w:p>
    <w:p w14:paraId="3FA4D265" w14:textId="77777777" w:rsidR="00C72C76" w:rsidRPr="008F03F9" w:rsidRDefault="00C72C76" w:rsidP="00643B00">
      <w:pPr>
        <w:jc w:val="both"/>
        <w:rPr>
          <w:rFonts w:ascii="Times New Roman" w:hAnsi="Times New Roman" w:cs="Times New Roman"/>
          <w:b/>
          <w:bCs/>
          <w:sz w:val="24"/>
          <w:szCs w:val="24"/>
          <w:u w:val="single"/>
        </w:rPr>
      </w:pPr>
      <w:bookmarkStart w:id="0" w:name="_GoBack"/>
      <w:bookmarkEnd w:id="0"/>
    </w:p>
    <w:p w14:paraId="15B43F50" w14:textId="205FB3B5" w:rsidR="003C36D8" w:rsidRPr="003D1CB6" w:rsidRDefault="003F3572" w:rsidP="003D1CB6">
      <w:pPr>
        <w:jc w:val="both"/>
        <w:rPr>
          <w:rFonts w:ascii="Times New Roman" w:hAnsi="Times New Roman" w:cs="Times New Roman"/>
          <w:sz w:val="24"/>
          <w:szCs w:val="24"/>
        </w:rPr>
      </w:pPr>
      <w:r w:rsidRPr="003D1CB6">
        <w:rPr>
          <w:rFonts w:ascii="Times New Roman" w:hAnsi="Times New Roman" w:cs="Times New Roman"/>
          <w:sz w:val="24"/>
          <w:szCs w:val="24"/>
        </w:rPr>
        <w:t xml:space="preserve">J&amp;J revenue mainly comes from </w:t>
      </w:r>
      <w:r w:rsidR="004257DD" w:rsidRPr="003D1CB6">
        <w:rPr>
          <w:rFonts w:ascii="Times New Roman" w:hAnsi="Times New Roman" w:cs="Times New Roman"/>
          <w:sz w:val="24"/>
          <w:szCs w:val="24"/>
        </w:rPr>
        <w:t>sales</w:t>
      </w:r>
      <w:r w:rsidRPr="003D1CB6">
        <w:rPr>
          <w:rFonts w:ascii="Times New Roman" w:hAnsi="Times New Roman" w:cs="Times New Roman"/>
          <w:sz w:val="24"/>
          <w:szCs w:val="24"/>
        </w:rPr>
        <w:t xml:space="preserve"> of three major product segments, </w:t>
      </w:r>
      <w:r w:rsidRPr="00312F20">
        <w:rPr>
          <w:rFonts w:ascii="Times New Roman" w:hAnsi="Times New Roman" w:cs="Times New Roman"/>
          <w:b/>
          <w:bCs/>
          <w:sz w:val="24"/>
          <w:szCs w:val="24"/>
        </w:rPr>
        <w:t xml:space="preserve">consumer health, </w:t>
      </w:r>
      <w:r w:rsidR="004257DD" w:rsidRPr="00312F20">
        <w:rPr>
          <w:rFonts w:ascii="Times New Roman" w:hAnsi="Times New Roman" w:cs="Times New Roman"/>
          <w:b/>
          <w:bCs/>
          <w:sz w:val="24"/>
          <w:szCs w:val="24"/>
        </w:rPr>
        <w:t>pharmaceutical</w:t>
      </w:r>
      <w:r w:rsidRPr="00312F20">
        <w:rPr>
          <w:rFonts w:ascii="Times New Roman" w:hAnsi="Times New Roman" w:cs="Times New Roman"/>
          <w:b/>
          <w:bCs/>
          <w:sz w:val="24"/>
          <w:szCs w:val="24"/>
        </w:rPr>
        <w:t>, MedTech</w:t>
      </w:r>
      <w:r w:rsidR="00312F20">
        <w:rPr>
          <w:rFonts w:ascii="Times New Roman" w:hAnsi="Times New Roman" w:cs="Times New Roman"/>
          <w:b/>
          <w:bCs/>
          <w:sz w:val="24"/>
          <w:szCs w:val="24"/>
        </w:rPr>
        <w:t xml:space="preserve"> Segment</w:t>
      </w:r>
      <w:r w:rsidRPr="00312F20">
        <w:rPr>
          <w:rFonts w:ascii="Times New Roman" w:hAnsi="Times New Roman" w:cs="Times New Roman"/>
          <w:b/>
          <w:bCs/>
          <w:sz w:val="24"/>
          <w:szCs w:val="24"/>
        </w:rPr>
        <w:t xml:space="preserve"> products</w:t>
      </w:r>
      <w:r w:rsidRPr="003D1CB6">
        <w:rPr>
          <w:rFonts w:ascii="Times New Roman" w:hAnsi="Times New Roman" w:cs="Times New Roman"/>
          <w:sz w:val="24"/>
          <w:szCs w:val="24"/>
        </w:rPr>
        <w:t xml:space="preserve">. </w:t>
      </w:r>
      <w:r w:rsidR="004257DD" w:rsidRPr="003D1CB6">
        <w:rPr>
          <w:rFonts w:ascii="Times New Roman" w:hAnsi="Times New Roman" w:cs="Times New Roman"/>
          <w:sz w:val="24"/>
          <w:szCs w:val="24"/>
        </w:rPr>
        <w:t xml:space="preserve">Pharmaceutical segment </w:t>
      </w:r>
      <w:r w:rsidRPr="003D1CB6">
        <w:rPr>
          <w:rFonts w:ascii="Times New Roman" w:hAnsi="Times New Roman" w:cs="Times New Roman"/>
          <w:sz w:val="24"/>
          <w:szCs w:val="24"/>
        </w:rPr>
        <w:t>products</w:t>
      </w:r>
      <w:r w:rsidR="004257DD" w:rsidRPr="003D1CB6">
        <w:rPr>
          <w:rFonts w:ascii="Times New Roman" w:hAnsi="Times New Roman" w:cs="Times New Roman"/>
          <w:sz w:val="24"/>
          <w:szCs w:val="24"/>
        </w:rPr>
        <w:t xml:space="preserve"> constitute about 55% ($52.6m) of total sales, followed by MedTech segment products’ sales ($27.4m) with Consumer health segment products’ sales amounting to $15m in 2022</w:t>
      </w:r>
      <w:r w:rsidR="001F55D4">
        <w:rPr>
          <w:rFonts w:ascii="Times New Roman" w:hAnsi="Times New Roman" w:cs="Times New Roman"/>
          <w:sz w:val="24"/>
          <w:szCs w:val="24"/>
        </w:rPr>
        <w:t xml:space="preserve"> (Financial Statement Report, 2022)</w:t>
      </w:r>
      <w:r w:rsidR="004257DD" w:rsidRPr="003D1CB6">
        <w:rPr>
          <w:rFonts w:ascii="Times New Roman" w:hAnsi="Times New Roman" w:cs="Times New Roman"/>
          <w:sz w:val="24"/>
          <w:szCs w:val="24"/>
        </w:rPr>
        <w:t>.</w:t>
      </w:r>
    </w:p>
    <w:p w14:paraId="744F586D" w14:textId="77777777" w:rsidR="003D1CB6" w:rsidRDefault="003D1CB6" w:rsidP="003C36D8">
      <w:pPr>
        <w:rPr>
          <w:rFonts w:ascii="Times New Roman" w:hAnsi="Times New Roman" w:cs="Times New Roman"/>
          <w:sz w:val="24"/>
          <w:szCs w:val="24"/>
        </w:rPr>
      </w:pPr>
    </w:p>
    <w:p w14:paraId="3165A5F9" w14:textId="0577068D" w:rsidR="003D1CB6" w:rsidRDefault="003C36D8" w:rsidP="003D1CB6">
      <w:pPr>
        <w:pStyle w:val="ListParagraph"/>
        <w:numPr>
          <w:ilvl w:val="0"/>
          <w:numId w:val="23"/>
        </w:numPr>
        <w:rPr>
          <w:rFonts w:ascii="Times New Roman" w:hAnsi="Times New Roman" w:cs="Times New Roman"/>
          <w:sz w:val="24"/>
          <w:szCs w:val="24"/>
        </w:rPr>
      </w:pPr>
      <w:r w:rsidRPr="003D1CB6">
        <w:rPr>
          <w:rFonts w:ascii="Times New Roman" w:hAnsi="Times New Roman" w:cs="Times New Roman"/>
          <w:sz w:val="24"/>
          <w:szCs w:val="24"/>
        </w:rPr>
        <w:t>J&amp;J sales</w:t>
      </w:r>
      <w:r w:rsidR="004257DD" w:rsidRPr="003D1CB6">
        <w:rPr>
          <w:rFonts w:ascii="Times New Roman" w:hAnsi="Times New Roman" w:cs="Times New Roman"/>
          <w:sz w:val="24"/>
          <w:szCs w:val="24"/>
        </w:rPr>
        <w:t xml:space="preserve"> (revenue)</w:t>
      </w:r>
      <w:r w:rsidRPr="003D1CB6">
        <w:rPr>
          <w:rFonts w:ascii="Times New Roman" w:hAnsi="Times New Roman" w:cs="Times New Roman"/>
          <w:sz w:val="24"/>
          <w:szCs w:val="24"/>
        </w:rPr>
        <w:t xml:space="preserve"> increased in nominal terms from </w:t>
      </w:r>
      <w:r w:rsidR="00F75497" w:rsidRPr="003D1CB6">
        <w:rPr>
          <w:rFonts w:ascii="Times New Roman" w:hAnsi="Times New Roman" w:cs="Times New Roman"/>
          <w:sz w:val="24"/>
          <w:szCs w:val="24"/>
        </w:rPr>
        <w:t>$93775m i</w:t>
      </w:r>
      <w:r w:rsidRPr="003D1CB6">
        <w:rPr>
          <w:rFonts w:ascii="Times New Roman" w:hAnsi="Times New Roman" w:cs="Times New Roman"/>
          <w:sz w:val="24"/>
          <w:szCs w:val="24"/>
        </w:rPr>
        <w:t>n 202</w:t>
      </w:r>
      <w:r w:rsidR="00F75497" w:rsidRPr="003D1CB6">
        <w:rPr>
          <w:rFonts w:ascii="Times New Roman" w:hAnsi="Times New Roman" w:cs="Times New Roman"/>
          <w:sz w:val="24"/>
          <w:szCs w:val="24"/>
        </w:rPr>
        <w:t>1 to $94943m in 2022</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00F75497" w:rsidRPr="003D1CB6">
        <w:rPr>
          <w:rFonts w:ascii="Times New Roman" w:hAnsi="Times New Roman" w:cs="Times New Roman"/>
          <w:sz w:val="24"/>
          <w:szCs w:val="24"/>
        </w:rPr>
        <w:t>.</w:t>
      </w:r>
    </w:p>
    <w:p w14:paraId="597377AF" w14:textId="363259B1" w:rsidR="00EB6A66" w:rsidRPr="008F03F9" w:rsidRDefault="00F75497" w:rsidP="00EB6A66">
      <w:pPr>
        <w:pStyle w:val="ListParagraph"/>
        <w:numPr>
          <w:ilvl w:val="0"/>
          <w:numId w:val="23"/>
        </w:numPr>
        <w:rPr>
          <w:rFonts w:ascii="Times New Roman" w:hAnsi="Times New Roman" w:cs="Times New Roman"/>
          <w:sz w:val="24"/>
          <w:szCs w:val="24"/>
        </w:rPr>
      </w:pPr>
      <w:r w:rsidRPr="003D1CB6">
        <w:rPr>
          <w:rFonts w:ascii="Times New Roman" w:hAnsi="Times New Roman" w:cs="Times New Roman"/>
          <w:sz w:val="24"/>
          <w:szCs w:val="24"/>
        </w:rPr>
        <w:t>However, in growth terms</w:t>
      </w:r>
      <w:r w:rsidR="003C36D8" w:rsidRPr="003D1CB6">
        <w:rPr>
          <w:rFonts w:ascii="Times New Roman" w:hAnsi="Times New Roman" w:cs="Times New Roman"/>
          <w:sz w:val="24"/>
          <w:szCs w:val="24"/>
        </w:rPr>
        <w:t xml:space="preserve">, </w:t>
      </w:r>
      <w:r w:rsidRPr="003D1CB6">
        <w:rPr>
          <w:rFonts w:ascii="Times New Roman" w:hAnsi="Times New Roman" w:cs="Times New Roman"/>
          <w:sz w:val="24"/>
          <w:szCs w:val="24"/>
        </w:rPr>
        <w:t>the sales dropped to</w:t>
      </w:r>
      <w:r w:rsidR="003C36D8" w:rsidRPr="003D1CB6">
        <w:rPr>
          <w:rFonts w:ascii="Times New Roman" w:hAnsi="Times New Roman" w:cs="Times New Roman"/>
          <w:sz w:val="24"/>
          <w:szCs w:val="24"/>
        </w:rPr>
        <w:t xml:space="preserve"> 1.3% </w:t>
      </w:r>
      <w:r w:rsidRPr="003D1CB6">
        <w:rPr>
          <w:rFonts w:ascii="Times New Roman" w:hAnsi="Times New Roman" w:cs="Times New Roman"/>
          <w:sz w:val="24"/>
          <w:szCs w:val="24"/>
        </w:rPr>
        <w:t>in 2022</w:t>
      </w:r>
      <w:r w:rsidR="003C36D8" w:rsidRPr="003D1CB6">
        <w:rPr>
          <w:rFonts w:ascii="Times New Roman" w:hAnsi="Times New Roman" w:cs="Times New Roman"/>
          <w:sz w:val="24"/>
          <w:szCs w:val="24"/>
        </w:rPr>
        <w:t xml:space="preserve"> as compared to 13.6%</w:t>
      </w:r>
      <w:r w:rsidRPr="003D1CB6">
        <w:rPr>
          <w:rFonts w:ascii="Times New Roman" w:hAnsi="Times New Roman" w:cs="Times New Roman"/>
          <w:sz w:val="24"/>
          <w:szCs w:val="24"/>
        </w:rPr>
        <w:t xml:space="preserve"> growth</w:t>
      </w:r>
      <w:r w:rsidR="003C36D8" w:rsidRPr="003D1CB6">
        <w:rPr>
          <w:rFonts w:ascii="Times New Roman" w:hAnsi="Times New Roman" w:cs="Times New Roman"/>
          <w:sz w:val="24"/>
          <w:szCs w:val="24"/>
        </w:rPr>
        <w:t xml:space="preserve"> in 2021. </w:t>
      </w:r>
    </w:p>
    <w:p w14:paraId="0C495F9C" w14:textId="6213638B" w:rsidR="00F75497" w:rsidRPr="00EB6A66" w:rsidRDefault="003C36D8" w:rsidP="00EB6A66">
      <w:pPr>
        <w:pStyle w:val="ListParagraph"/>
        <w:numPr>
          <w:ilvl w:val="0"/>
          <w:numId w:val="29"/>
        </w:numPr>
        <w:rPr>
          <w:rFonts w:ascii="Times New Roman" w:hAnsi="Times New Roman" w:cs="Times New Roman"/>
          <w:sz w:val="24"/>
          <w:szCs w:val="24"/>
        </w:rPr>
      </w:pPr>
      <w:r w:rsidRPr="00EB6A66">
        <w:rPr>
          <w:rFonts w:ascii="Times New Roman" w:hAnsi="Times New Roman" w:cs="Times New Roman"/>
          <w:sz w:val="24"/>
          <w:szCs w:val="24"/>
        </w:rPr>
        <w:t>The</w:t>
      </w:r>
      <w:r w:rsidR="00F75497" w:rsidRPr="00EB6A66">
        <w:rPr>
          <w:rFonts w:ascii="Times New Roman" w:hAnsi="Times New Roman" w:cs="Times New Roman"/>
          <w:sz w:val="24"/>
          <w:szCs w:val="24"/>
        </w:rPr>
        <w:t xml:space="preserve"> dropped in sales</w:t>
      </w:r>
      <w:r w:rsidR="00EB6A66">
        <w:rPr>
          <w:rFonts w:ascii="Times New Roman" w:hAnsi="Times New Roman" w:cs="Times New Roman"/>
          <w:sz w:val="24"/>
          <w:szCs w:val="24"/>
        </w:rPr>
        <w:t xml:space="preserve"> growth</w:t>
      </w:r>
      <w:r w:rsidR="00F75497" w:rsidRPr="00EB6A66">
        <w:rPr>
          <w:rFonts w:ascii="Times New Roman" w:hAnsi="Times New Roman" w:cs="Times New Roman"/>
          <w:sz w:val="24"/>
          <w:szCs w:val="24"/>
        </w:rPr>
        <w:t xml:space="preserve"> in 2022</w:t>
      </w:r>
      <w:r w:rsidR="007768F9">
        <w:rPr>
          <w:rFonts w:ascii="Times New Roman" w:hAnsi="Times New Roman" w:cs="Times New Roman"/>
          <w:sz w:val="24"/>
          <w:szCs w:val="24"/>
        </w:rPr>
        <w:t xml:space="preserve"> (according its Financial Statement Report, 2022)</w:t>
      </w:r>
      <w:r w:rsidR="00F75497" w:rsidRPr="00EB6A66">
        <w:rPr>
          <w:rFonts w:ascii="Times New Roman" w:hAnsi="Times New Roman" w:cs="Times New Roman"/>
          <w:sz w:val="24"/>
          <w:szCs w:val="24"/>
        </w:rPr>
        <w:t xml:space="preserve"> was due to three variables thus:</w:t>
      </w:r>
    </w:p>
    <w:p w14:paraId="43E2EE76" w14:textId="77777777" w:rsidR="00EB6A66" w:rsidRDefault="00F75497" w:rsidP="003C36D8">
      <w:pPr>
        <w:pStyle w:val="ListParagraph"/>
        <w:numPr>
          <w:ilvl w:val="0"/>
          <w:numId w:val="30"/>
        </w:numPr>
        <w:rPr>
          <w:rFonts w:ascii="Times New Roman" w:hAnsi="Times New Roman" w:cs="Times New Roman"/>
          <w:sz w:val="24"/>
          <w:szCs w:val="24"/>
        </w:rPr>
      </w:pPr>
      <w:r w:rsidRPr="00EB6A66">
        <w:rPr>
          <w:rFonts w:ascii="Times New Roman" w:hAnsi="Times New Roman" w:cs="Times New Roman"/>
          <w:sz w:val="24"/>
          <w:szCs w:val="24"/>
        </w:rPr>
        <w:t>Sales volume dropped from 12.9% in 2021 to 6.9% in 2022</w:t>
      </w:r>
      <w:r w:rsidR="003F3572" w:rsidRPr="00EB6A66">
        <w:rPr>
          <w:rFonts w:ascii="Times New Roman" w:hAnsi="Times New Roman" w:cs="Times New Roman"/>
          <w:sz w:val="24"/>
          <w:szCs w:val="24"/>
        </w:rPr>
        <w:t>.</w:t>
      </w:r>
    </w:p>
    <w:p w14:paraId="5260B984" w14:textId="77777777" w:rsidR="00EB6A66" w:rsidRDefault="00F75497" w:rsidP="003C36D8">
      <w:pPr>
        <w:pStyle w:val="ListParagraph"/>
        <w:numPr>
          <w:ilvl w:val="0"/>
          <w:numId w:val="30"/>
        </w:numPr>
        <w:rPr>
          <w:rFonts w:ascii="Times New Roman" w:hAnsi="Times New Roman" w:cs="Times New Roman"/>
          <w:sz w:val="24"/>
          <w:szCs w:val="24"/>
        </w:rPr>
      </w:pPr>
      <w:r w:rsidRPr="00EB6A66">
        <w:rPr>
          <w:rFonts w:ascii="Times New Roman" w:hAnsi="Times New Roman" w:cs="Times New Roman"/>
          <w:sz w:val="24"/>
          <w:szCs w:val="24"/>
        </w:rPr>
        <w:t>Sales price also marginally dropped -</w:t>
      </w:r>
      <w:r w:rsidR="003C36D8" w:rsidRPr="00EB6A66">
        <w:rPr>
          <w:rFonts w:ascii="Times New Roman" w:hAnsi="Times New Roman" w:cs="Times New Roman"/>
          <w:sz w:val="24"/>
          <w:szCs w:val="24"/>
        </w:rPr>
        <w:t xml:space="preserve"> </w:t>
      </w:r>
      <w:r w:rsidRPr="00EB6A66">
        <w:rPr>
          <w:rFonts w:ascii="Times New Roman" w:hAnsi="Times New Roman" w:cs="Times New Roman"/>
          <w:sz w:val="24"/>
          <w:szCs w:val="24"/>
        </w:rPr>
        <w:t>$0</w:t>
      </w:r>
      <w:r w:rsidR="003C36D8" w:rsidRPr="00EB6A66">
        <w:rPr>
          <w:rFonts w:ascii="Times New Roman" w:hAnsi="Times New Roman" w:cs="Times New Roman"/>
          <w:sz w:val="24"/>
          <w:szCs w:val="24"/>
        </w:rPr>
        <w:t>.</w:t>
      </w:r>
      <w:r w:rsidRPr="00EB6A66">
        <w:rPr>
          <w:rFonts w:ascii="Times New Roman" w:hAnsi="Times New Roman" w:cs="Times New Roman"/>
          <w:sz w:val="24"/>
          <w:szCs w:val="24"/>
        </w:rPr>
        <w:t>7 per unit in 2021 to -$</w:t>
      </w:r>
      <w:r w:rsidR="003C36D8" w:rsidRPr="00EB6A66">
        <w:rPr>
          <w:rFonts w:ascii="Times New Roman" w:hAnsi="Times New Roman" w:cs="Times New Roman"/>
          <w:sz w:val="24"/>
          <w:szCs w:val="24"/>
        </w:rPr>
        <w:t>0.</w:t>
      </w:r>
      <w:r w:rsidRPr="00EB6A66">
        <w:rPr>
          <w:rFonts w:ascii="Times New Roman" w:hAnsi="Times New Roman" w:cs="Times New Roman"/>
          <w:sz w:val="24"/>
          <w:szCs w:val="24"/>
        </w:rPr>
        <w:t>8 per unit in 2022</w:t>
      </w:r>
      <w:r w:rsidR="003F3572" w:rsidRPr="00EB6A66">
        <w:rPr>
          <w:rFonts w:ascii="Times New Roman" w:hAnsi="Times New Roman" w:cs="Times New Roman"/>
          <w:sz w:val="24"/>
          <w:szCs w:val="24"/>
        </w:rPr>
        <w:t>.</w:t>
      </w:r>
    </w:p>
    <w:p w14:paraId="6D406C94" w14:textId="00EAFFB7" w:rsidR="003C36D8" w:rsidRPr="00EB6A66" w:rsidRDefault="00F75497" w:rsidP="003C36D8">
      <w:pPr>
        <w:pStyle w:val="ListParagraph"/>
        <w:numPr>
          <w:ilvl w:val="0"/>
          <w:numId w:val="30"/>
        </w:numPr>
        <w:rPr>
          <w:rFonts w:ascii="Times New Roman" w:hAnsi="Times New Roman" w:cs="Times New Roman"/>
          <w:sz w:val="24"/>
          <w:szCs w:val="24"/>
        </w:rPr>
      </w:pPr>
      <w:r w:rsidRPr="00EB6A66">
        <w:rPr>
          <w:rFonts w:ascii="Times New Roman" w:hAnsi="Times New Roman" w:cs="Times New Roman"/>
          <w:sz w:val="24"/>
          <w:szCs w:val="24"/>
        </w:rPr>
        <w:t>Fluctuation in currency</w:t>
      </w:r>
      <w:r w:rsidR="003F3572" w:rsidRPr="00EB6A66">
        <w:rPr>
          <w:rFonts w:ascii="Times New Roman" w:hAnsi="Times New Roman" w:cs="Times New Roman"/>
          <w:sz w:val="24"/>
          <w:szCs w:val="24"/>
        </w:rPr>
        <w:t xml:space="preserve"> depreciated from 2021 figure1.4 to -</w:t>
      </w:r>
      <w:r w:rsidR="003C36D8" w:rsidRPr="00EB6A66">
        <w:rPr>
          <w:rFonts w:ascii="Times New Roman" w:hAnsi="Times New Roman" w:cs="Times New Roman"/>
          <w:sz w:val="24"/>
          <w:szCs w:val="24"/>
        </w:rPr>
        <w:t>4.8</w:t>
      </w:r>
      <w:r w:rsidR="003F3572" w:rsidRPr="00EB6A66">
        <w:rPr>
          <w:rFonts w:ascii="Times New Roman" w:hAnsi="Times New Roman" w:cs="Times New Roman"/>
          <w:sz w:val="24"/>
          <w:szCs w:val="24"/>
        </w:rPr>
        <w:t xml:space="preserve"> in 2022.</w:t>
      </w:r>
    </w:p>
    <w:p w14:paraId="791976AC" w14:textId="37CBD2E4" w:rsidR="005563E6" w:rsidRDefault="003F3572" w:rsidP="00617D24">
      <w:pPr>
        <w:rPr>
          <w:rFonts w:ascii="Times New Roman" w:hAnsi="Times New Roman" w:cs="Times New Roman"/>
          <w:sz w:val="24"/>
          <w:szCs w:val="24"/>
        </w:rPr>
      </w:pPr>
      <w:r>
        <w:rPr>
          <w:rFonts w:ascii="Times New Roman" w:hAnsi="Times New Roman" w:cs="Times New Roman"/>
          <w:sz w:val="24"/>
          <w:szCs w:val="24"/>
        </w:rPr>
        <w:t>All resulting in a total sales decrease of</w:t>
      </w:r>
      <w:r w:rsidR="003C36D8" w:rsidRPr="003C36D8">
        <w:rPr>
          <w:rFonts w:ascii="Times New Roman" w:hAnsi="Times New Roman" w:cs="Times New Roman"/>
          <w:sz w:val="24"/>
          <w:szCs w:val="24"/>
        </w:rPr>
        <w:t xml:space="preserve"> 1.3%</w:t>
      </w:r>
      <w:r>
        <w:rPr>
          <w:rFonts w:ascii="Times New Roman" w:hAnsi="Times New Roman" w:cs="Times New Roman"/>
          <w:sz w:val="24"/>
          <w:szCs w:val="24"/>
        </w:rPr>
        <w:t xml:space="preserve"> (2022)</w:t>
      </w:r>
      <w:r w:rsidR="003C36D8" w:rsidRPr="003C36D8">
        <w:rPr>
          <w:rFonts w:ascii="Times New Roman" w:hAnsi="Times New Roman" w:cs="Times New Roman"/>
          <w:sz w:val="24"/>
          <w:szCs w:val="24"/>
        </w:rPr>
        <w:t xml:space="preserve"> </w:t>
      </w:r>
      <w:r>
        <w:rPr>
          <w:rFonts w:ascii="Times New Roman" w:hAnsi="Times New Roman" w:cs="Times New Roman"/>
          <w:sz w:val="24"/>
          <w:szCs w:val="24"/>
        </w:rPr>
        <w:t xml:space="preserve">from the </w:t>
      </w:r>
      <w:r w:rsidR="003C36D8" w:rsidRPr="003C36D8">
        <w:rPr>
          <w:rFonts w:ascii="Times New Roman" w:hAnsi="Times New Roman" w:cs="Times New Roman"/>
          <w:sz w:val="24"/>
          <w:szCs w:val="24"/>
        </w:rPr>
        <w:t>13.6%</w:t>
      </w:r>
      <w:r>
        <w:rPr>
          <w:rFonts w:ascii="Times New Roman" w:hAnsi="Times New Roman" w:cs="Times New Roman"/>
          <w:sz w:val="24"/>
          <w:szCs w:val="24"/>
        </w:rPr>
        <w:t xml:space="preserve"> recorded in 2021.</w:t>
      </w:r>
    </w:p>
    <w:p w14:paraId="6ADF6D7A" w14:textId="77777777" w:rsidR="00EB6A66" w:rsidRDefault="00EB6A66" w:rsidP="003D2906">
      <w:pPr>
        <w:jc w:val="both"/>
        <w:rPr>
          <w:rFonts w:ascii="Times New Roman" w:hAnsi="Times New Roman" w:cs="Times New Roman"/>
          <w:b/>
          <w:bCs/>
          <w:sz w:val="24"/>
          <w:szCs w:val="24"/>
        </w:rPr>
      </w:pPr>
    </w:p>
    <w:p w14:paraId="52B2DB53" w14:textId="63B9D2F8" w:rsidR="00EC1CE7" w:rsidRPr="008F03F9" w:rsidRDefault="00EC1CE7" w:rsidP="003D2906">
      <w:pPr>
        <w:jc w:val="both"/>
        <w:rPr>
          <w:rFonts w:ascii="Times New Roman" w:hAnsi="Times New Roman" w:cs="Times New Roman"/>
          <w:b/>
          <w:bCs/>
          <w:sz w:val="24"/>
          <w:szCs w:val="24"/>
          <w:u w:val="single"/>
        </w:rPr>
      </w:pPr>
      <w:r w:rsidRPr="008F03F9">
        <w:rPr>
          <w:rFonts w:ascii="Times New Roman" w:hAnsi="Times New Roman" w:cs="Times New Roman"/>
          <w:b/>
          <w:bCs/>
          <w:sz w:val="24"/>
          <w:szCs w:val="24"/>
          <w:u w:val="single"/>
        </w:rPr>
        <w:t>Major Cost Drivers</w:t>
      </w:r>
    </w:p>
    <w:p w14:paraId="0A4750B2" w14:textId="6B5DA028" w:rsidR="00EC1CE7" w:rsidRDefault="00EC1CE7" w:rsidP="00C52551">
      <w:pPr>
        <w:rPr>
          <w:rFonts w:ascii="Times New Roman" w:hAnsi="Times New Roman" w:cs="Times New Roman"/>
          <w:sz w:val="24"/>
          <w:szCs w:val="24"/>
        </w:rPr>
      </w:pPr>
      <w:r w:rsidRPr="00C52551">
        <w:rPr>
          <w:rFonts w:ascii="Times New Roman" w:hAnsi="Times New Roman" w:cs="Times New Roman"/>
          <w:sz w:val="24"/>
          <w:szCs w:val="24"/>
        </w:rPr>
        <w:t xml:space="preserve">Three major cost drivers identified </w:t>
      </w:r>
      <w:r w:rsidR="00C52551" w:rsidRPr="00C52551">
        <w:rPr>
          <w:rFonts w:ascii="Times New Roman" w:hAnsi="Times New Roman" w:cs="Times New Roman"/>
          <w:sz w:val="24"/>
          <w:szCs w:val="24"/>
        </w:rPr>
        <w:t>include</w:t>
      </w:r>
      <w:r w:rsidRPr="00C52551">
        <w:rPr>
          <w:rFonts w:ascii="Times New Roman" w:hAnsi="Times New Roman" w:cs="Times New Roman"/>
          <w:sz w:val="24"/>
          <w:szCs w:val="24"/>
        </w:rPr>
        <w:t xml:space="preserve"> cost of products sold, Selling, Marketing &amp; Administrative cost and research and development expense.</w:t>
      </w:r>
    </w:p>
    <w:p w14:paraId="3DEC3E81" w14:textId="347A17E6" w:rsidR="00EB6A66" w:rsidRPr="00EB6A66" w:rsidRDefault="00EB6A66" w:rsidP="00C52551">
      <w:pPr>
        <w:rPr>
          <w:rFonts w:ascii="Times New Roman" w:hAnsi="Times New Roman" w:cs="Times New Roman"/>
          <w:b/>
          <w:bCs/>
          <w:sz w:val="24"/>
          <w:szCs w:val="24"/>
        </w:rPr>
      </w:pPr>
      <w:r>
        <w:rPr>
          <w:rFonts w:ascii="Times New Roman" w:hAnsi="Times New Roman" w:cs="Times New Roman"/>
          <w:b/>
          <w:bCs/>
          <w:sz w:val="24"/>
          <w:szCs w:val="24"/>
        </w:rPr>
        <w:t>C</w:t>
      </w:r>
      <w:r w:rsidRPr="00EB6A66">
        <w:rPr>
          <w:rFonts w:ascii="Times New Roman" w:hAnsi="Times New Roman" w:cs="Times New Roman"/>
          <w:b/>
          <w:bCs/>
          <w:sz w:val="24"/>
          <w:szCs w:val="24"/>
        </w:rPr>
        <w:t xml:space="preserve">ost of </w:t>
      </w:r>
      <w:r>
        <w:rPr>
          <w:rFonts w:ascii="Times New Roman" w:hAnsi="Times New Roman" w:cs="Times New Roman"/>
          <w:b/>
          <w:bCs/>
          <w:sz w:val="24"/>
          <w:szCs w:val="24"/>
        </w:rPr>
        <w:t>P</w:t>
      </w:r>
      <w:r w:rsidRPr="00EB6A66">
        <w:rPr>
          <w:rFonts w:ascii="Times New Roman" w:hAnsi="Times New Roman" w:cs="Times New Roman"/>
          <w:b/>
          <w:bCs/>
          <w:sz w:val="24"/>
          <w:szCs w:val="24"/>
        </w:rPr>
        <w:t xml:space="preserve">roducts </w:t>
      </w:r>
      <w:r>
        <w:rPr>
          <w:rFonts w:ascii="Times New Roman" w:hAnsi="Times New Roman" w:cs="Times New Roman"/>
          <w:b/>
          <w:bCs/>
          <w:sz w:val="24"/>
          <w:szCs w:val="24"/>
        </w:rPr>
        <w:t>S</w:t>
      </w:r>
      <w:r w:rsidRPr="00EB6A66">
        <w:rPr>
          <w:rFonts w:ascii="Times New Roman" w:hAnsi="Times New Roman" w:cs="Times New Roman"/>
          <w:b/>
          <w:bCs/>
          <w:sz w:val="24"/>
          <w:szCs w:val="24"/>
        </w:rPr>
        <w:t>old</w:t>
      </w:r>
    </w:p>
    <w:p w14:paraId="5A8475B1" w14:textId="6EB60DB4" w:rsidR="00EC1CE7" w:rsidRPr="00F552C0" w:rsidRDefault="00EC1CE7" w:rsidP="00F552C0">
      <w:pPr>
        <w:pStyle w:val="ListParagraph"/>
        <w:numPr>
          <w:ilvl w:val="0"/>
          <w:numId w:val="23"/>
        </w:numPr>
        <w:rPr>
          <w:rFonts w:ascii="Times New Roman" w:hAnsi="Times New Roman" w:cs="Times New Roman"/>
          <w:sz w:val="24"/>
          <w:szCs w:val="24"/>
        </w:rPr>
      </w:pPr>
      <w:r w:rsidRPr="00F552C0">
        <w:rPr>
          <w:rFonts w:ascii="Times New Roman" w:hAnsi="Times New Roman" w:cs="Times New Roman"/>
          <w:sz w:val="24"/>
          <w:szCs w:val="24"/>
        </w:rPr>
        <w:t xml:space="preserve">The cost of products sold grew in 2022 by </w:t>
      </w:r>
      <w:r w:rsidR="00F552C0" w:rsidRPr="00F552C0">
        <w:rPr>
          <w:rFonts w:ascii="Times New Roman" w:hAnsi="Times New Roman" w:cs="Times New Roman"/>
          <w:sz w:val="24"/>
          <w:szCs w:val="24"/>
        </w:rPr>
        <w:t>4.13</w:t>
      </w:r>
      <w:r w:rsidRPr="00F552C0">
        <w:rPr>
          <w:rFonts w:ascii="Times New Roman" w:hAnsi="Times New Roman" w:cs="Times New Roman"/>
          <w:sz w:val="24"/>
          <w:szCs w:val="24"/>
        </w:rPr>
        <w:t xml:space="preserve">% from </w:t>
      </w:r>
      <w:r w:rsidR="00F552C0" w:rsidRPr="00F552C0">
        <w:rPr>
          <w:rFonts w:ascii="Times New Roman" w:hAnsi="Times New Roman" w:cs="Times New Roman"/>
          <w:sz w:val="24"/>
          <w:szCs w:val="24"/>
        </w:rPr>
        <w:t>5.02</w:t>
      </w:r>
      <w:r w:rsidRPr="00F552C0">
        <w:rPr>
          <w:rFonts w:ascii="Times New Roman" w:hAnsi="Times New Roman" w:cs="Times New Roman"/>
          <w:sz w:val="24"/>
          <w:szCs w:val="24"/>
        </w:rPr>
        <w:t xml:space="preserve">% in previous year and in absolute </w:t>
      </w:r>
      <w:r w:rsidR="00F552C0">
        <w:rPr>
          <w:rFonts w:ascii="Times New Roman" w:hAnsi="Times New Roman" w:cs="Times New Roman"/>
          <w:sz w:val="24"/>
          <w:szCs w:val="24"/>
        </w:rPr>
        <w:t>figures</w:t>
      </w:r>
      <w:r w:rsidRPr="00F552C0">
        <w:rPr>
          <w:rFonts w:ascii="Times New Roman" w:hAnsi="Times New Roman" w:cs="Times New Roman"/>
          <w:sz w:val="24"/>
          <w:szCs w:val="24"/>
        </w:rPr>
        <w:t xml:space="preserve"> from </w:t>
      </w:r>
      <w:r w:rsidR="00C52551" w:rsidRPr="00F552C0">
        <w:rPr>
          <w:rFonts w:ascii="Times New Roman" w:hAnsi="Times New Roman" w:cs="Times New Roman"/>
          <w:sz w:val="24"/>
          <w:szCs w:val="24"/>
        </w:rPr>
        <w:t>$29,855m in 2021 to $31,089m in 2022</w:t>
      </w:r>
      <w:r w:rsidR="00D94E9C">
        <w:rPr>
          <w:rFonts w:ascii="Times New Roman" w:hAnsi="Times New Roman" w:cs="Times New Roman"/>
          <w:sz w:val="24"/>
          <w:szCs w:val="24"/>
        </w:rPr>
        <w:t xml:space="preserve"> - </w:t>
      </w:r>
      <w:r w:rsidR="00D94E9C" w:rsidRPr="00D94E9C">
        <w:rPr>
          <w:rFonts w:ascii="Times New Roman" w:hAnsi="Times New Roman" w:cs="Times New Roman"/>
          <w:b/>
          <w:bCs/>
          <w:i/>
          <w:iCs/>
          <w:sz w:val="24"/>
          <w:szCs w:val="24"/>
        </w:rPr>
        <w:t>see excel sheet</w:t>
      </w:r>
      <w:r w:rsidR="00C52551" w:rsidRPr="00F552C0">
        <w:rPr>
          <w:rFonts w:ascii="Times New Roman" w:hAnsi="Times New Roman" w:cs="Times New Roman"/>
          <w:sz w:val="24"/>
          <w:szCs w:val="24"/>
        </w:rPr>
        <w:t>.</w:t>
      </w:r>
    </w:p>
    <w:p w14:paraId="4229E183" w14:textId="508ECA49" w:rsidR="00F552C0" w:rsidRDefault="00F552C0" w:rsidP="00F552C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Fluctuating</w:t>
      </w:r>
      <w:r w:rsidRPr="003C6E25">
        <w:rPr>
          <w:rFonts w:ascii="Times New Roman" w:hAnsi="Times New Roman" w:cs="Times New Roman"/>
          <w:sz w:val="24"/>
          <w:szCs w:val="24"/>
        </w:rPr>
        <w:t xml:space="preserve"> trend in terms of </w:t>
      </w:r>
      <w:r>
        <w:rPr>
          <w:rFonts w:ascii="Times New Roman" w:hAnsi="Times New Roman" w:cs="Times New Roman"/>
          <w:sz w:val="24"/>
          <w:szCs w:val="24"/>
        </w:rPr>
        <w:t xml:space="preserve">percentage </w:t>
      </w:r>
      <w:r w:rsidR="00434D1F">
        <w:rPr>
          <w:rFonts w:ascii="Times New Roman" w:hAnsi="Times New Roman" w:cs="Times New Roman"/>
          <w:sz w:val="24"/>
          <w:szCs w:val="24"/>
        </w:rPr>
        <w:t>of cost of products sold</w:t>
      </w:r>
      <w:r w:rsidRPr="003C6E25">
        <w:rPr>
          <w:rFonts w:ascii="Times New Roman" w:hAnsi="Times New Roman" w:cs="Times New Roman"/>
          <w:sz w:val="24"/>
          <w:szCs w:val="24"/>
        </w:rPr>
        <w:t xml:space="preserve"> on revenue (</w:t>
      </w:r>
      <w:r>
        <w:rPr>
          <w:rFonts w:ascii="Times New Roman" w:hAnsi="Times New Roman" w:cs="Times New Roman"/>
          <w:sz w:val="24"/>
          <w:szCs w:val="24"/>
        </w:rPr>
        <w:t>34.42</w:t>
      </w:r>
      <w:r w:rsidRPr="003C6E25">
        <w:rPr>
          <w:rFonts w:ascii="Times New Roman" w:hAnsi="Times New Roman" w:cs="Times New Roman"/>
          <w:sz w:val="24"/>
          <w:szCs w:val="24"/>
        </w:rPr>
        <w:t xml:space="preserve">%, </w:t>
      </w:r>
      <w:r>
        <w:rPr>
          <w:rFonts w:ascii="Times New Roman" w:hAnsi="Times New Roman" w:cs="Times New Roman"/>
          <w:sz w:val="24"/>
          <w:szCs w:val="24"/>
        </w:rPr>
        <w:t>31.84</w:t>
      </w:r>
      <w:r w:rsidRPr="003C6E25">
        <w:rPr>
          <w:rFonts w:ascii="Times New Roman" w:hAnsi="Times New Roman" w:cs="Times New Roman"/>
          <w:sz w:val="24"/>
          <w:szCs w:val="24"/>
        </w:rPr>
        <w:t xml:space="preserve">% and </w:t>
      </w:r>
      <w:r>
        <w:rPr>
          <w:rFonts w:ascii="Times New Roman" w:hAnsi="Times New Roman" w:cs="Times New Roman"/>
          <w:sz w:val="24"/>
          <w:szCs w:val="24"/>
        </w:rPr>
        <w:t>32.74</w:t>
      </w:r>
      <w:r w:rsidRPr="003C6E25">
        <w:rPr>
          <w:rFonts w:ascii="Times New Roman" w:hAnsi="Times New Roman" w:cs="Times New Roman"/>
          <w:sz w:val="24"/>
          <w:szCs w:val="24"/>
        </w:rPr>
        <w:t>% for 2020, 2021 and 2022 respectively)</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Pr="003C6E25">
        <w:rPr>
          <w:rFonts w:ascii="Times New Roman" w:hAnsi="Times New Roman" w:cs="Times New Roman"/>
          <w:sz w:val="24"/>
          <w:szCs w:val="24"/>
        </w:rPr>
        <w:t xml:space="preserve">. </w:t>
      </w:r>
    </w:p>
    <w:p w14:paraId="749BE988" w14:textId="77777777" w:rsidR="00EB6A66" w:rsidRDefault="00F552C0" w:rsidP="00EB6A66">
      <w:pPr>
        <w:pStyle w:val="ListParagraph"/>
        <w:numPr>
          <w:ilvl w:val="0"/>
          <w:numId w:val="18"/>
        </w:numPr>
        <w:jc w:val="both"/>
        <w:rPr>
          <w:rFonts w:ascii="Times New Roman" w:hAnsi="Times New Roman" w:cs="Times New Roman"/>
          <w:sz w:val="24"/>
          <w:szCs w:val="24"/>
        </w:rPr>
      </w:pPr>
      <w:r w:rsidRPr="00F552C0">
        <w:rPr>
          <w:rFonts w:ascii="Times New Roman" w:hAnsi="Times New Roman" w:cs="Times New Roman"/>
          <w:sz w:val="24"/>
          <w:szCs w:val="24"/>
        </w:rPr>
        <w:lastRenderedPageBreak/>
        <w:t>Varies correlates with the increasing trend in gross revenue over the same period.</w:t>
      </w:r>
    </w:p>
    <w:p w14:paraId="4D772592" w14:textId="4BCC3862" w:rsidR="00EB6A66" w:rsidRPr="00EB6A66" w:rsidRDefault="00EB6A66" w:rsidP="00EB6A66">
      <w:pPr>
        <w:pStyle w:val="ListParagraph"/>
        <w:numPr>
          <w:ilvl w:val="0"/>
          <w:numId w:val="18"/>
        </w:numPr>
        <w:jc w:val="both"/>
        <w:rPr>
          <w:rFonts w:ascii="Times New Roman" w:hAnsi="Times New Roman" w:cs="Times New Roman"/>
          <w:sz w:val="24"/>
          <w:szCs w:val="24"/>
        </w:rPr>
      </w:pPr>
      <w:r w:rsidRPr="00EB6A66">
        <w:rPr>
          <w:rFonts w:ascii="Times New Roman" w:hAnsi="Times New Roman" w:cs="Times New Roman"/>
          <w:sz w:val="24"/>
          <w:szCs w:val="24"/>
        </w:rPr>
        <w:t>The increased in cost of products sold is primarily driven by:</w:t>
      </w:r>
    </w:p>
    <w:p w14:paraId="6EE93DB5" w14:textId="77777777" w:rsidR="00EB6A66" w:rsidRDefault="00EB6A66" w:rsidP="00EB6A66">
      <w:pPr>
        <w:pStyle w:val="ListParagraph"/>
        <w:numPr>
          <w:ilvl w:val="0"/>
          <w:numId w:val="24"/>
        </w:numPr>
        <w:ind w:left="360"/>
        <w:rPr>
          <w:rFonts w:ascii="Times New Roman" w:hAnsi="Times New Roman" w:cs="Times New Roman"/>
          <w:i/>
          <w:iCs/>
          <w:sz w:val="24"/>
          <w:szCs w:val="24"/>
        </w:rPr>
      </w:pPr>
      <w:r w:rsidRPr="00674608">
        <w:rPr>
          <w:rFonts w:ascii="Times New Roman" w:hAnsi="Times New Roman" w:cs="Times New Roman"/>
          <w:i/>
          <w:iCs/>
          <w:sz w:val="24"/>
          <w:szCs w:val="24"/>
        </w:rPr>
        <w:t>“One-time COVID-19 vaccine manufacturing exit related costs</w:t>
      </w:r>
    </w:p>
    <w:p w14:paraId="04F149A2" w14:textId="77777777" w:rsidR="00EB6A66" w:rsidRDefault="00EB6A66" w:rsidP="00EB6A66">
      <w:pPr>
        <w:pStyle w:val="ListParagraph"/>
        <w:numPr>
          <w:ilvl w:val="0"/>
          <w:numId w:val="24"/>
        </w:numPr>
        <w:ind w:left="360"/>
        <w:rPr>
          <w:rFonts w:ascii="Times New Roman" w:hAnsi="Times New Roman" w:cs="Times New Roman"/>
          <w:i/>
          <w:iCs/>
          <w:sz w:val="24"/>
          <w:szCs w:val="24"/>
        </w:rPr>
      </w:pPr>
      <w:r w:rsidRPr="00674608">
        <w:rPr>
          <w:rFonts w:ascii="Times New Roman" w:hAnsi="Times New Roman" w:cs="Times New Roman"/>
          <w:i/>
          <w:iCs/>
          <w:sz w:val="24"/>
          <w:szCs w:val="24"/>
        </w:rPr>
        <w:t>Currency impacts in the pharmaceutical segment</w:t>
      </w:r>
    </w:p>
    <w:p w14:paraId="37A28F83" w14:textId="77777777" w:rsidR="00EB6A66" w:rsidRDefault="00EB6A66" w:rsidP="00EB6A66">
      <w:pPr>
        <w:pStyle w:val="ListParagraph"/>
        <w:numPr>
          <w:ilvl w:val="0"/>
          <w:numId w:val="24"/>
        </w:numPr>
        <w:ind w:left="360"/>
        <w:rPr>
          <w:rFonts w:ascii="Times New Roman" w:hAnsi="Times New Roman" w:cs="Times New Roman"/>
          <w:i/>
          <w:iCs/>
          <w:sz w:val="24"/>
          <w:szCs w:val="24"/>
        </w:rPr>
      </w:pPr>
      <w:r w:rsidRPr="00674608">
        <w:rPr>
          <w:rFonts w:ascii="Times New Roman" w:hAnsi="Times New Roman" w:cs="Times New Roman"/>
          <w:i/>
          <w:iCs/>
          <w:sz w:val="24"/>
          <w:szCs w:val="24"/>
        </w:rPr>
        <w:t>Commodity inflation in the MedTech and Consumer Health segments partially offset by</w:t>
      </w:r>
    </w:p>
    <w:p w14:paraId="20E40CB2" w14:textId="35C3DE82" w:rsidR="00EB6A66" w:rsidRPr="00EB6A66" w:rsidRDefault="00EB6A66" w:rsidP="00C52551">
      <w:pPr>
        <w:pStyle w:val="ListParagraph"/>
        <w:numPr>
          <w:ilvl w:val="0"/>
          <w:numId w:val="26"/>
        </w:numPr>
        <w:ind w:left="360"/>
        <w:rPr>
          <w:rFonts w:ascii="Times New Roman" w:hAnsi="Times New Roman" w:cs="Times New Roman"/>
          <w:i/>
          <w:iCs/>
          <w:sz w:val="24"/>
          <w:szCs w:val="24"/>
        </w:rPr>
      </w:pPr>
      <w:r w:rsidRPr="00674608">
        <w:rPr>
          <w:rFonts w:ascii="Times New Roman" w:hAnsi="Times New Roman" w:cs="Times New Roman"/>
          <w:i/>
          <w:iCs/>
          <w:sz w:val="24"/>
          <w:szCs w:val="24"/>
        </w:rPr>
        <w:t xml:space="preserve">Supply chain benefits in the Consumer Health segment”, </w:t>
      </w:r>
      <w:r w:rsidRPr="00674608">
        <w:rPr>
          <w:rFonts w:ascii="Times New Roman" w:hAnsi="Times New Roman" w:cs="Times New Roman"/>
          <w:sz w:val="24"/>
          <w:szCs w:val="24"/>
        </w:rPr>
        <w:t>(Financial Statement Report</w:t>
      </w:r>
      <w:r w:rsidR="001F55D4">
        <w:rPr>
          <w:rFonts w:ascii="Times New Roman" w:hAnsi="Times New Roman" w:cs="Times New Roman"/>
          <w:sz w:val="24"/>
          <w:szCs w:val="24"/>
        </w:rPr>
        <w:t>, 2022</w:t>
      </w:r>
      <w:r w:rsidRPr="00674608">
        <w:rPr>
          <w:rFonts w:ascii="Times New Roman" w:hAnsi="Times New Roman" w:cs="Times New Roman"/>
          <w:sz w:val="24"/>
          <w:szCs w:val="24"/>
        </w:rPr>
        <w:t>).</w:t>
      </w:r>
    </w:p>
    <w:p w14:paraId="27A00D45" w14:textId="79471627" w:rsidR="00F552C0" w:rsidRPr="00EB6A66" w:rsidRDefault="00EB6A66" w:rsidP="00C52551">
      <w:pPr>
        <w:rPr>
          <w:rFonts w:ascii="Times New Roman" w:hAnsi="Times New Roman" w:cs="Times New Roman"/>
          <w:b/>
          <w:bCs/>
          <w:sz w:val="24"/>
          <w:szCs w:val="24"/>
        </w:rPr>
      </w:pPr>
      <w:r w:rsidRPr="00EB6A66">
        <w:rPr>
          <w:rFonts w:ascii="Times New Roman" w:hAnsi="Times New Roman" w:cs="Times New Roman"/>
          <w:b/>
          <w:bCs/>
          <w:sz w:val="24"/>
          <w:szCs w:val="24"/>
        </w:rPr>
        <w:t xml:space="preserve">Selling, Marketing &amp; Administrative </w:t>
      </w:r>
      <w:r>
        <w:rPr>
          <w:rFonts w:ascii="Times New Roman" w:hAnsi="Times New Roman" w:cs="Times New Roman"/>
          <w:b/>
          <w:bCs/>
          <w:sz w:val="24"/>
          <w:szCs w:val="24"/>
        </w:rPr>
        <w:t>C</w:t>
      </w:r>
      <w:r w:rsidRPr="00EB6A66">
        <w:rPr>
          <w:rFonts w:ascii="Times New Roman" w:hAnsi="Times New Roman" w:cs="Times New Roman"/>
          <w:b/>
          <w:bCs/>
          <w:sz w:val="24"/>
          <w:szCs w:val="24"/>
        </w:rPr>
        <w:t>ost</w:t>
      </w:r>
    </w:p>
    <w:p w14:paraId="5BA84856" w14:textId="346D29E4" w:rsidR="00434D1F" w:rsidRDefault="00EB6A66" w:rsidP="00434D1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Selling, </w:t>
      </w:r>
      <w:r w:rsidR="00C52551" w:rsidRPr="00C52551">
        <w:rPr>
          <w:rFonts w:ascii="Times New Roman" w:hAnsi="Times New Roman" w:cs="Times New Roman"/>
          <w:sz w:val="24"/>
          <w:szCs w:val="24"/>
        </w:rPr>
        <w:t>Marketing &amp; Administrative cost also grew marginally in absolute value from $24,659m in 2021 to $24,765m in 2022</w:t>
      </w:r>
      <w:r w:rsidR="00434D1F">
        <w:rPr>
          <w:rFonts w:ascii="Times New Roman" w:hAnsi="Times New Roman" w:cs="Times New Roman"/>
          <w:sz w:val="24"/>
          <w:szCs w:val="24"/>
        </w:rPr>
        <w:t xml:space="preserve"> but substantially decreased in growth from 11.66% in 2021 to 0.43% in 2022</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see excel sheet</w:t>
      </w:r>
      <w:r w:rsidR="00C52551" w:rsidRPr="00C52551">
        <w:rPr>
          <w:rFonts w:ascii="Times New Roman" w:hAnsi="Times New Roman" w:cs="Times New Roman"/>
          <w:sz w:val="24"/>
          <w:szCs w:val="24"/>
        </w:rPr>
        <w:t>.</w:t>
      </w:r>
      <w:r w:rsidR="00434D1F">
        <w:rPr>
          <w:rFonts w:ascii="Times New Roman" w:hAnsi="Times New Roman" w:cs="Times New Roman"/>
          <w:sz w:val="24"/>
          <w:szCs w:val="24"/>
        </w:rPr>
        <w:t xml:space="preserve"> </w:t>
      </w:r>
    </w:p>
    <w:p w14:paraId="1975F687" w14:textId="3ECE2051" w:rsidR="00434D1F" w:rsidRPr="00434D1F" w:rsidRDefault="00434D1F" w:rsidP="00434D1F">
      <w:pPr>
        <w:pStyle w:val="ListParagraph"/>
        <w:numPr>
          <w:ilvl w:val="0"/>
          <w:numId w:val="27"/>
        </w:numPr>
        <w:rPr>
          <w:rFonts w:ascii="Times New Roman" w:hAnsi="Times New Roman" w:cs="Times New Roman"/>
          <w:sz w:val="24"/>
          <w:szCs w:val="24"/>
        </w:rPr>
      </w:pPr>
      <w:r w:rsidRPr="00434D1F">
        <w:rPr>
          <w:rFonts w:ascii="Times New Roman" w:hAnsi="Times New Roman" w:cs="Times New Roman"/>
          <w:sz w:val="24"/>
          <w:szCs w:val="24"/>
        </w:rPr>
        <w:t xml:space="preserve">Decreasing trend in terms of percentage of </w:t>
      </w:r>
      <w:r w:rsidR="00EB6A66">
        <w:rPr>
          <w:rFonts w:ascii="Times New Roman" w:hAnsi="Times New Roman" w:cs="Times New Roman"/>
          <w:sz w:val="24"/>
          <w:szCs w:val="24"/>
        </w:rPr>
        <w:t>s</w:t>
      </w:r>
      <w:r w:rsidRPr="00434D1F">
        <w:rPr>
          <w:rFonts w:ascii="Times New Roman" w:hAnsi="Times New Roman" w:cs="Times New Roman"/>
          <w:sz w:val="24"/>
          <w:szCs w:val="24"/>
        </w:rPr>
        <w:t xml:space="preserve">elling, </w:t>
      </w:r>
      <w:r w:rsidR="00EB6A66">
        <w:rPr>
          <w:rFonts w:ascii="Times New Roman" w:hAnsi="Times New Roman" w:cs="Times New Roman"/>
          <w:sz w:val="24"/>
          <w:szCs w:val="24"/>
        </w:rPr>
        <w:t>m</w:t>
      </w:r>
      <w:r w:rsidRPr="00434D1F">
        <w:rPr>
          <w:rFonts w:ascii="Times New Roman" w:hAnsi="Times New Roman" w:cs="Times New Roman"/>
          <w:sz w:val="24"/>
          <w:szCs w:val="24"/>
        </w:rPr>
        <w:t xml:space="preserve">arketing and </w:t>
      </w:r>
      <w:r w:rsidR="00EB6A66">
        <w:rPr>
          <w:rFonts w:ascii="Times New Roman" w:hAnsi="Times New Roman" w:cs="Times New Roman"/>
          <w:sz w:val="24"/>
          <w:szCs w:val="24"/>
        </w:rPr>
        <w:t>a</w:t>
      </w:r>
      <w:r w:rsidRPr="00434D1F">
        <w:rPr>
          <w:rFonts w:ascii="Times New Roman" w:hAnsi="Times New Roman" w:cs="Times New Roman"/>
          <w:sz w:val="24"/>
          <w:szCs w:val="24"/>
        </w:rPr>
        <w:t xml:space="preserve">dministrative </w:t>
      </w:r>
      <w:r w:rsidR="00EB6A66">
        <w:rPr>
          <w:rFonts w:ascii="Times New Roman" w:hAnsi="Times New Roman" w:cs="Times New Roman"/>
          <w:sz w:val="24"/>
          <w:szCs w:val="24"/>
        </w:rPr>
        <w:t>e</w:t>
      </w:r>
      <w:r w:rsidRPr="00434D1F">
        <w:rPr>
          <w:rFonts w:ascii="Times New Roman" w:hAnsi="Times New Roman" w:cs="Times New Roman"/>
          <w:sz w:val="24"/>
          <w:szCs w:val="24"/>
        </w:rPr>
        <w:t>xpenses on revenue (26.74%, 26.30% and 26.08% for 2020, 2021 and 2022 respectively)</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Pr="00434D1F">
        <w:rPr>
          <w:rFonts w:ascii="Times New Roman" w:hAnsi="Times New Roman" w:cs="Times New Roman"/>
          <w:sz w:val="24"/>
          <w:szCs w:val="24"/>
        </w:rPr>
        <w:t xml:space="preserve">. </w:t>
      </w:r>
    </w:p>
    <w:p w14:paraId="5D7F6086" w14:textId="77777777" w:rsidR="00434D1F" w:rsidRDefault="00434D1F" w:rsidP="00434D1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Negatively</w:t>
      </w:r>
      <w:r w:rsidRPr="00F552C0">
        <w:rPr>
          <w:rFonts w:ascii="Times New Roman" w:hAnsi="Times New Roman" w:cs="Times New Roman"/>
          <w:sz w:val="24"/>
          <w:szCs w:val="24"/>
        </w:rPr>
        <w:t xml:space="preserve"> correlates with the increasing trend in gross revenue over the same period.</w:t>
      </w:r>
    </w:p>
    <w:p w14:paraId="508B1E0B" w14:textId="38F28DA8" w:rsidR="00EB6A66" w:rsidRPr="00971CD2" w:rsidRDefault="00EB6A66" w:rsidP="00971CD2">
      <w:pPr>
        <w:pStyle w:val="ListParagraph"/>
        <w:numPr>
          <w:ilvl w:val="0"/>
          <w:numId w:val="18"/>
        </w:numPr>
        <w:rPr>
          <w:rFonts w:ascii="Times New Roman" w:hAnsi="Times New Roman" w:cs="Times New Roman"/>
          <w:i/>
          <w:iCs/>
          <w:sz w:val="24"/>
          <w:szCs w:val="24"/>
        </w:rPr>
      </w:pPr>
      <w:r>
        <w:rPr>
          <w:rFonts w:ascii="Times New Roman" w:hAnsi="Times New Roman" w:cs="Times New Roman"/>
          <w:sz w:val="24"/>
          <w:szCs w:val="24"/>
        </w:rPr>
        <w:t>T</w:t>
      </w:r>
      <w:r w:rsidRPr="00EB6A66">
        <w:rPr>
          <w:rFonts w:ascii="Times New Roman" w:hAnsi="Times New Roman" w:cs="Times New Roman"/>
          <w:sz w:val="24"/>
          <w:szCs w:val="24"/>
        </w:rPr>
        <w:t xml:space="preserve">he Selling, Marketing and Administrative Expenses increased (absolute terms)/decreased (grow rate) was also driven by </w:t>
      </w:r>
      <w:r w:rsidRPr="00EB6A66">
        <w:rPr>
          <w:rFonts w:ascii="Times New Roman" w:hAnsi="Times New Roman" w:cs="Times New Roman"/>
          <w:i/>
          <w:iCs/>
          <w:sz w:val="24"/>
          <w:szCs w:val="24"/>
        </w:rPr>
        <w:t>“Reduction of brand marketing expenses in the Pharmaceutical and Consumer Health businesses.”</w:t>
      </w:r>
    </w:p>
    <w:p w14:paraId="2794B8EA" w14:textId="4F725370" w:rsidR="00C52551" w:rsidRPr="00EB6A66" w:rsidRDefault="00EB6A66" w:rsidP="00C52551">
      <w:pPr>
        <w:rPr>
          <w:rFonts w:ascii="Times New Roman" w:hAnsi="Times New Roman" w:cs="Times New Roman"/>
          <w:b/>
          <w:bCs/>
          <w:sz w:val="24"/>
          <w:szCs w:val="24"/>
        </w:rPr>
      </w:pPr>
      <w:r w:rsidRPr="00EB6A66">
        <w:rPr>
          <w:rFonts w:ascii="Times New Roman" w:hAnsi="Times New Roman" w:cs="Times New Roman"/>
          <w:b/>
          <w:bCs/>
          <w:sz w:val="24"/>
          <w:szCs w:val="24"/>
        </w:rPr>
        <w:t xml:space="preserve">Research and </w:t>
      </w:r>
      <w:r>
        <w:rPr>
          <w:rFonts w:ascii="Times New Roman" w:hAnsi="Times New Roman" w:cs="Times New Roman"/>
          <w:b/>
          <w:bCs/>
          <w:sz w:val="24"/>
          <w:szCs w:val="24"/>
        </w:rPr>
        <w:t>D</w:t>
      </w:r>
      <w:r w:rsidRPr="00EB6A66">
        <w:rPr>
          <w:rFonts w:ascii="Times New Roman" w:hAnsi="Times New Roman" w:cs="Times New Roman"/>
          <w:b/>
          <w:bCs/>
          <w:sz w:val="24"/>
          <w:szCs w:val="24"/>
        </w:rPr>
        <w:t xml:space="preserve">evelopment </w:t>
      </w:r>
      <w:r>
        <w:rPr>
          <w:rFonts w:ascii="Times New Roman" w:hAnsi="Times New Roman" w:cs="Times New Roman"/>
          <w:b/>
          <w:bCs/>
          <w:sz w:val="24"/>
          <w:szCs w:val="24"/>
        </w:rPr>
        <w:t>E</w:t>
      </w:r>
      <w:r w:rsidRPr="00EB6A66">
        <w:rPr>
          <w:rFonts w:ascii="Times New Roman" w:hAnsi="Times New Roman" w:cs="Times New Roman"/>
          <w:b/>
          <w:bCs/>
          <w:sz w:val="24"/>
          <w:szCs w:val="24"/>
        </w:rPr>
        <w:t>xpenses</w:t>
      </w:r>
    </w:p>
    <w:p w14:paraId="513286D2" w14:textId="61359D6E" w:rsidR="00434D1F" w:rsidRDefault="00C52551" w:rsidP="00434D1F">
      <w:pPr>
        <w:pStyle w:val="ListParagraph"/>
        <w:numPr>
          <w:ilvl w:val="0"/>
          <w:numId w:val="27"/>
        </w:numPr>
        <w:rPr>
          <w:rFonts w:ascii="Times New Roman" w:hAnsi="Times New Roman" w:cs="Times New Roman"/>
          <w:sz w:val="24"/>
          <w:szCs w:val="24"/>
        </w:rPr>
      </w:pPr>
      <w:r w:rsidRPr="00C52551">
        <w:rPr>
          <w:rFonts w:ascii="Times New Roman" w:hAnsi="Times New Roman" w:cs="Times New Roman"/>
          <w:sz w:val="24"/>
          <w:szCs w:val="24"/>
        </w:rPr>
        <w:t>Research and development expenses, however dropped marginally from $14,714m in 2021 to $14,603m in 2022</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see excel sheet</w:t>
      </w:r>
      <w:r w:rsidRPr="00C52551">
        <w:rPr>
          <w:rFonts w:ascii="Times New Roman" w:hAnsi="Times New Roman" w:cs="Times New Roman"/>
          <w:sz w:val="24"/>
          <w:szCs w:val="24"/>
        </w:rPr>
        <w:t xml:space="preserve">. </w:t>
      </w:r>
    </w:p>
    <w:p w14:paraId="311E5FFA" w14:textId="2A4D711A" w:rsidR="00434D1F" w:rsidRPr="00434D1F" w:rsidRDefault="00434D1F" w:rsidP="00434D1F">
      <w:pPr>
        <w:pStyle w:val="ListParagraph"/>
        <w:numPr>
          <w:ilvl w:val="0"/>
          <w:numId w:val="27"/>
        </w:numPr>
        <w:rPr>
          <w:rFonts w:ascii="Times New Roman" w:hAnsi="Times New Roman" w:cs="Times New Roman"/>
          <w:sz w:val="24"/>
          <w:szCs w:val="24"/>
        </w:rPr>
      </w:pPr>
      <w:r w:rsidRPr="00434D1F">
        <w:rPr>
          <w:rFonts w:ascii="Times New Roman" w:hAnsi="Times New Roman" w:cs="Times New Roman"/>
          <w:sz w:val="24"/>
          <w:szCs w:val="24"/>
        </w:rPr>
        <w:t xml:space="preserve">Fluctuating trend in terms of percentage of </w:t>
      </w:r>
      <w:r w:rsidR="00EB6A66">
        <w:rPr>
          <w:rFonts w:ascii="Times New Roman" w:hAnsi="Times New Roman" w:cs="Times New Roman"/>
          <w:sz w:val="24"/>
          <w:szCs w:val="24"/>
        </w:rPr>
        <w:t>r</w:t>
      </w:r>
      <w:r w:rsidRPr="00434D1F">
        <w:rPr>
          <w:rFonts w:ascii="Times New Roman" w:hAnsi="Times New Roman" w:cs="Times New Roman"/>
          <w:sz w:val="24"/>
          <w:szCs w:val="24"/>
        </w:rPr>
        <w:t>esearch and development expense</w:t>
      </w:r>
      <w:r>
        <w:t xml:space="preserve"> </w:t>
      </w:r>
      <w:r w:rsidRPr="00434D1F">
        <w:rPr>
          <w:rFonts w:ascii="Times New Roman" w:hAnsi="Times New Roman" w:cs="Times New Roman"/>
          <w:sz w:val="24"/>
          <w:szCs w:val="24"/>
        </w:rPr>
        <w:t>on revenue (14.72%, 15.69% and 15.38% for 2020, 2021 and 2022 respectively)</w:t>
      </w:r>
      <w:r w:rsidR="001F55D4">
        <w:rPr>
          <w:rFonts w:ascii="Times New Roman" w:hAnsi="Times New Roman" w:cs="Times New Roman"/>
          <w:sz w:val="24"/>
          <w:szCs w:val="24"/>
        </w:rPr>
        <w:t xml:space="preserve"> - </w:t>
      </w:r>
      <w:r w:rsidR="001F55D4" w:rsidRPr="00D94E9C">
        <w:rPr>
          <w:rFonts w:ascii="Times New Roman" w:hAnsi="Times New Roman" w:cs="Times New Roman"/>
          <w:b/>
          <w:bCs/>
          <w:i/>
          <w:iCs/>
          <w:sz w:val="24"/>
          <w:szCs w:val="24"/>
        </w:rPr>
        <w:t>refer to diagram below</w:t>
      </w:r>
      <w:r w:rsidRPr="00434D1F">
        <w:rPr>
          <w:rFonts w:ascii="Times New Roman" w:hAnsi="Times New Roman" w:cs="Times New Roman"/>
          <w:sz w:val="24"/>
          <w:szCs w:val="24"/>
        </w:rPr>
        <w:t xml:space="preserve">. </w:t>
      </w:r>
    </w:p>
    <w:p w14:paraId="7554C844" w14:textId="77777777" w:rsidR="00434D1F" w:rsidRPr="00F552C0" w:rsidRDefault="00434D1F" w:rsidP="00434D1F">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Varies in</w:t>
      </w:r>
      <w:r w:rsidRPr="00F552C0">
        <w:rPr>
          <w:rFonts w:ascii="Times New Roman" w:hAnsi="Times New Roman" w:cs="Times New Roman"/>
          <w:sz w:val="24"/>
          <w:szCs w:val="24"/>
        </w:rPr>
        <w:t xml:space="preserve"> correlates with the increasing trend in gross revenue over the same period.</w:t>
      </w:r>
    </w:p>
    <w:p w14:paraId="2163DA2C" w14:textId="77777777" w:rsidR="00674608" w:rsidRPr="00674608" w:rsidRDefault="00674608" w:rsidP="00C52551">
      <w:pPr>
        <w:rPr>
          <w:rFonts w:ascii="Times New Roman" w:hAnsi="Times New Roman" w:cs="Times New Roman"/>
          <w:sz w:val="24"/>
          <w:szCs w:val="24"/>
        </w:rPr>
      </w:pPr>
    </w:p>
    <w:tbl>
      <w:tblPr>
        <w:tblW w:w="5000" w:type="pct"/>
        <w:tblLook w:val="04A0" w:firstRow="1" w:lastRow="0" w:firstColumn="1" w:lastColumn="0" w:noHBand="0" w:noVBand="1"/>
      </w:tblPr>
      <w:tblGrid>
        <w:gridCol w:w="8694"/>
        <w:gridCol w:w="222"/>
        <w:gridCol w:w="222"/>
        <w:gridCol w:w="222"/>
      </w:tblGrid>
      <w:tr w:rsidR="00763F18" w:rsidRPr="00763F18" w14:paraId="6D536F2A" w14:textId="77777777" w:rsidTr="00763F18">
        <w:trPr>
          <w:trHeight w:val="315"/>
        </w:trPr>
        <w:tc>
          <w:tcPr>
            <w:tcW w:w="3726" w:type="pct"/>
            <w:tcBorders>
              <w:top w:val="nil"/>
              <w:left w:val="nil"/>
              <w:bottom w:val="nil"/>
              <w:right w:val="nil"/>
            </w:tcBorders>
            <w:shd w:val="clear" w:color="auto" w:fill="auto"/>
            <w:noWrap/>
            <w:vAlign w:val="bottom"/>
            <w:hideMark/>
          </w:tcPr>
          <w:p w14:paraId="2EFBB9B6" w14:textId="39DDAB01" w:rsidR="00763F18" w:rsidRPr="00763F18" w:rsidRDefault="00763F18" w:rsidP="003A4E4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7F608F4" wp14:editId="778AE31D">
                  <wp:extent cx="5486400" cy="3200400"/>
                  <wp:effectExtent l="0" t="0" r="0" b="0"/>
                  <wp:docPr id="17740497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25" w:type="pct"/>
            <w:tcBorders>
              <w:top w:val="nil"/>
              <w:left w:val="nil"/>
              <w:bottom w:val="nil"/>
              <w:right w:val="nil"/>
            </w:tcBorders>
            <w:shd w:val="clear" w:color="auto" w:fill="auto"/>
            <w:noWrap/>
            <w:vAlign w:val="bottom"/>
            <w:hideMark/>
          </w:tcPr>
          <w:p w14:paraId="7882306A" w14:textId="77777777" w:rsidR="00763F18" w:rsidRDefault="00763F18" w:rsidP="00763F18">
            <w:pPr>
              <w:spacing w:after="0" w:line="240" w:lineRule="auto"/>
              <w:jc w:val="right"/>
              <w:rPr>
                <w:rFonts w:ascii="Times New Roman" w:eastAsia="Times New Roman" w:hAnsi="Times New Roman" w:cs="Times New Roman"/>
                <w:b/>
                <w:bCs/>
                <w:color w:val="000000"/>
                <w:sz w:val="24"/>
                <w:szCs w:val="24"/>
              </w:rPr>
            </w:pPr>
          </w:p>
          <w:p w14:paraId="463C4B82" w14:textId="77777777" w:rsidR="00763F18" w:rsidRDefault="00763F18" w:rsidP="00763F18">
            <w:pPr>
              <w:spacing w:after="0" w:line="240" w:lineRule="auto"/>
              <w:jc w:val="right"/>
              <w:rPr>
                <w:rFonts w:ascii="Times New Roman" w:eastAsia="Times New Roman" w:hAnsi="Times New Roman" w:cs="Times New Roman"/>
                <w:b/>
                <w:bCs/>
                <w:color w:val="000000"/>
                <w:sz w:val="24"/>
                <w:szCs w:val="24"/>
              </w:rPr>
            </w:pPr>
          </w:p>
          <w:p w14:paraId="5EC091C1" w14:textId="77777777" w:rsidR="00763F18" w:rsidRDefault="00763F18" w:rsidP="00763F18">
            <w:pPr>
              <w:spacing w:after="0" w:line="240" w:lineRule="auto"/>
              <w:jc w:val="right"/>
              <w:rPr>
                <w:rFonts w:ascii="Times New Roman" w:eastAsia="Times New Roman" w:hAnsi="Times New Roman" w:cs="Times New Roman"/>
                <w:b/>
                <w:bCs/>
                <w:color w:val="000000"/>
                <w:sz w:val="24"/>
                <w:szCs w:val="24"/>
              </w:rPr>
            </w:pPr>
          </w:p>
          <w:p w14:paraId="6D02DEFD" w14:textId="77777777" w:rsidR="00763F18" w:rsidRDefault="00763F18" w:rsidP="00763F18">
            <w:pPr>
              <w:spacing w:after="0" w:line="240" w:lineRule="auto"/>
              <w:jc w:val="right"/>
              <w:rPr>
                <w:rFonts w:ascii="Times New Roman" w:eastAsia="Times New Roman" w:hAnsi="Times New Roman" w:cs="Times New Roman"/>
                <w:b/>
                <w:bCs/>
                <w:color w:val="000000"/>
                <w:sz w:val="24"/>
                <w:szCs w:val="24"/>
              </w:rPr>
            </w:pPr>
          </w:p>
          <w:p w14:paraId="0A104440" w14:textId="5D027C42" w:rsidR="00763F18" w:rsidRPr="00763F18" w:rsidRDefault="00763F18" w:rsidP="00763F18">
            <w:pPr>
              <w:spacing w:after="0" w:line="240" w:lineRule="auto"/>
              <w:jc w:val="right"/>
              <w:rPr>
                <w:rFonts w:ascii="Times New Roman" w:eastAsia="Times New Roman" w:hAnsi="Times New Roman" w:cs="Times New Roman"/>
                <w:b/>
                <w:bCs/>
                <w:color w:val="000000"/>
                <w:sz w:val="24"/>
                <w:szCs w:val="24"/>
              </w:rPr>
            </w:pPr>
          </w:p>
        </w:tc>
        <w:tc>
          <w:tcPr>
            <w:tcW w:w="425" w:type="pct"/>
            <w:tcBorders>
              <w:top w:val="nil"/>
              <w:left w:val="nil"/>
              <w:bottom w:val="nil"/>
              <w:right w:val="nil"/>
            </w:tcBorders>
            <w:shd w:val="clear" w:color="auto" w:fill="auto"/>
            <w:noWrap/>
            <w:vAlign w:val="bottom"/>
            <w:hideMark/>
          </w:tcPr>
          <w:p w14:paraId="2D170984" w14:textId="37969AC9" w:rsidR="00763F18" w:rsidRPr="00763F18" w:rsidRDefault="00763F18" w:rsidP="00763F18">
            <w:pPr>
              <w:spacing w:after="0" w:line="240" w:lineRule="auto"/>
              <w:jc w:val="right"/>
              <w:rPr>
                <w:rFonts w:ascii="Times New Roman" w:eastAsia="Times New Roman" w:hAnsi="Times New Roman" w:cs="Times New Roman"/>
                <w:b/>
                <w:bCs/>
                <w:color w:val="000000"/>
                <w:sz w:val="24"/>
                <w:szCs w:val="24"/>
              </w:rPr>
            </w:pPr>
          </w:p>
        </w:tc>
        <w:tc>
          <w:tcPr>
            <w:tcW w:w="425" w:type="pct"/>
            <w:tcBorders>
              <w:top w:val="nil"/>
              <w:left w:val="nil"/>
              <w:bottom w:val="nil"/>
              <w:right w:val="nil"/>
            </w:tcBorders>
            <w:shd w:val="clear" w:color="auto" w:fill="auto"/>
            <w:noWrap/>
            <w:vAlign w:val="bottom"/>
            <w:hideMark/>
          </w:tcPr>
          <w:p w14:paraId="67D4E49E" w14:textId="602ED79A" w:rsidR="00763F18" w:rsidRPr="00763F18" w:rsidRDefault="00763F18" w:rsidP="00763F18">
            <w:pPr>
              <w:spacing w:after="0" w:line="240" w:lineRule="auto"/>
              <w:rPr>
                <w:rFonts w:ascii="Times New Roman" w:eastAsia="Times New Roman" w:hAnsi="Times New Roman" w:cs="Times New Roman"/>
                <w:b/>
                <w:bCs/>
                <w:color w:val="000000"/>
                <w:sz w:val="24"/>
                <w:szCs w:val="24"/>
              </w:rPr>
            </w:pPr>
          </w:p>
        </w:tc>
      </w:tr>
    </w:tbl>
    <w:p w14:paraId="20A92ACC" w14:textId="77777777" w:rsidR="00434D1F" w:rsidRDefault="00434D1F" w:rsidP="00434D1F">
      <w:pPr>
        <w:rPr>
          <w:rFonts w:ascii="Times New Roman" w:hAnsi="Times New Roman" w:cs="Times New Roman"/>
          <w:sz w:val="24"/>
          <w:szCs w:val="24"/>
        </w:rPr>
      </w:pPr>
    </w:p>
    <w:p w14:paraId="76547283" w14:textId="70807C8A" w:rsidR="00AF5DA2" w:rsidRPr="00AF5DA2" w:rsidRDefault="00AF5DA2" w:rsidP="00434D1F">
      <w:pPr>
        <w:rPr>
          <w:rFonts w:ascii="Times New Roman" w:hAnsi="Times New Roman" w:cs="Times New Roman"/>
          <w:b/>
          <w:bCs/>
          <w:sz w:val="24"/>
          <w:szCs w:val="24"/>
          <w:u w:val="single"/>
        </w:rPr>
      </w:pPr>
      <w:r w:rsidRPr="00AF5DA2">
        <w:rPr>
          <w:rFonts w:ascii="Times New Roman" w:hAnsi="Times New Roman" w:cs="Times New Roman"/>
          <w:b/>
          <w:bCs/>
          <w:sz w:val="24"/>
          <w:szCs w:val="24"/>
          <w:u w:val="single"/>
        </w:rPr>
        <w:t>Peer and Industry comparison</w:t>
      </w:r>
    </w:p>
    <w:p w14:paraId="7704A73C" w14:textId="77777777" w:rsidR="00FD1E58" w:rsidRDefault="00617D24" w:rsidP="00D94473">
      <w:pPr>
        <w:pStyle w:val="ListParagraph"/>
        <w:numPr>
          <w:ilvl w:val="0"/>
          <w:numId w:val="18"/>
        </w:numPr>
        <w:rPr>
          <w:rFonts w:ascii="Times New Roman" w:hAnsi="Times New Roman" w:cs="Times New Roman"/>
          <w:sz w:val="24"/>
          <w:szCs w:val="24"/>
        </w:rPr>
      </w:pPr>
      <w:r w:rsidRPr="00FD1E58">
        <w:rPr>
          <w:rFonts w:ascii="Times New Roman" w:hAnsi="Times New Roman" w:cs="Times New Roman"/>
          <w:sz w:val="24"/>
          <w:szCs w:val="24"/>
        </w:rPr>
        <w:t>Pfizer</w:t>
      </w:r>
      <w:r w:rsidR="00207E0A" w:rsidRPr="00FD1E58">
        <w:rPr>
          <w:rFonts w:ascii="Times New Roman" w:hAnsi="Times New Roman" w:cs="Times New Roman"/>
          <w:sz w:val="24"/>
          <w:szCs w:val="24"/>
        </w:rPr>
        <w:t>, a close competitor to J&amp;J,</w:t>
      </w:r>
      <w:r w:rsidRPr="00FD1E58">
        <w:rPr>
          <w:rFonts w:ascii="Times New Roman" w:hAnsi="Times New Roman" w:cs="Times New Roman"/>
          <w:sz w:val="24"/>
          <w:szCs w:val="24"/>
        </w:rPr>
        <w:t xml:space="preserve"> </w:t>
      </w:r>
      <w:r w:rsidR="00AF5DA2" w:rsidRPr="00FD1E58">
        <w:rPr>
          <w:rFonts w:ascii="Times New Roman" w:hAnsi="Times New Roman" w:cs="Times New Roman"/>
          <w:sz w:val="24"/>
          <w:szCs w:val="24"/>
        </w:rPr>
        <w:t xml:space="preserve">observed nominal grow in </w:t>
      </w:r>
      <w:r w:rsidRPr="00FD1E58">
        <w:rPr>
          <w:rFonts w:ascii="Times New Roman" w:hAnsi="Times New Roman" w:cs="Times New Roman"/>
          <w:sz w:val="24"/>
          <w:szCs w:val="24"/>
        </w:rPr>
        <w:t>revenue to $100,330m in 2022 from $81,288m in 2021, however in terms of growth rates, it substantially dropped from the previous year 9</w:t>
      </w:r>
      <w:r w:rsidR="00207E0A" w:rsidRPr="00FD1E58">
        <w:rPr>
          <w:rFonts w:ascii="Times New Roman" w:hAnsi="Times New Roman" w:cs="Times New Roman"/>
          <w:sz w:val="24"/>
          <w:szCs w:val="24"/>
        </w:rPr>
        <w:t>5.16% to 23.43% in 2022.</w:t>
      </w:r>
    </w:p>
    <w:p w14:paraId="17F4BEB6" w14:textId="77777777" w:rsidR="00FD1E58" w:rsidRDefault="00AF5DA2" w:rsidP="00FD1E58">
      <w:pPr>
        <w:pStyle w:val="ListParagraph"/>
        <w:numPr>
          <w:ilvl w:val="0"/>
          <w:numId w:val="18"/>
        </w:numPr>
        <w:rPr>
          <w:rFonts w:ascii="Times New Roman" w:hAnsi="Times New Roman" w:cs="Times New Roman"/>
          <w:sz w:val="24"/>
          <w:szCs w:val="24"/>
        </w:rPr>
      </w:pPr>
      <w:r w:rsidRPr="00FD1E58">
        <w:rPr>
          <w:rFonts w:ascii="Times New Roman" w:hAnsi="Times New Roman" w:cs="Times New Roman"/>
          <w:sz w:val="24"/>
          <w:szCs w:val="24"/>
        </w:rPr>
        <w:t>Pfizer</w:t>
      </w:r>
      <w:r w:rsidR="00207E0A" w:rsidRPr="00FD1E58">
        <w:rPr>
          <w:rFonts w:ascii="Times New Roman" w:hAnsi="Times New Roman" w:cs="Times New Roman"/>
          <w:sz w:val="24"/>
          <w:szCs w:val="24"/>
        </w:rPr>
        <w:t xml:space="preserve"> cost of products sold also significantly dropped in growth terms to 11.43% in 2022 from 263% in 2021 while research and development expense also decreased from 18.96% growth in 2021 to 10.31% growth.</w:t>
      </w:r>
    </w:p>
    <w:p w14:paraId="2CE26FCB" w14:textId="77777777" w:rsidR="00FD1E58" w:rsidRDefault="00617D24" w:rsidP="00FD1E58">
      <w:pPr>
        <w:pStyle w:val="ListParagraph"/>
        <w:numPr>
          <w:ilvl w:val="0"/>
          <w:numId w:val="18"/>
        </w:numPr>
        <w:rPr>
          <w:rFonts w:ascii="Times New Roman" w:hAnsi="Times New Roman" w:cs="Times New Roman"/>
          <w:sz w:val="24"/>
          <w:szCs w:val="24"/>
        </w:rPr>
      </w:pPr>
      <w:r w:rsidRPr="00FD1E58">
        <w:rPr>
          <w:rFonts w:ascii="Times New Roman" w:hAnsi="Times New Roman" w:cs="Times New Roman"/>
          <w:sz w:val="24"/>
          <w:szCs w:val="24"/>
        </w:rPr>
        <w:t>According to a 202</w:t>
      </w:r>
      <w:r w:rsidR="00AF5DA2" w:rsidRPr="00FD1E58">
        <w:rPr>
          <w:rFonts w:ascii="Times New Roman" w:hAnsi="Times New Roman" w:cs="Times New Roman"/>
          <w:sz w:val="24"/>
          <w:szCs w:val="24"/>
        </w:rPr>
        <w:t>3</w:t>
      </w:r>
      <w:r w:rsidRPr="00FD1E58">
        <w:rPr>
          <w:rFonts w:ascii="Times New Roman" w:hAnsi="Times New Roman" w:cs="Times New Roman"/>
          <w:sz w:val="24"/>
          <w:szCs w:val="24"/>
        </w:rPr>
        <w:t xml:space="preserve"> article by zoomrx.com, the top fifteen pharmaceutical companies experienced collective </w:t>
      </w:r>
      <w:r w:rsidR="00AF5DA2" w:rsidRPr="00FD1E58">
        <w:rPr>
          <w:rFonts w:ascii="Times New Roman" w:hAnsi="Times New Roman" w:cs="Times New Roman"/>
          <w:sz w:val="24"/>
          <w:szCs w:val="24"/>
        </w:rPr>
        <w:t xml:space="preserve">revenue </w:t>
      </w:r>
      <w:r w:rsidRPr="00FD1E58">
        <w:rPr>
          <w:rFonts w:ascii="Times New Roman" w:hAnsi="Times New Roman" w:cs="Times New Roman"/>
          <w:sz w:val="24"/>
          <w:szCs w:val="24"/>
        </w:rPr>
        <w:t xml:space="preserve">growth of around 9%. </w:t>
      </w:r>
    </w:p>
    <w:p w14:paraId="286834E5" w14:textId="23451925" w:rsidR="00617D24" w:rsidRPr="00FD1E58" w:rsidRDefault="00617D24" w:rsidP="00FD1E58">
      <w:pPr>
        <w:pStyle w:val="ListParagraph"/>
        <w:numPr>
          <w:ilvl w:val="0"/>
          <w:numId w:val="18"/>
        </w:numPr>
        <w:rPr>
          <w:rFonts w:ascii="Times New Roman" w:hAnsi="Times New Roman" w:cs="Times New Roman"/>
          <w:sz w:val="24"/>
          <w:szCs w:val="24"/>
        </w:rPr>
      </w:pPr>
      <w:r w:rsidRPr="00FD1E58">
        <w:rPr>
          <w:rFonts w:ascii="Times New Roman" w:hAnsi="Times New Roman" w:cs="Times New Roman"/>
          <w:sz w:val="24"/>
          <w:szCs w:val="24"/>
        </w:rPr>
        <w:t xml:space="preserve">It concluded that </w:t>
      </w:r>
      <w:r w:rsidRPr="00FD1E58">
        <w:rPr>
          <w:rFonts w:ascii="Times New Roman" w:hAnsi="Times New Roman" w:cs="Times New Roman"/>
          <w:i/>
          <w:iCs/>
          <w:sz w:val="24"/>
          <w:szCs w:val="24"/>
        </w:rPr>
        <w:t>“the pharmaceutical industry has encountered significant challenges in 2022, but leading manufacturers have demonstrated adaptability in response to market changes. COVID-19 revenues have been a crucial growth driver in 2022.”</w:t>
      </w:r>
      <w:r w:rsidRPr="00FD1E58">
        <w:rPr>
          <w:rFonts w:ascii="Times New Roman" w:hAnsi="Times New Roman" w:cs="Times New Roman"/>
          <w:sz w:val="24"/>
          <w:szCs w:val="24"/>
        </w:rPr>
        <w:t xml:space="preserve"> (zoomrx.com, 2023)</w:t>
      </w:r>
    </w:p>
    <w:p w14:paraId="11291732" w14:textId="0AD2F84E" w:rsidR="003A4E4E" w:rsidRPr="00FD1E58" w:rsidRDefault="00FD1E58" w:rsidP="00D94473">
      <w:pPr>
        <w:rPr>
          <w:rFonts w:ascii="Times New Roman" w:hAnsi="Times New Roman" w:cs="Times New Roman"/>
          <w:sz w:val="24"/>
          <w:szCs w:val="24"/>
        </w:rPr>
      </w:pPr>
      <w:r w:rsidRPr="00FD1E58">
        <w:rPr>
          <w:rFonts w:ascii="Times New Roman" w:hAnsi="Times New Roman" w:cs="Times New Roman"/>
          <w:sz w:val="24"/>
          <w:szCs w:val="24"/>
        </w:rPr>
        <w:t>Therefore, J&amp;J appears to be doing averagely below it</w:t>
      </w:r>
      <w:r>
        <w:rPr>
          <w:rFonts w:ascii="Times New Roman" w:hAnsi="Times New Roman" w:cs="Times New Roman"/>
          <w:sz w:val="24"/>
          <w:szCs w:val="24"/>
        </w:rPr>
        <w:t>s</w:t>
      </w:r>
      <w:r w:rsidRPr="00FD1E58">
        <w:rPr>
          <w:rFonts w:ascii="Times New Roman" w:hAnsi="Times New Roman" w:cs="Times New Roman"/>
          <w:sz w:val="24"/>
          <w:szCs w:val="24"/>
        </w:rPr>
        <w:t xml:space="preserve"> competitors particularly in 2022.</w:t>
      </w:r>
    </w:p>
    <w:p w14:paraId="6B5AF982" w14:textId="77777777" w:rsidR="00617D24" w:rsidRDefault="00617D24" w:rsidP="00D94473"/>
    <w:p w14:paraId="727F10FD" w14:textId="2BA6ECE9" w:rsidR="00CD0EAF" w:rsidRPr="00CD0EAF" w:rsidRDefault="00CD0EAF" w:rsidP="00617D24">
      <w:pPr>
        <w:rPr>
          <w:rFonts w:ascii="Times New Roman" w:hAnsi="Times New Roman" w:cs="Times New Roman"/>
          <w:b/>
          <w:bCs/>
          <w:sz w:val="24"/>
          <w:szCs w:val="24"/>
        </w:rPr>
      </w:pPr>
      <w:r w:rsidRPr="00CD0EAF">
        <w:rPr>
          <w:rFonts w:ascii="Times New Roman" w:hAnsi="Times New Roman" w:cs="Times New Roman"/>
          <w:b/>
          <w:bCs/>
          <w:sz w:val="24"/>
          <w:szCs w:val="24"/>
        </w:rPr>
        <w:t>Reference</w:t>
      </w:r>
    </w:p>
    <w:p w14:paraId="354E13C0" w14:textId="3B742A14" w:rsidR="00617D24" w:rsidRPr="005563E6" w:rsidRDefault="00617D24" w:rsidP="00617D24">
      <w:r w:rsidRPr="00617D24">
        <w:rPr>
          <w:rFonts w:ascii="Times New Roman" w:hAnsi="Times New Roman" w:cs="Times New Roman"/>
          <w:sz w:val="24"/>
          <w:szCs w:val="24"/>
        </w:rPr>
        <w:t>Zoomrx.com, (May 2023). 2022 Earnings Story of Pharma Giants: A Look at Their Financials, R&amp;D, and M&amp;A Strategies</w:t>
      </w:r>
      <w:r>
        <w:t xml:space="preserve">. </w:t>
      </w:r>
      <w:hyperlink r:id="rId11" w:anchor=":~:text=In%202022%2C%20the%20top%20fifteen,with%20a%20robust%20oncology%20portfolio" w:history="1">
        <w:r w:rsidRPr="00B52506">
          <w:rPr>
            <w:rStyle w:val="Hyperlink"/>
            <w:rFonts w:ascii="Times New Roman" w:hAnsi="Times New Roman" w:cs="Times New Roman"/>
          </w:rPr>
          <w:t>https://blog.zoomrx.com/2022-earnings-story-of-pharma-giants/#:~:text=In%202022%2C%20the%20top%20fifteen,with%20a%20robust%20oncology%20portfolio</w:t>
        </w:r>
      </w:hyperlink>
      <w:r w:rsidRPr="00617D24">
        <w:rPr>
          <w:rFonts w:ascii="Times New Roman" w:hAnsi="Times New Roman" w:cs="Times New Roman"/>
        </w:rPr>
        <w:t>.</w:t>
      </w:r>
      <w:r>
        <w:rPr>
          <w:rFonts w:ascii="Times New Roman" w:hAnsi="Times New Roman" w:cs="Times New Roman"/>
        </w:rPr>
        <w:t xml:space="preserve"> </w:t>
      </w:r>
    </w:p>
    <w:p w14:paraId="01BC712A" w14:textId="77777777" w:rsidR="00617D24" w:rsidRDefault="00617D24" w:rsidP="00D94473"/>
    <w:sectPr w:rsidR="00617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46CB8" w14:textId="77777777" w:rsidR="0070110E" w:rsidRDefault="0070110E" w:rsidP="00DC06A2">
      <w:pPr>
        <w:spacing w:after="0" w:line="240" w:lineRule="auto"/>
      </w:pPr>
      <w:r>
        <w:separator/>
      </w:r>
    </w:p>
  </w:endnote>
  <w:endnote w:type="continuationSeparator" w:id="0">
    <w:p w14:paraId="373DCFE2" w14:textId="77777777" w:rsidR="0070110E" w:rsidRDefault="0070110E" w:rsidP="00DC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C3CC" w14:textId="77777777" w:rsidR="0070110E" w:rsidRDefault="0070110E" w:rsidP="00DC06A2">
      <w:pPr>
        <w:spacing w:after="0" w:line="240" w:lineRule="auto"/>
      </w:pPr>
      <w:r>
        <w:separator/>
      </w:r>
    </w:p>
  </w:footnote>
  <w:footnote w:type="continuationSeparator" w:id="0">
    <w:p w14:paraId="02CC4CE7" w14:textId="77777777" w:rsidR="0070110E" w:rsidRDefault="0070110E" w:rsidP="00DC0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4DCD"/>
    <w:multiLevelType w:val="hybridMultilevel"/>
    <w:tmpl w:val="085AB8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E4D6D"/>
    <w:multiLevelType w:val="hybridMultilevel"/>
    <w:tmpl w:val="1E1A29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3313E"/>
    <w:multiLevelType w:val="multilevel"/>
    <w:tmpl w:val="A5D0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4490C"/>
    <w:multiLevelType w:val="hybridMultilevel"/>
    <w:tmpl w:val="5C0EF6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E41739"/>
    <w:multiLevelType w:val="hybridMultilevel"/>
    <w:tmpl w:val="7A0A6664"/>
    <w:lvl w:ilvl="0" w:tplc="050CFC88">
      <w:start w:val="39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9383F"/>
    <w:multiLevelType w:val="multilevel"/>
    <w:tmpl w:val="1376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66037"/>
    <w:multiLevelType w:val="multilevel"/>
    <w:tmpl w:val="B25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E4C0F"/>
    <w:multiLevelType w:val="multilevel"/>
    <w:tmpl w:val="477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3D2683"/>
    <w:multiLevelType w:val="multilevel"/>
    <w:tmpl w:val="6CDE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0B2A1B"/>
    <w:multiLevelType w:val="hybridMultilevel"/>
    <w:tmpl w:val="F53813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07A86"/>
    <w:multiLevelType w:val="multilevel"/>
    <w:tmpl w:val="4D90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5A3605"/>
    <w:multiLevelType w:val="hybridMultilevel"/>
    <w:tmpl w:val="2592BD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DD5532"/>
    <w:multiLevelType w:val="hybridMultilevel"/>
    <w:tmpl w:val="4730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270DA"/>
    <w:multiLevelType w:val="multilevel"/>
    <w:tmpl w:val="48C8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95B2A"/>
    <w:multiLevelType w:val="hybridMultilevel"/>
    <w:tmpl w:val="29E6CAE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FF1353"/>
    <w:multiLevelType w:val="hybridMultilevel"/>
    <w:tmpl w:val="0F360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32747"/>
    <w:multiLevelType w:val="hybridMultilevel"/>
    <w:tmpl w:val="FBF6B0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343EDE"/>
    <w:multiLevelType w:val="hybridMultilevel"/>
    <w:tmpl w:val="0F1E75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CF6F0F"/>
    <w:multiLevelType w:val="hybridMultilevel"/>
    <w:tmpl w:val="C300886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1A615D"/>
    <w:multiLevelType w:val="hybridMultilevel"/>
    <w:tmpl w:val="EA1CD9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E1709F"/>
    <w:multiLevelType w:val="multilevel"/>
    <w:tmpl w:val="CC7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F1F60"/>
    <w:multiLevelType w:val="hybridMultilevel"/>
    <w:tmpl w:val="A64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6622D"/>
    <w:multiLevelType w:val="multilevel"/>
    <w:tmpl w:val="6960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81771C"/>
    <w:multiLevelType w:val="multilevel"/>
    <w:tmpl w:val="61B4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0727B"/>
    <w:multiLevelType w:val="hybridMultilevel"/>
    <w:tmpl w:val="709ED1B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2B5ED0"/>
    <w:multiLevelType w:val="hybridMultilevel"/>
    <w:tmpl w:val="5ADE7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D0E7D"/>
    <w:multiLevelType w:val="hybridMultilevel"/>
    <w:tmpl w:val="1868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14C7B"/>
    <w:multiLevelType w:val="multilevel"/>
    <w:tmpl w:val="964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B2744B"/>
    <w:multiLevelType w:val="multilevel"/>
    <w:tmpl w:val="571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4A32F9"/>
    <w:multiLevelType w:val="hybridMultilevel"/>
    <w:tmpl w:val="8DB269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7"/>
  </w:num>
  <w:num w:numId="5">
    <w:abstractNumId w:val="29"/>
  </w:num>
  <w:num w:numId="6">
    <w:abstractNumId w:val="13"/>
  </w:num>
  <w:num w:numId="7">
    <w:abstractNumId w:val="10"/>
  </w:num>
  <w:num w:numId="8">
    <w:abstractNumId w:val="24"/>
  </w:num>
  <w:num w:numId="9">
    <w:abstractNumId w:val="21"/>
  </w:num>
  <w:num w:numId="10">
    <w:abstractNumId w:val="2"/>
  </w:num>
  <w:num w:numId="11">
    <w:abstractNumId w:val="23"/>
  </w:num>
  <w:num w:numId="12">
    <w:abstractNumId w:val="28"/>
  </w:num>
  <w:num w:numId="13">
    <w:abstractNumId w:val="17"/>
  </w:num>
  <w:num w:numId="14">
    <w:abstractNumId w:val="1"/>
  </w:num>
  <w:num w:numId="15">
    <w:abstractNumId w:val="25"/>
  </w:num>
  <w:num w:numId="16">
    <w:abstractNumId w:val="20"/>
  </w:num>
  <w:num w:numId="17">
    <w:abstractNumId w:val="11"/>
  </w:num>
  <w:num w:numId="18">
    <w:abstractNumId w:val="3"/>
  </w:num>
  <w:num w:numId="19">
    <w:abstractNumId w:val="14"/>
  </w:num>
  <w:num w:numId="20">
    <w:abstractNumId w:val="18"/>
  </w:num>
  <w:num w:numId="21">
    <w:abstractNumId w:val="15"/>
  </w:num>
  <w:num w:numId="22">
    <w:abstractNumId w:val="9"/>
  </w:num>
  <w:num w:numId="23">
    <w:abstractNumId w:val="0"/>
  </w:num>
  <w:num w:numId="24">
    <w:abstractNumId w:val="12"/>
  </w:num>
  <w:num w:numId="25">
    <w:abstractNumId w:val="4"/>
  </w:num>
  <w:num w:numId="26">
    <w:abstractNumId w:val="30"/>
  </w:num>
  <w:num w:numId="27">
    <w:abstractNumId w:val="19"/>
  </w:num>
  <w:num w:numId="28">
    <w:abstractNumId w:val="27"/>
  </w:num>
  <w:num w:numId="29">
    <w:abstractNumId w:val="26"/>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D6"/>
    <w:rsid w:val="00040746"/>
    <w:rsid w:val="000935A0"/>
    <w:rsid w:val="000B5933"/>
    <w:rsid w:val="0013094C"/>
    <w:rsid w:val="0013580B"/>
    <w:rsid w:val="001F55D4"/>
    <w:rsid w:val="00205675"/>
    <w:rsid w:val="00207E0A"/>
    <w:rsid w:val="00261A2A"/>
    <w:rsid w:val="00312F20"/>
    <w:rsid w:val="00314B45"/>
    <w:rsid w:val="00390CDE"/>
    <w:rsid w:val="003A4E4E"/>
    <w:rsid w:val="003C36D8"/>
    <w:rsid w:val="003C6E25"/>
    <w:rsid w:val="003D1CB6"/>
    <w:rsid w:val="003D2906"/>
    <w:rsid w:val="003F3572"/>
    <w:rsid w:val="004257DD"/>
    <w:rsid w:val="00434D1F"/>
    <w:rsid w:val="00514F9A"/>
    <w:rsid w:val="005563E6"/>
    <w:rsid w:val="00611591"/>
    <w:rsid w:val="00617D24"/>
    <w:rsid w:val="00634988"/>
    <w:rsid w:val="00643B00"/>
    <w:rsid w:val="00674608"/>
    <w:rsid w:val="006D1202"/>
    <w:rsid w:val="0070110E"/>
    <w:rsid w:val="00722BCA"/>
    <w:rsid w:val="00743F65"/>
    <w:rsid w:val="00763F18"/>
    <w:rsid w:val="007768F9"/>
    <w:rsid w:val="007C381A"/>
    <w:rsid w:val="007D11CD"/>
    <w:rsid w:val="007D62BF"/>
    <w:rsid w:val="007E692F"/>
    <w:rsid w:val="0087199F"/>
    <w:rsid w:val="00895E00"/>
    <w:rsid w:val="008B74D0"/>
    <w:rsid w:val="008F03F9"/>
    <w:rsid w:val="00957894"/>
    <w:rsid w:val="00971CD2"/>
    <w:rsid w:val="009878D6"/>
    <w:rsid w:val="009A25F5"/>
    <w:rsid w:val="009F0027"/>
    <w:rsid w:val="00A07313"/>
    <w:rsid w:val="00A1083E"/>
    <w:rsid w:val="00A14A70"/>
    <w:rsid w:val="00A454FB"/>
    <w:rsid w:val="00A5786F"/>
    <w:rsid w:val="00A6721C"/>
    <w:rsid w:val="00AF5DA2"/>
    <w:rsid w:val="00B40A29"/>
    <w:rsid w:val="00BD4583"/>
    <w:rsid w:val="00BE5C00"/>
    <w:rsid w:val="00C50CD3"/>
    <w:rsid w:val="00C52551"/>
    <w:rsid w:val="00C72C76"/>
    <w:rsid w:val="00C85B92"/>
    <w:rsid w:val="00CD0EAF"/>
    <w:rsid w:val="00CE0E79"/>
    <w:rsid w:val="00D05397"/>
    <w:rsid w:val="00D206A0"/>
    <w:rsid w:val="00D739A5"/>
    <w:rsid w:val="00D94473"/>
    <w:rsid w:val="00D94E9C"/>
    <w:rsid w:val="00DC06A2"/>
    <w:rsid w:val="00DD3029"/>
    <w:rsid w:val="00E842B9"/>
    <w:rsid w:val="00EB6A66"/>
    <w:rsid w:val="00EC1CE7"/>
    <w:rsid w:val="00F552C0"/>
    <w:rsid w:val="00F75497"/>
    <w:rsid w:val="00F967F4"/>
    <w:rsid w:val="00FD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DF3"/>
  <w15:chartTrackingRefBased/>
  <w15:docId w15:val="{83811C05-3C6D-4160-8554-A394D470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6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F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6A2"/>
  </w:style>
  <w:style w:type="paragraph" w:styleId="Footer">
    <w:name w:val="footer"/>
    <w:basedOn w:val="Normal"/>
    <w:link w:val="FooterChar"/>
    <w:uiPriority w:val="99"/>
    <w:unhideWhenUsed/>
    <w:rsid w:val="00DC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6A2"/>
  </w:style>
  <w:style w:type="character" w:styleId="Strong">
    <w:name w:val="Strong"/>
    <w:basedOn w:val="DefaultParagraphFont"/>
    <w:uiPriority w:val="22"/>
    <w:qFormat/>
    <w:rsid w:val="009F0027"/>
    <w:rPr>
      <w:b/>
      <w:bCs/>
    </w:rPr>
  </w:style>
  <w:style w:type="character" w:customStyle="1" w:styleId="Heading1Char">
    <w:name w:val="Heading 1 Char"/>
    <w:basedOn w:val="DefaultParagraphFont"/>
    <w:link w:val="Heading1"/>
    <w:uiPriority w:val="9"/>
    <w:rsid w:val="005563E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7199F"/>
    <w:pPr>
      <w:ind w:left="720"/>
      <w:contextualSpacing/>
    </w:pPr>
  </w:style>
  <w:style w:type="character" w:styleId="Hyperlink">
    <w:name w:val="Hyperlink"/>
    <w:basedOn w:val="DefaultParagraphFont"/>
    <w:uiPriority w:val="99"/>
    <w:unhideWhenUsed/>
    <w:rsid w:val="00617D24"/>
    <w:rPr>
      <w:color w:val="0563C1" w:themeColor="hyperlink"/>
      <w:u w:val="single"/>
    </w:rPr>
  </w:style>
  <w:style w:type="character" w:customStyle="1" w:styleId="UnresolvedMention">
    <w:name w:val="Unresolved Mention"/>
    <w:basedOn w:val="DefaultParagraphFont"/>
    <w:uiPriority w:val="99"/>
    <w:semiHidden/>
    <w:unhideWhenUsed/>
    <w:rsid w:val="00617D24"/>
    <w:rPr>
      <w:color w:val="605E5C"/>
      <w:shd w:val="clear" w:color="auto" w:fill="E1DFDD"/>
    </w:rPr>
  </w:style>
  <w:style w:type="paragraph" w:customStyle="1" w:styleId="Default">
    <w:name w:val="Default"/>
    <w:rsid w:val="00C72C76"/>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85">
      <w:bodyDiv w:val="1"/>
      <w:marLeft w:val="0"/>
      <w:marRight w:val="0"/>
      <w:marTop w:val="0"/>
      <w:marBottom w:val="0"/>
      <w:divBdr>
        <w:top w:val="none" w:sz="0" w:space="0" w:color="auto"/>
        <w:left w:val="none" w:sz="0" w:space="0" w:color="auto"/>
        <w:bottom w:val="none" w:sz="0" w:space="0" w:color="auto"/>
        <w:right w:val="none" w:sz="0" w:space="0" w:color="auto"/>
      </w:divBdr>
    </w:div>
    <w:div w:id="204877117">
      <w:bodyDiv w:val="1"/>
      <w:marLeft w:val="0"/>
      <w:marRight w:val="0"/>
      <w:marTop w:val="0"/>
      <w:marBottom w:val="0"/>
      <w:divBdr>
        <w:top w:val="none" w:sz="0" w:space="0" w:color="auto"/>
        <w:left w:val="none" w:sz="0" w:space="0" w:color="auto"/>
        <w:bottom w:val="none" w:sz="0" w:space="0" w:color="auto"/>
        <w:right w:val="none" w:sz="0" w:space="0" w:color="auto"/>
      </w:divBdr>
    </w:div>
    <w:div w:id="712386823">
      <w:bodyDiv w:val="1"/>
      <w:marLeft w:val="0"/>
      <w:marRight w:val="0"/>
      <w:marTop w:val="0"/>
      <w:marBottom w:val="0"/>
      <w:divBdr>
        <w:top w:val="none" w:sz="0" w:space="0" w:color="auto"/>
        <w:left w:val="none" w:sz="0" w:space="0" w:color="auto"/>
        <w:bottom w:val="none" w:sz="0" w:space="0" w:color="auto"/>
        <w:right w:val="none" w:sz="0" w:space="0" w:color="auto"/>
      </w:divBdr>
    </w:div>
    <w:div w:id="1069304323">
      <w:bodyDiv w:val="1"/>
      <w:marLeft w:val="0"/>
      <w:marRight w:val="0"/>
      <w:marTop w:val="0"/>
      <w:marBottom w:val="0"/>
      <w:divBdr>
        <w:top w:val="none" w:sz="0" w:space="0" w:color="auto"/>
        <w:left w:val="none" w:sz="0" w:space="0" w:color="auto"/>
        <w:bottom w:val="none" w:sz="0" w:space="0" w:color="auto"/>
        <w:right w:val="none" w:sz="0" w:space="0" w:color="auto"/>
      </w:divBdr>
    </w:div>
    <w:div w:id="1080324039">
      <w:bodyDiv w:val="1"/>
      <w:marLeft w:val="0"/>
      <w:marRight w:val="0"/>
      <w:marTop w:val="0"/>
      <w:marBottom w:val="0"/>
      <w:divBdr>
        <w:top w:val="none" w:sz="0" w:space="0" w:color="auto"/>
        <w:left w:val="none" w:sz="0" w:space="0" w:color="auto"/>
        <w:bottom w:val="none" w:sz="0" w:space="0" w:color="auto"/>
        <w:right w:val="none" w:sz="0" w:space="0" w:color="auto"/>
      </w:divBdr>
    </w:div>
    <w:div w:id="1176653484">
      <w:bodyDiv w:val="1"/>
      <w:marLeft w:val="0"/>
      <w:marRight w:val="0"/>
      <w:marTop w:val="0"/>
      <w:marBottom w:val="0"/>
      <w:divBdr>
        <w:top w:val="none" w:sz="0" w:space="0" w:color="auto"/>
        <w:left w:val="none" w:sz="0" w:space="0" w:color="auto"/>
        <w:bottom w:val="none" w:sz="0" w:space="0" w:color="auto"/>
        <w:right w:val="none" w:sz="0" w:space="0" w:color="auto"/>
      </w:divBdr>
    </w:div>
    <w:div w:id="1241867269">
      <w:bodyDiv w:val="1"/>
      <w:marLeft w:val="0"/>
      <w:marRight w:val="0"/>
      <w:marTop w:val="0"/>
      <w:marBottom w:val="0"/>
      <w:divBdr>
        <w:top w:val="none" w:sz="0" w:space="0" w:color="auto"/>
        <w:left w:val="none" w:sz="0" w:space="0" w:color="auto"/>
        <w:bottom w:val="none" w:sz="0" w:space="0" w:color="auto"/>
        <w:right w:val="none" w:sz="0" w:space="0" w:color="auto"/>
      </w:divBdr>
    </w:div>
    <w:div w:id="1323655642">
      <w:bodyDiv w:val="1"/>
      <w:marLeft w:val="0"/>
      <w:marRight w:val="0"/>
      <w:marTop w:val="0"/>
      <w:marBottom w:val="0"/>
      <w:divBdr>
        <w:top w:val="none" w:sz="0" w:space="0" w:color="auto"/>
        <w:left w:val="none" w:sz="0" w:space="0" w:color="auto"/>
        <w:bottom w:val="none" w:sz="0" w:space="0" w:color="auto"/>
        <w:right w:val="none" w:sz="0" w:space="0" w:color="auto"/>
      </w:divBdr>
      <w:divsChild>
        <w:div w:id="2079136159">
          <w:marLeft w:val="0"/>
          <w:marRight w:val="0"/>
          <w:marTop w:val="0"/>
          <w:marBottom w:val="0"/>
          <w:divBdr>
            <w:top w:val="single" w:sz="2" w:space="0" w:color="auto"/>
            <w:left w:val="single" w:sz="2" w:space="0" w:color="auto"/>
            <w:bottom w:val="single" w:sz="12" w:space="27" w:color="000000"/>
            <w:right w:val="single" w:sz="2" w:space="0" w:color="auto"/>
          </w:divBdr>
        </w:div>
        <w:div w:id="1706979492">
          <w:marLeft w:val="0"/>
          <w:marRight w:val="0"/>
          <w:marTop w:val="0"/>
          <w:marBottom w:val="0"/>
          <w:divBdr>
            <w:top w:val="single" w:sz="12" w:space="0" w:color="000000"/>
            <w:left w:val="single" w:sz="2" w:space="0" w:color="auto"/>
            <w:bottom w:val="single" w:sz="12" w:space="15" w:color="000000"/>
            <w:right w:val="single" w:sz="2" w:space="0" w:color="auto"/>
          </w:divBdr>
        </w:div>
      </w:divsChild>
    </w:div>
    <w:div w:id="1524586771">
      <w:bodyDiv w:val="1"/>
      <w:marLeft w:val="0"/>
      <w:marRight w:val="0"/>
      <w:marTop w:val="0"/>
      <w:marBottom w:val="0"/>
      <w:divBdr>
        <w:top w:val="none" w:sz="0" w:space="0" w:color="auto"/>
        <w:left w:val="none" w:sz="0" w:space="0" w:color="auto"/>
        <w:bottom w:val="none" w:sz="0" w:space="0" w:color="auto"/>
        <w:right w:val="none" w:sz="0" w:space="0" w:color="auto"/>
      </w:divBdr>
    </w:div>
    <w:div w:id="1888836158">
      <w:bodyDiv w:val="1"/>
      <w:marLeft w:val="0"/>
      <w:marRight w:val="0"/>
      <w:marTop w:val="0"/>
      <w:marBottom w:val="0"/>
      <w:divBdr>
        <w:top w:val="none" w:sz="0" w:space="0" w:color="auto"/>
        <w:left w:val="none" w:sz="0" w:space="0" w:color="auto"/>
        <w:bottom w:val="none" w:sz="0" w:space="0" w:color="auto"/>
        <w:right w:val="none" w:sz="0" w:space="0" w:color="auto"/>
      </w:divBdr>
    </w:div>
    <w:div w:id="2001998856">
      <w:bodyDiv w:val="1"/>
      <w:marLeft w:val="0"/>
      <w:marRight w:val="0"/>
      <w:marTop w:val="0"/>
      <w:marBottom w:val="0"/>
      <w:divBdr>
        <w:top w:val="none" w:sz="0" w:space="0" w:color="auto"/>
        <w:left w:val="none" w:sz="0" w:space="0" w:color="auto"/>
        <w:bottom w:val="none" w:sz="0" w:space="0" w:color="auto"/>
        <w:right w:val="none" w:sz="0" w:space="0" w:color="auto"/>
      </w:divBdr>
    </w:div>
    <w:div w:id="2032682994">
      <w:bodyDiv w:val="1"/>
      <w:marLeft w:val="0"/>
      <w:marRight w:val="0"/>
      <w:marTop w:val="0"/>
      <w:marBottom w:val="0"/>
      <w:divBdr>
        <w:top w:val="none" w:sz="0" w:space="0" w:color="auto"/>
        <w:left w:val="none" w:sz="0" w:space="0" w:color="auto"/>
        <w:bottom w:val="none" w:sz="0" w:space="0" w:color="auto"/>
        <w:right w:val="none" w:sz="0" w:space="0" w:color="auto"/>
      </w:divBdr>
    </w:div>
    <w:div w:id="2081099319">
      <w:bodyDiv w:val="1"/>
      <w:marLeft w:val="0"/>
      <w:marRight w:val="0"/>
      <w:marTop w:val="0"/>
      <w:marBottom w:val="0"/>
      <w:divBdr>
        <w:top w:val="none" w:sz="0" w:space="0" w:color="auto"/>
        <w:left w:val="none" w:sz="0" w:space="0" w:color="auto"/>
        <w:bottom w:val="none" w:sz="0" w:space="0" w:color="auto"/>
        <w:right w:val="none" w:sz="0" w:space="0" w:color="auto"/>
      </w:divBdr>
    </w:div>
    <w:div w:id="21224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zoomrx.com/2022-earnings-story-of-pharma-giants/" TargetMode="Externa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1688406903_Task%204%20Revenue%20&amp;%20Cost%20Driv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ownloads\1688406903_Task%204%20Revenue%20&amp;%20Cost%20Driv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Each</a:t>
            </a:r>
            <a:r>
              <a:rPr lang="en-US" sz="1200" baseline="0">
                <a:latin typeface="Times New Roman" panose="02020603050405020304" pitchFamily="18" charset="0"/>
                <a:cs typeface="Times New Roman" panose="02020603050405020304" pitchFamily="18" charset="0"/>
              </a:rPr>
              <a:t> Revenue Driver's Contribution to Revenue</a:t>
            </a:r>
            <a:endParaRPr lang="en-US" sz="1200">
              <a:latin typeface="Times New Roman" panose="02020603050405020304" pitchFamily="18" charset="0"/>
              <a:cs typeface="Times New Roman" panose="02020603050405020304" pitchFamily="18" charset="0"/>
            </a:endParaRPr>
          </a:p>
        </c:rich>
      </c:tx>
      <c:layout>
        <c:manualLayout>
          <c:xMode val="edge"/>
          <c:yMode val="edge"/>
          <c:x val="0.21015966754155729"/>
          <c:y val="3.65296803652968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'Marriott Inc.'!$I$5</c:f>
              <c:strCache>
                <c:ptCount val="1"/>
                <c:pt idx="0">
                  <c:v>2022</c:v>
                </c:pt>
              </c:strCache>
            </c:strRef>
          </c:tx>
          <c:spPr>
            <a:solidFill>
              <a:schemeClr val="accent1"/>
            </a:solidFill>
            <a:ln>
              <a:noFill/>
            </a:ln>
            <a:effectLst/>
          </c:spPr>
          <c:invertIfNegative val="0"/>
          <c:cat>
            <c:strRef>
              <c:f>'Marriott Inc.'!$H$6:$H$10</c:f>
              <c:strCache>
                <c:ptCount val="5"/>
                <c:pt idx="0">
                  <c:v>Base Management Fees </c:v>
                </c:pt>
                <c:pt idx="1">
                  <c:v>Franchise Fees </c:v>
                </c:pt>
                <c:pt idx="2">
                  <c:v>Incentive Management Fees  </c:v>
                </c:pt>
                <c:pt idx="3">
                  <c:v>Owned, Leased, and other Revenue  </c:v>
                </c:pt>
                <c:pt idx="4">
                  <c:v>Cost Reimbursement Revenue</c:v>
                </c:pt>
              </c:strCache>
            </c:strRef>
          </c:cat>
          <c:val>
            <c:numRef>
              <c:f>'Marriott Inc.'!$I$6:$I$10</c:f>
              <c:numCache>
                <c:formatCode>#,##0_);\(#,##0\)</c:formatCode>
                <c:ptCount val="5"/>
                <c:pt idx="0" formatCode="_(&quot;$&quot;* #,##0_);_(&quot;$&quot;* \(#,##0\);_(&quot;$&quot;* &quot;-&quot;??_);_(@_)">
                  <c:v>1044</c:v>
                </c:pt>
                <c:pt idx="1">
                  <c:v>2505</c:v>
                </c:pt>
                <c:pt idx="2">
                  <c:v>529</c:v>
                </c:pt>
                <c:pt idx="3">
                  <c:v>1367</c:v>
                </c:pt>
                <c:pt idx="4">
                  <c:v>15417</c:v>
                </c:pt>
              </c:numCache>
            </c:numRef>
          </c:val>
          <c:extLst xmlns:c16r2="http://schemas.microsoft.com/office/drawing/2015/06/chart">
            <c:ext xmlns:c16="http://schemas.microsoft.com/office/drawing/2014/chart" uri="{C3380CC4-5D6E-409C-BE32-E72D297353CC}">
              <c16:uniqueId val="{00000000-CFEA-47A8-A60A-9639B0C6E57C}"/>
            </c:ext>
          </c:extLst>
        </c:ser>
        <c:ser>
          <c:idx val="1"/>
          <c:order val="1"/>
          <c:tx>
            <c:strRef>
              <c:f>'Marriott Inc.'!$J$5</c:f>
              <c:strCache>
                <c:ptCount val="1"/>
                <c:pt idx="0">
                  <c:v>2021</c:v>
                </c:pt>
              </c:strCache>
            </c:strRef>
          </c:tx>
          <c:spPr>
            <a:solidFill>
              <a:schemeClr val="accent2"/>
            </a:solidFill>
            <a:ln>
              <a:noFill/>
            </a:ln>
            <a:effectLst/>
          </c:spPr>
          <c:invertIfNegative val="0"/>
          <c:cat>
            <c:strRef>
              <c:f>'Marriott Inc.'!$H$6:$H$10</c:f>
              <c:strCache>
                <c:ptCount val="5"/>
                <c:pt idx="0">
                  <c:v>Base Management Fees </c:v>
                </c:pt>
                <c:pt idx="1">
                  <c:v>Franchise Fees </c:v>
                </c:pt>
                <c:pt idx="2">
                  <c:v>Incentive Management Fees  </c:v>
                </c:pt>
                <c:pt idx="3">
                  <c:v>Owned, Leased, and other Revenue  </c:v>
                </c:pt>
                <c:pt idx="4">
                  <c:v>Cost Reimbursement Revenue</c:v>
                </c:pt>
              </c:strCache>
            </c:strRef>
          </c:cat>
          <c:val>
            <c:numRef>
              <c:f>'Marriott Inc.'!$J$6:$J$10</c:f>
              <c:numCache>
                <c:formatCode>#,##0_);\(#,##0\)</c:formatCode>
                <c:ptCount val="5"/>
                <c:pt idx="0" formatCode="_(&quot;$&quot;* #,##0_);_(&quot;$&quot;* \(#,##0\);_(&quot;$&quot;* &quot;-&quot;??_);_(@_)">
                  <c:v>669</c:v>
                </c:pt>
                <c:pt idx="1">
                  <c:v>1790</c:v>
                </c:pt>
                <c:pt idx="2">
                  <c:v>235</c:v>
                </c:pt>
                <c:pt idx="3">
                  <c:v>796</c:v>
                </c:pt>
                <c:pt idx="4">
                  <c:v>10442</c:v>
                </c:pt>
              </c:numCache>
            </c:numRef>
          </c:val>
          <c:extLst xmlns:c16r2="http://schemas.microsoft.com/office/drawing/2015/06/chart">
            <c:ext xmlns:c16="http://schemas.microsoft.com/office/drawing/2014/chart" uri="{C3380CC4-5D6E-409C-BE32-E72D297353CC}">
              <c16:uniqueId val="{00000001-CFEA-47A8-A60A-9639B0C6E57C}"/>
            </c:ext>
          </c:extLst>
        </c:ser>
        <c:ser>
          <c:idx val="2"/>
          <c:order val="2"/>
          <c:tx>
            <c:strRef>
              <c:f>'Marriott Inc.'!$K$5</c:f>
              <c:strCache>
                <c:ptCount val="1"/>
                <c:pt idx="0">
                  <c:v>2020</c:v>
                </c:pt>
              </c:strCache>
            </c:strRef>
          </c:tx>
          <c:spPr>
            <a:solidFill>
              <a:schemeClr val="accent3"/>
            </a:solidFill>
            <a:ln>
              <a:noFill/>
            </a:ln>
            <a:effectLst/>
          </c:spPr>
          <c:invertIfNegative val="0"/>
          <c:cat>
            <c:strRef>
              <c:f>'Marriott Inc.'!$H$6:$H$10</c:f>
              <c:strCache>
                <c:ptCount val="5"/>
                <c:pt idx="0">
                  <c:v>Base Management Fees </c:v>
                </c:pt>
                <c:pt idx="1">
                  <c:v>Franchise Fees </c:v>
                </c:pt>
                <c:pt idx="2">
                  <c:v>Incentive Management Fees  </c:v>
                </c:pt>
                <c:pt idx="3">
                  <c:v>Owned, Leased, and other Revenue  </c:v>
                </c:pt>
                <c:pt idx="4">
                  <c:v>Cost Reimbursement Revenue</c:v>
                </c:pt>
              </c:strCache>
            </c:strRef>
          </c:cat>
          <c:val>
            <c:numRef>
              <c:f>'Marriott Inc.'!$K$6:$K$10</c:f>
              <c:numCache>
                <c:formatCode>#,##0_);\(#,##0\)</c:formatCode>
                <c:ptCount val="5"/>
                <c:pt idx="0" formatCode="_(&quot;$&quot;* #,##0_);_(&quot;$&quot;* \(#,##0\);_(&quot;$&quot;* &quot;-&quot;??_);_(@_)">
                  <c:v>443</c:v>
                </c:pt>
                <c:pt idx="1">
                  <c:v>1153</c:v>
                </c:pt>
                <c:pt idx="2">
                  <c:v>87</c:v>
                </c:pt>
                <c:pt idx="3">
                  <c:v>568</c:v>
                </c:pt>
                <c:pt idx="4">
                  <c:v>8452</c:v>
                </c:pt>
              </c:numCache>
            </c:numRef>
          </c:val>
          <c:extLst xmlns:c16r2="http://schemas.microsoft.com/office/drawing/2015/06/chart">
            <c:ext xmlns:c16="http://schemas.microsoft.com/office/drawing/2014/chart" uri="{C3380CC4-5D6E-409C-BE32-E72D297353CC}">
              <c16:uniqueId val="{00000002-CFEA-47A8-A60A-9639B0C6E57C}"/>
            </c:ext>
          </c:extLst>
        </c:ser>
        <c:dLbls>
          <c:showLegendKey val="0"/>
          <c:showVal val="0"/>
          <c:showCatName val="0"/>
          <c:showSerName val="0"/>
          <c:showPercent val="0"/>
          <c:showBubbleSize val="0"/>
        </c:dLbls>
        <c:gapWidth val="150"/>
        <c:axId val="215556832"/>
        <c:axId val="215554656"/>
      </c:barChart>
      <c:catAx>
        <c:axId val="215556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54656"/>
        <c:crosses val="autoZero"/>
        <c:auto val="1"/>
        <c:lblAlgn val="ctr"/>
        <c:lblOffset val="100"/>
        <c:noMultiLvlLbl val="0"/>
      </c:catAx>
      <c:valAx>
        <c:axId val="21555465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5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a:t>
            </a:r>
            <a:r>
              <a:rPr lang="en-US" sz="1100" baseline="0">
                <a:latin typeface="Times New Roman" panose="02020603050405020304" pitchFamily="18" charset="0"/>
                <a:cs typeface="Times New Roman" panose="02020603050405020304" pitchFamily="18" charset="0"/>
              </a:rPr>
              <a:t> of Each Cost Driver effect on Revenue</a:t>
            </a:r>
            <a:endParaRPr lang="en-US" sz="1100">
              <a:latin typeface="Times New Roman" panose="02020603050405020304" pitchFamily="18" charset="0"/>
              <a:cs typeface="Times New Roman" panose="02020603050405020304" pitchFamily="18" charset="0"/>
            </a:endParaRPr>
          </a:p>
        </c:rich>
      </c:tx>
      <c:layout>
        <c:manualLayout>
          <c:xMode val="edge"/>
          <c:yMode val="edge"/>
          <c:x val="0.1829166666666666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'Marriott Inc.'!$B$41</c:f>
              <c:strCache>
                <c:ptCount val="1"/>
                <c:pt idx="0">
                  <c:v>2022</c:v>
                </c:pt>
              </c:strCache>
            </c:strRef>
          </c:tx>
          <c:spPr>
            <a:solidFill>
              <a:schemeClr val="accent1"/>
            </a:solidFill>
            <a:ln>
              <a:noFill/>
            </a:ln>
            <a:effectLst/>
          </c:spPr>
          <c:invertIfNegative val="0"/>
          <c:cat>
            <c:strRef>
              <c:f>'Marriott Inc.'!$A$42:$A$45</c:f>
              <c:strCache>
                <c:ptCount val="4"/>
                <c:pt idx="0">
                  <c:v>Owned, Leased, and other-direct   </c:v>
                </c:pt>
                <c:pt idx="1">
                  <c:v>Depreciation, Amortization, and other   </c:v>
                </c:pt>
                <c:pt idx="2">
                  <c:v>General, Administrative, and other   </c:v>
                </c:pt>
                <c:pt idx="3">
                  <c:v>Reimbursed Expenses</c:v>
                </c:pt>
              </c:strCache>
            </c:strRef>
          </c:cat>
          <c:val>
            <c:numRef>
              <c:f>'Marriott Inc.'!$B$42:$B$45</c:f>
              <c:numCache>
                <c:formatCode>0.00%</c:formatCode>
                <c:ptCount val="4"/>
                <c:pt idx="0">
                  <c:v>5.1701728204881336E-2</c:v>
                </c:pt>
                <c:pt idx="1">
                  <c:v>9.2909064651229955E-3</c:v>
                </c:pt>
                <c:pt idx="2">
                  <c:v>4.2892215857122225E-2</c:v>
                </c:pt>
                <c:pt idx="3">
                  <c:v>0.72887883310065948</c:v>
                </c:pt>
              </c:numCache>
            </c:numRef>
          </c:val>
          <c:extLst xmlns:c16r2="http://schemas.microsoft.com/office/drawing/2015/06/chart">
            <c:ext xmlns:c16="http://schemas.microsoft.com/office/drawing/2014/chart" uri="{C3380CC4-5D6E-409C-BE32-E72D297353CC}">
              <c16:uniqueId val="{00000000-05C5-4FBC-867A-8F1738831B51}"/>
            </c:ext>
          </c:extLst>
        </c:ser>
        <c:ser>
          <c:idx val="1"/>
          <c:order val="1"/>
          <c:tx>
            <c:strRef>
              <c:f>'Marriott Inc.'!$C$41</c:f>
              <c:strCache>
                <c:ptCount val="1"/>
                <c:pt idx="0">
                  <c:v>2021</c:v>
                </c:pt>
              </c:strCache>
            </c:strRef>
          </c:tx>
          <c:spPr>
            <a:solidFill>
              <a:schemeClr val="accent2"/>
            </a:solidFill>
            <a:ln>
              <a:noFill/>
            </a:ln>
            <a:effectLst/>
          </c:spPr>
          <c:invertIfNegative val="0"/>
          <c:cat>
            <c:strRef>
              <c:f>'Marriott Inc.'!$A$42:$A$45</c:f>
              <c:strCache>
                <c:ptCount val="4"/>
                <c:pt idx="0">
                  <c:v>Owned, Leased, and other-direct   </c:v>
                </c:pt>
                <c:pt idx="1">
                  <c:v>Depreciation, Amortization, and other   </c:v>
                </c:pt>
                <c:pt idx="2">
                  <c:v>General, Administrative, and other   </c:v>
                </c:pt>
                <c:pt idx="3">
                  <c:v>Reimbursed Expenses</c:v>
                </c:pt>
              </c:strCache>
            </c:strRef>
          </c:cat>
          <c:val>
            <c:numRef>
              <c:f>'Marriott Inc.'!$C$42:$C$45</c:f>
              <c:numCache>
                <c:formatCode>0.00%</c:formatCode>
                <c:ptCount val="4"/>
                <c:pt idx="0">
                  <c:v>5.2969618243487046E-2</c:v>
                </c:pt>
                <c:pt idx="1">
                  <c:v>1.587645233456015E-2</c:v>
                </c:pt>
                <c:pt idx="2">
                  <c:v>5.9392364869740928E-2</c:v>
                </c:pt>
                <c:pt idx="3">
                  <c:v>0.74489427726059032</c:v>
                </c:pt>
              </c:numCache>
            </c:numRef>
          </c:val>
          <c:extLst xmlns:c16r2="http://schemas.microsoft.com/office/drawing/2015/06/chart">
            <c:ext xmlns:c16="http://schemas.microsoft.com/office/drawing/2014/chart" uri="{C3380CC4-5D6E-409C-BE32-E72D297353CC}">
              <c16:uniqueId val="{00000001-05C5-4FBC-867A-8F1738831B51}"/>
            </c:ext>
          </c:extLst>
        </c:ser>
        <c:ser>
          <c:idx val="2"/>
          <c:order val="2"/>
          <c:tx>
            <c:strRef>
              <c:f>'Marriott Inc.'!$D$41</c:f>
              <c:strCache>
                <c:ptCount val="1"/>
                <c:pt idx="0">
                  <c:v>2020</c:v>
                </c:pt>
              </c:strCache>
            </c:strRef>
          </c:tx>
          <c:spPr>
            <a:solidFill>
              <a:schemeClr val="accent3"/>
            </a:solidFill>
            <a:ln>
              <a:noFill/>
            </a:ln>
            <a:effectLst/>
          </c:spPr>
          <c:invertIfNegative val="0"/>
          <c:cat>
            <c:strRef>
              <c:f>'Marriott Inc.'!$A$42:$A$45</c:f>
              <c:strCache>
                <c:ptCount val="4"/>
                <c:pt idx="0">
                  <c:v>Owned, Leased, and other-direct   </c:v>
                </c:pt>
                <c:pt idx="1">
                  <c:v>Depreciation, Amortization, and other   </c:v>
                </c:pt>
                <c:pt idx="2">
                  <c:v>General, Administrative, and other   </c:v>
                </c:pt>
                <c:pt idx="3">
                  <c:v>Reimbursed Expenses</c:v>
                </c:pt>
              </c:strCache>
            </c:strRef>
          </c:cat>
          <c:val>
            <c:numRef>
              <c:f>'Marriott Inc.'!$D$42:$D$45</c:f>
              <c:numCache>
                <c:formatCode>0.00%</c:formatCode>
                <c:ptCount val="4"/>
                <c:pt idx="0">
                  <c:v>6.4043136883927723E-2</c:v>
                </c:pt>
                <c:pt idx="1">
                  <c:v>3.2731056664459371E-2</c:v>
                </c:pt>
                <c:pt idx="2">
                  <c:v>7.2084003405543468E-2</c:v>
                </c:pt>
                <c:pt idx="3">
                  <c:v>0.79793775423327973</c:v>
                </c:pt>
              </c:numCache>
            </c:numRef>
          </c:val>
          <c:extLst xmlns:c16r2="http://schemas.microsoft.com/office/drawing/2015/06/chart">
            <c:ext xmlns:c16="http://schemas.microsoft.com/office/drawing/2014/chart" uri="{C3380CC4-5D6E-409C-BE32-E72D297353CC}">
              <c16:uniqueId val="{00000002-05C5-4FBC-867A-8F1738831B51}"/>
            </c:ext>
          </c:extLst>
        </c:ser>
        <c:dLbls>
          <c:showLegendKey val="0"/>
          <c:showVal val="0"/>
          <c:showCatName val="0"/>
          <c:showSerName val="0"/>
          <c:showPercent val="0"/>
          <c:showBubbleSize val="0"/>
        </c:dLbls>
        <c:gapWidth val="150"/>
        <c:axId val="215557376"/>
        <c:axId val="215553568"/>
      </c:barChart>
      <c:catAx>
        <c:axId val="21555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53568"/>
        <c:crosses val="autoZero"/>
        <c:auto val="1"/>
        <c:lblAlgn val="ctr"/>
        <c:lblOffset val="100"/>
        <c:noMultiLvlLbl val="0"/>
      </c:catAx>
      <c:valAx>
        <c:axId val="215553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5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
            </a:r>
            <a:r>
              <a:rPr lang="en-US" baseline="0"/>
              <a:t> of each cost driver on revenue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116141732283469E-2"/>
          <c:y val="0.14718253968253969"/>
          <c:w val="0.87779126567512389"/>
          <c:h val="0.6263951381077365"/>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Cost of Products Sold   </c:v>
                </c:pt>
                <c:pt idx="1">
                  <c:v>Selling, Marketing and Administrative Expenses  </c:v>
                </c:pt>
                <c:pt idx="2">
                  <c:v>Research and Development Expense  </c:v>
                </c:pt>
                <c:pt idx="3">
                  <c:v>In-process Research and Development (Note 5)   </c:v>
                </c:pt>
              </c:strCache>
            </c:strRef>
          </c:cat>
          <c:val>
            <c:numRef>
              <c:f>Sheet1!$B$2:$B$5</c:f>
              <c:numCache>
                <c:formatCode>0.00%</c:formatCode>
                <c:ptCount val="4"/>
                <c:pt idx="0">
                  <c:v>0.32744910103957109</c:v>
                </c:pt>
                <c:pt idx="1">
                  <c:v>0.26084071495528899</c:v>
                </c:pt>
                <c:pt idx="2">
                  <c:v>0.15380807431827517</c:v>
                </c:pt>
                <c:pt idx="3">
                  <c:v>8.2470534952550478E-3</c:v>
                </c:pt>
              </c:numCache>
            </c:numRef>
          </c:val>
          <c:extLst xmlns:c16r2="http://schemas.microsoft.com/office/drawing/2015/06/chart">
            <c:ext xmlns:c16="http://schemas.microsoft.com/office/drawing/2014/chart" uri="{C3380CC4-5D6E-409C-BE32-E72D297353CC}">
              <c16:uniqueId val="{00000000-D179-4EE8-BEF5-B2DBBAE4FDC4}"/>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4"/>
                <c:pt idx="0">
                  <c:v>Cost of Products Sold   </c:v>
                </c:pt>
                <c:pt idx="1">
                  <c:v>Selling, Marketing and Administrative Expenses  </c:v>
                </c:pt>
                <c:pt idx="2">
                  <c:v>Research and Development Expense  </c:v>
                </c:pt>
                <c:pt idx="3">
                  <c:v>In-process Research and Development (Note 5)   </c:v>
                </c:pt>
              </c:strCache>
            </c:strRef>
          </c:cat>
          <c:val>
            <c:numRef>
              <c:f>Sheet1!$C$2:$C$5</c:f>
              <c:numCache>
                <c:formatCode>0.00%</c:formatCode>
                <c:ptCount val="4"/>
                <c:pt idx="0">
                  <c:v>0.31836843508397761</c:v>
                </c:pt>
                <c:pt idx="1">
                  <c:v>0.26295921087709945</c:v>
                </c:pt>
                <c:pt idx="2">
                  <c:v>0.15690749133564383</c:v>
                </c:pt>
                <c:pt idx="3">
                  <c:v>9.59744068248467E-3</c:v>
                </c:pt>
              </c:numCache>
            </c:numRef>
          </c:val>
          <c:extLst xmlns:c16r2="http://schemas.microsoft.com/office/drawing/2015/06/chart">
            <c:ext xmlns:c16="http://schemas.microsoft.com/office/drawing/2014/chart" uri="{C3380CC4-5D6E-409C-BE32-E72D297353CC}">
              <c16:uniqueId val="{00000001-D179-4EE8-BEF5-B2DBBAE4FDC4}"/>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4"/>
                <c:pt idx="0">
                  <c:v>Cost of Products Sold   </c:v>
                </c:pt>
                <c:pt idx="1">
                  <c:v>Selling, Marketing and Administrative Expenses  </c:v>
                </c:pt>
                <c:pt idx="2">
                  <c:v>Research and Development Expense  </c:v>
                </c:pt>
                <c:pt idx="3">
                  <c:v>In-process Research and Development (Note 5)   </c:v>
                </c:pt>
              </c:strCache>
            </c:strRef>
          </c:cat>
          <c:val>
            <c:numRef>
              <c:f>Sheet1!$D$2:$D$5</c:f>
              <c:numCache>
                <c:formatCode>0.00%</c:formatCode>
                <c:ptCount val="4"/>
                <c:pt idx="0">
                  <c:v>0.34421921921921922</c:v>
                </c:pt>
                <c:pt idx="1">
                  <c:v>0.26741257386418676</c:v>
                </c:pt>
                <c:pt idx="2">
                  <c:v>0.14723190932868352</c:v>
                </c:pt>
                <c:pt idx="3">
                  <c:v>2.1917078368691272E-3</c:v>
                </c:pt>
              </c:numCache>
            </c:numRef>
          </c:val>
          <c:extLst xmlns:c16r2="http://schemas.microsoft.com/office/drawing/2015/06/chart">
            <c:ext xmlns:c16="http://schemas.microsoft.com/office/drawing/2014/chart" uri="{C3380CC4-5D6E-409C-BE32-E72D297353CC}">
              <c16:uniqueId val="{00000002-D179-4EE8-BEF5-B2DBBAE4FDC4}"/>
            </c:ext>
          </c:extLst>
        </c:ser>
        <c:dLbls>
          <c:showLegendKey val="0"/>
          <c:showVal val="0"/>
          <c:showCatName val="0"/>
          <c:showSerName val="0"/>
          <c:showPercent val="0"/>
          <c:showBubbleSize val="0"/>
        </c:dLbls>
        <c:gapWidth val="219"/>
        <c:overlap val="-27"/>
        <c:axId val="215554112"/>
        <c:axId val="215562816"/>
      </c:barChart>
      <c:catAx>
        <c:axId val="21555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62816"/>
        <c:crosses val="autoZero"/>
        <c:auto val="1"/>
        <c:lblAlgn val="ctr"/>
        <c:lblOffset val="100"/>
        <c:noMultiLvlLbl val="0"/>
      </c:catAx>
      <c:valAx>
        <c:axId val="215562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55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issah</dc:creator>
  <cp:keywords/>
  <dc:description/>
  <cp:lastModifiedBy>Microsoft account</cp:lastModifiedBy>
  <cp:revision>2</cp:revision>
  <dcterms:created xsi:type="dcterms:W3CDTF">2023-08-09T16:45:00Z</dcterms:created>
  <dcterms:modified xsi:type="dcterms:W3CDTF">2023-08-09T16:45:00Z</dcterms:modified>
</cp:coreProperties>
</file>