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46AE2" w14:textId="29070D10" w:rsidR="00E543D8" w:rsidRDefault="00E543D8"/>
    <w:p w14:paraId="7724A06C" w14:textId="0B77C7D8" w:rsidR="00E543D8" w:rsidRDefault="00E543D8">
      <w:r>
        <w:t>Spearheaded by their motivated and able Executive chair in Jeff Bezos, Amazon is one of the world’s leading multinational technology companies, with</w:t>
      </w:r>
      <w:r w:rsidR="00D905D5">
        <w:t xml:space="preserve"> a main focus on</w:t>
      </w:r>
      <w:r>
        <w:t xml:space="preserve"> e-commerce</w:t>
      </w:r>
      <w:r w:rsidR="00D905D5">
        <w:t xml:space="preserve">, cloud computing and digital streaming; as it captures a 37% market share as the dominant force in retail media as well as a 19% market share (second largest behind </w:t>
      </w:r>
      <w:r w:rsidR="00C71483">
        <w:t>Netflix’s</w:t>
      </w:r>
      <w:r w:rsidR="00D905D5">
        <w:t>’ 21%) in the Streaming Video on Demand (</w:t>
      </w:r>
      <w:proofErr w:type="spellStart"/>
      <w:r w:rsidR="00D905D5">
        <w:t>SVoD</w:t>
      </w:r>
      <w:proofErr w:type="spellEnd"/>
      <w:r w:rsidR="00D905D5">
        <w:t xml:space="preserve">) market. </w:t>
      </w:r>
    </w:p>
    <w:p w14:paraId="3D518781" w14:textId="7BC83787" w:rsidR="00E543D8" w:rsidRDefault="00E543D8"/>
    <w:p w14:paraId="74029341" w14:textId="77777777" w:rsidR="0050383B" w:rsidRDefault="00CE65C1">
      <w:r>
        <w:t xml:space="preserve">Over the last two years (2020,2021), Amazon has been a very success </w:t>
      </w:r>
      <w:r w:rsidR="00D47447">
        <w:t>company</w:t>
      </w:r>
      <w:r w:rsidR="0050383B">
        <w:t xml:space="preserve"> as it captured around 50% of the entire e-commerce retail market in 2021</w:t>
      </w:r>
      <w:r w:rsidR="00D47447">
        <w:t xml:space="preserve"> and this </w:t>
      </w:r>
      <w:r w:rsidR="0050383B">
        <w:t>was arguably largely</w:t>
      </w:r>
      <w:r w:rsidR="00D47447">
        <w:t xml:space="preserve"> attributable to the pandemic and it’s lagging effects. As people remained indoors during this period, consumers changed their spending habits and patterns, noticeably in 2020 as Amazon annual financial results showed a 38% increase in their net sales</w:t>
      </w:r>
      <w:r w:rsidR="0050383B">
        <w:t xml:space="preserve"> and a 22% increase the following year. </w:t>
      </w:r>
    </w:p>
    <w:p w14:paraId="7D3FA9B4" w14:textId="77777777" w:rsidR="0050383B" w:rsidRDefault="0050383B"/>
    <w:p w14:paraId="3F2A77F3" w14:textId="0BF565E4" w:rsidR="00C71483" w:rsidRDefault="0050383B">
      <w:r>
        <w:t xml:space="preserve">However, the same cannot be said 2022 as this proved to be a tough year for the company leaving </w:t>
      </w:r>
      <w:proofErr w:type="spellStart"/>
      <w:r>
        <w:t>it’s</w:t>
      </w:r>
      <w:proofErr w:type="spellEnd"/>
      <w:r>
        <w:t xml:space="preserve"> performance and health in question. </w:t>
      </w:r>
      <w:r w:rsidR="00C71483">
        <w:t xml:space="preserve">The companies misfortunes are largely linked to the macro environment as soaring inflation and interest rates have halted investment from investors. Not only that, </w:t>
      </w:r>
      <w:proofErr w:type="gramStart"/>
      <w:r w:rsidR="00C71483">
        <w:t>I</w:t>
      </w:r>
      <w:proofErr w:type="gramEnd"/>
      <w:r w:rsidR="00C71483">
        <w:t xml:space="preserve"> also believe the company has felt the downside </w:t>
      </w:r>
      <w:r w:rsidR="00C76B7C">
        <w:t>lag of the pandemic as they experience slowing sales (sales increase of 9% in 2022) and predictions of sustained e-commerce growth post the pandemic being far off predictions; the reason being consumers gradually returned to shopping in person and moving away from online retail.</w:t>
      </w:r>
    </w:p>
    <w:p w14:paraId="5CCE984C" w14:textId="77777777" w:rsidR="00C76B7C" w:rsidRDefault="00C76B7C"/>
    <w:p w14:paraId="24A61184" w14:textId="7FB549BE" w:rsidR="00C71483" w:rsidRDefault="0050383B">
      <w:r>
        <w:t xml:space="preserve">Having conducted an analysis on the company, Amazon’s financial health; though it may not be a cause for concern just yet, </w:t>
      </w:r>
      <w:r w:rsidR="00C76B7C">
        <w:t xml:space="preserve">overall performance </w:t>
      </w:r>
      <w:r>
        <w:t xml:space="preserve">has </w:t>
      </w:r>
      <w:r w:rsidR="00C76B7C">
        <w:t xml:space="preserve">decreased compared to previous years </w:t>
      </w:r>
      <w:r>
        <w:t xml:space="preserve">and the following key areas would be used to further explain the </w:t>
      </w:r>
      <w:r w:rsidR="00C71483">
        <w:t>financial health/</w:t>
      </w:r>
      <w:r>
        <w:t>state of the com</w:t>
      </w:r>
      <w:r w:rsidR="00C71483">
        <w:t>p</w:t>
      </w:r>
      <w:r>
        <w:t>a</w:t>
      </w:r>
      <w:r w:rsidR="00C71483">
        <w:t>ny;</w:t>
      </w:r>
      <w:r>
        <w:t xml:space="preserve"> </w:t>
      </w:r>
    </w:p>
    <w:p w14:paraId="3321DFAB" w14:textId="77777777" w:rsidR="00C71483" w:rsidRDefault="00C71483" w:rsidP="00C71483">
      <w:pPr>
        <w:pStyle w:val="ListParagraph"/>
        <w:numPr>
          <w:ilvl w:val="0"/>
          <w:numId w:val="1"/>
        </w:numPr>
      </w:pPr>
      <w:r>
        <w:t xml:space="preserve">Liquidity </w:t>
      </w:r>
    </w:p>
    <w:p w14:paraId="58AC1B28" w14:textId="77777777" w:rsidR="00C71483" w:rsidRDefault="00C71483" w:rsidP="00C71483">
      <w:pPr>
        <w:pStyle w:val="ListParagraph"/>
        <w:numPr>
          <w:ilvl w:val="0"/>
          <w:numId w:val="1"/>
        </w:numPr>
      </w:pPr>
      <w:r>
        <w:t xml:space="preserve">Profitability </w:t>
      </w:r>
    </w:p>
    <w:p w14:paraId="2028907E" w14:textId="77777777" w:rsidR="00C71483" w:rsidRDefault="00C71483" w:rsidP="00C71483">
      <w:pPr>
        <w:pStyle w:val="ListParagraph"/>
        <w:numPr>
          <w:ilvl w:val="0"/>
          <w:numId w:val="1"/>
        </w:numPr>
      </w:pPr>
      <w:r>
        <w:t xml:space="preserve">Solvency </w:t>
      </w:r>
    </w:p>
    <w:p w14:paraId="45336CAC" w14:textId="77777777" w:rsidR="00C71483" w:rsidRDefault="00C71483" w:rsidP="00C71483">
      <w:pPr>
        <w:pStyle w:val="ListParagraph"/>
        <w:numPr>
          <w:ilvl w:val="0"/>
          <w:numId w:val="1"/>
        </w:numPr>
      </w:pPr>
      <w:r>
        <w:t xml:space="preserve">Asset utilization </w:t>
      </w:r>
    </w:p>
    <w:p w14:paraId="31C525F4" w14:textId="47BFE2B9" w:rsidR="00B376A2" w:rsidRDefault="00C71483" w:rsidP="00B376A2">
      <w:pPr>
        <w:pStyle w:val="ListParagraph"/>
        <w:numPr>
          <w:ilvl w:val="0"/>
          <w:numId w:val="1"/>
        </w:numPr>
      </w:pPr>
      <w:r>
        <w:t>Investor ratios</w:t>
      </w:r>
      <w:r w:rsidR="0050383B">
        <w:t xml:space="preserve"> </w:t>
      </w:r>
    </w:p>
    <w:p w14:paraId="2769BBA9" w14:textId="77777777" w:rsidR="00B376A2" w:rsidRDefault="00B376A2" w:rsidP="00B376A2">
      <w:pPr>
        <w:pStyle w:val="ListParagraph"/>
      </w:pPr>
    </w:p>
    <w:p w14:paraId="751A8F65" w14:textId="252131C8" w:rsidR="00C71483" w:rsidRDefault="00C71483">
      <w:r>
        <w:t xml:space="preserve">From our Liquidity analysis, we </w:t>
      </w:r>
      <w:r w:rsidR="00761F62">
        <w:t>produced the following key ratios for 2021 and 2022</w:t>
      </w:r>
      <w:r w:rsidR="00663898">
        <w:t xml:space="preserve"> and conclude financial health for Amazon is worse in 2022</w:t>
      </w:r>
      <w:r w:rsidR="00761F62">
        <w:t xml:space="preserve">: </w:t>
      </w:r>
    </w:p>
    <w:tbl>
      <w:tblPr>
        <w:tblStyle w:val="TableGrid"/>
        <w:tblW w:w="0" w:type="auto"/>
        <w:tblLook w:val="04A0" w:firstRow="1" w:lastRow="0" w:firstColumn="1" w:lastColumn="0" w:noHBand="0" w:noVBand="1"/>
      </w:tblPr>
      <w:tblGrid>
        <w:gridCol w:w="1827"/>
        <w:gridCol w:w="1827"/>
        <w:gridCol w:w="1827"/>
      </w:tblGrid>
      <w:tr w:rsidR="00B376A2" w14:paraId="7EBCE5F3" w14:textId="77777777" w:rsidTr="00B376A2">
        <w:trPr>
          <w:trHeight w:val="314"/>
        </w:trPr>
        <w:tc>
          <w:tcPr>
            <w:tcW w:w="1827" w:type="dxa"/>
          </w:tcPr>
          <w:p w14:paraId="28E1BDEE" w14:textId="77777777" w:rsidR="00B376A2" w:rsidRDefault="00B376A2" w:rsidP="00B376A2"/>
        </w:tc>
        <w:tc>
          <w:tcPr>
            <w:tcW w:w="1827" w:type="dxa"/>
          </w:tcPr>
          <w:p w14:paraId="77402CEC" w14:textId="136C114A" w:rsidR="00B376A2" w:rsidRPr="00B376A2" w:rsidRDefault="00B376A2" w:rsidP="00B376A2">
            <w:pPr>
              <w:jc w:val="center"/>
              <w:rPr>
                <w:b/>
                <w:bCs/>
              </w:rPr>
            </w:pPr>
            <w:r w:rsidRPr="00B376A2">
              <w:rPr>
                <w:b/>
                <w:bCs/>
              </w:rPr>
              <w:t>2021</w:t>
            </w:r>
          </w:p>
        </w:tc>
        <w:tc>
          <w:tcPr>
            <w:tcW w:w="1827" w:type="dxa"/>
          </w:tcPr>
          <w:p w14:paraId="7408554A" w14:textId="4B86AA8B" w:rsidR="00B376A2" w:rsidRPr="00B376A2" w:rsidRDefault="00B376A2" w:rsidP="00B376A2">
            <w:pPr>
              <w:jc w:val="center"/>
              <w:rPr>
                <w:b/>
                <w:bCs/>
              </w:rPr>
            </w:pPr>
            <w:r w:rsidRPr="00B376A2">
              <w:rPr>
                <w:b/>
                <w:bCs/>
              </w:rPr>
              <w:t>2022</w:t>
            </w:r>
          </w:p>
        </w:tc>
      </w:tr>
      <w:tr w:rsidR="00B376A2" w14:paraId="6BB2D574" w14:textId="77777777" w:rsidTr="00B376A2">
        <w:trPr>
          <w:trHeight w:val="293"/>
        </w:trPr>
        <w:tc>
          <w:tcPr>
            <w:tcW w:w="1827" w:type="dxa"/>
          </w:tcPr>
          <w:p w14:paraId="2FCE950A" w14:textId="737BE9C9" w:rsidR="00B376A2" w:rsidRDefault="00B376A2" w:rsidP="00B376A2">
            <w:r>
              <w:t>Current ratio</w:t>
            </w:r>
          </w:p>
        </w:tc>
        <w:tc>
          <w:tcPr>
            <w:tcW w:w="1827" w:type="dxa"/>
          </w:tcPr>
          <w:p w14:paraId="23385A8E" w14:textId="33E0122F" w:rsidR="00B376A2" w:rsidRDefault="00B376A2" w:rsidP="00B376A2">
            <w:r>
              <w:t>1.14</w:t>
            </w:r>
          </w:p>
        </w:tc>
        <w:tc>
          <w:tcPr>
            <w:tcW w:w="1827" w:type="dxa"/>
          </w:tcPr>
          <w:p w14:paraId="43F6BCB9" w14:textId="084985C5" w:rsidR="00B376A2" w:rsidRDefault="00B376A2" w:rsidP="00B376A2">
            <w:r>
              <w:t>0.94</w:t>
            </w:r>
          </w:p>
        </w:tc>
      </w:tr>
      <w:tr w:rsidR="00B376A2" w14:paraId="18BB6032" w14:textId="77777777" w:rsidTr="00B376A2">
        <w:trPr>
          <w:trHeight w:val="314"/>
        </w:trPr>
        <w:tc>
          <w:tcPr>
            <w:tcW w:w="1827" w:type="dxa"/>
          </w:tcPr>
          <w:p w14:paraId="46B3B196" w14:textId="73C4C0EC" w:rsidR="00B376A2" w:rsidRDefault="00B376A2" w:rsidP="00B376A2">
            <w:r>
              <w:t>Quick ratio</w:t>
            </w:r>
          </w:p>
        </w:tc>
        <w:tc>
          <w:tcPr>
            <w:tcW w:w="1827" w:type="dxa"/>
          </w:tcPr>
          <w:p w14:paraId="76B09770" w14:textId="362667CC" w:rsidR="00B376A2" w:rsidRDefault="00B376A2" w:rsidP="00B376A2">
            <w:r>
              <w:t>0.91</w:t>
            </w:r>
          </w:p>
        </w:tc>
        <w:tc>
          <w:tcPr>
            <w:tcW w:w="1827" w:type="dxa"/>
          </w:tcPr>
          <w:p w14:paraId="6FAE9C9F" w14:textId="079D7FEE" w:rsidR="00B376A2" w:rsidRDefault="00B376A2" w:rsidP="00B376A2">
            <w:r>
              <w:t>0.72</w:t>
            </w:r>
          </w:p>
        </w:tc>
      </w:tr>
      <w:tr w:rsidR="00B376A2" w14:paraId="6D2BC419" w14:textId="77777777" w:rsidTr="00B376A2">
        <w:trPr>
          <w:trHeight w:val="293"/>
        </w:trPr>
        <w:tc>
          <w:tcPr>
            <w:tcW w:w="1827" w:type="dxa"/>
          </w:tcPr>
          <w:p w14:paraId="67662F4F" w14:textId="5E2A1625" w:rsidR="00B376A2" w:rsidRDefault="00B376A2" w:rsidP="00B376A2">
            <w:r>
              <w:t>Cash ratio</w:t>
            </w:r>
          </w:p>
        </w:tc>
        <w:tc>
          <w:tcPr>
            <w:tcW w:w="1827" w:type="dxa"/>
          </w:tcPr>
          <w:p w14:paraId="5631DF09" w14:textId="2212E127" w:rsidR="00B376A2" w:rsidRDefault="00B376A2" w:rsidP="00B376A2">
            <w:r>
              <w:t>0.68</w:t>
            </w:r>
          </w:p>
        </w:tc>
        <w:tc>
          <w:tcPr>
            <w:tcW w:w="1827" w:type="dxa"/>
          </w:tcPr>
          <w:p w14:paraId="52464757" w14:textId="30229D76" w:rsidR="00B376A2" w:rsidRDefault="00B376A2" w:rsidP="00B376A2">
            <w:r>
              <w:t>0.45</w:t>
            </w:r>
          </w:p>
        </w:tc>
      </w:tr>
      <w:tr w:rsidR="00B376A2" w14:paraId="7547234C" w14:textId="77777777" w:rsidTr="00B376A2">
        <w:trPr>
          <w:trHeight w:val="314"/>
        </w:trPr>
        <w:tc>
          <w:tcPr>
            <w:tcW w:w="1827" w:type="dxa"/>
          </w:tcPr>
          <w:p w14:paraId="430ED7B6" w14:textId="0FA05F63" w:rsidR="00B376A2" w:rsidRDefault="00B376A2" w:rsidP="00B376A2">
            <w:r>
              <w:t>Inventory days</w:t>
            </w:r>
          </w:p>
        </w:tc>
        <w:tc>
          <w:tcPr>
            <w:tcW w:w="1827" w:type="dxa"/>
          </w:tcPr>
          <w:p w14:paraId="2B7638DC" w14:textId="4E6D4343" w:rsidR="00B376A2" w:rsidRDefault="00B376A2" w:rsidP="00B376A2">
            <w:r>
              <w:t>37.82</w:t>
            </w:r>
          </w:p>
        </w:tc>
        <w:tc>
          <w:tcPr>
            <w:tcW w:w="1827" w:type="dxa"/>
          </w:tcPr>
          <w:p w14:paraId="71701E4B" w14:textId="492E0191" w:rsidR="00B376A2" w:rsidRDefault="00B376A2" w:rsidP="00B376A2">
            <w:r>
              <w:t>42.36</w:t>
            </w:r>
          </w:p>
        </w:tc>
      </w:tr>
      <w:tr w:rsidR="00B376A2" w14:paraId="52DC8FF0" w14:textId="77777777" w:rsidTr="00B376A2">
        <w:trPr>
          <w:trHeight w:val="314"/>
        </w:trPr>
        <w:tc>
          <w:tcPr>
            <w:tcW w:w="1827" w:type="dxa"/>
          </w:tcPr>
          <w:p w14:paraId="452204C8" w14:textId="1678198E" w:rsidR="00B376A2" w:rsidRDefault="00B376A2" w:rsidP="00B376A2">
            <w:r>
              <w:t xml:space="preserve">Receivable days </w:t>
            </w:r>
          </w:p>
        </w:tc>
        <w:tc>
          <w:tcPr>
            <w:tcW w:w="1827" w:type="dxa"/>
          </w:tcPr>
          <w:p w14:paraId="451E5555" w14:textId="1C57823A" w:rsidR="00B376A2" w:rsidRDefault="00B376A2" w:rsidP="00B376A2">
            <w:r>
              <w:t>22.31</w:t>
            </w:r>
          </w:p>
        </w:tc>
        <w:tc>
          <w:tcPr>
            <w:tcW w:w="1827" w:type="dxa"/>
          </w:tcPr>
          <w:p w14:paraId="37BC6E34" w14:textId="179DCAFA" w:rsidR="00B376A2" w:rsidRDefault="00B376A2" w:rsidP="00B376A2">
            <w:r>
              <w:t>26.72</w:t>
            </w:r>
          </w:p>
        </w:tc>
      </w:tr>
      <w:tr w:rsidR="00B376A2" w14:paraId="0B19991B" w14:textId="77777777" w:rsidTr="00B376A2">
        <w:trPr>
          <w:trHeight w:val="293"/>
        </w:trPr>
        <w:tc>
          <w:tcPr>
            <w:tcW w:w="1827" w:type="dxa"/>
          </w:tcPr>
          <w:p w14:paraId="728ADC3A" w14:textId="18792618" w:rsidR="00B376A2" w:rsidRDefault="00B376A2" w:rsidP="00B376A2">
            <w:r>
              <w:t xml:space="preserve">Payable days </w:t>
            </w:r>
          </w:p>
        </w:tc>
        <w:tc>
          <w:tcPr>
            <w:tcW w:w="1827" w:type="dxa"/>
          </w:tcPr>
          <w:p w14:paraId="542F8871" w14:textId="7457B216" w:rsidR="00B376A2" w:rsidRDefault="00B376A2" w:rsidP="00B376A2">
            <w:r>
              <w:t>101.32</w:t>
            </w:r>
          </w:p>
        </w:tc>
        <w:tc>
          <w:tcPr>
            <w:tcW w:w="1827" w:type="dxa"/>
          </w:tcPr>
          <w:p w14:paraId="3E923C21" w14:textId="3A053948" w:rsidR="00B376A2" w:rsidRDefault="00B376A2" w:rsidP="00B376A2">
            <w:r>
              <w:t>100.00</w:t>
            </w:r>
          </w:p>
        </w:tc>
      </w:tr>
    </w:tbl>
    <w:p w14:paraId="6E665ADB" w14:textId="5AE52D12" w:rsidR="00761F62" w:rsidRDefault="00761F62"/>
    <w:p w14:paraId="24FEE827" w14:textId="4E8C1C2C" w:rsidR="00B376A2" w:rsidRDefault="00B376A2">
      <w:r>
        <w:t>Based on the current ratio, Amazon</w:t>
      </w:r>
      <w:r w:rsidR="00663898">
        <w:t xml:space="preserve"> has a higher degree of liquidity</w:t>
      </w:r>
      <w:r>
        <w:t xml:space="preserve"> in 2021 than in 2022</w:t>
      </w:r>
      <w:r w:rsidR="00663898">
        <w:t>. In 2022, the company had $0.94 of current assets able to cover for every $1 of current liabilities compared to $1.14 in 2021. In addition to this the quick ratio fell from 0.91 to 0.72 pointing towards a lesser adequate liquidity</w:t>
      </w:r>
      <w:r w:rsidR="00B82153">
        <w:t>(less rapid conversion)</w:t>
      </w:r>
      <w:r w:rsidR="00663898">
        <w:t xml:space="preserve"> once inventories have </w:t>
      </w:r>
      <w:r w:rsidR="00663898">
        <w:lastRenderedPageBreak/>
        <w:t>been removed. Furthermore, we also witness that inventory days have increased for the company in 2022. Pairing this with higher receivable days and lower payable days, from a firms stance there are less efficient and worse off than before as they take longer to sell their produced good, receive cash from sales at a later date and fulfil obligated payments quicker.</w:t>
      </w:r>
    </w:p>
    <w:p w14:paraId="2814CC34" w14:textId="28075E07" w:rsidR="00761F62" w:rsidRDefault="00761F62"/>
    <w:p w14:paraId="3DAF0603" w14:textId="5879F438" w:rsidR="000239FC" w:rsidRDefault="000239FC">
      <w:r>
        <w:t>Profitability ratios, tell a slightly different story in one area however show an overall trend of a decrease in margins over the year; concluding a financial health decline:</w:t>
      </w:r>
    </w:p>
    <w:tbl>
      <w:tblPr>
        <w:tblStyle w:val="TableGrid"/>
        <w:tblpPr w:leftFromText="180" w:rightFromText="180" w:vertAnchor="text" w:tblpY="101"/>
        <w:tblW w:w="0" w:type="auto"/>
        <w:tblLook w:val="04A0" w:firstRow="1" w:lastRow="0" w:firstColumn="1" w:lastColumn="0" w:noHBand="0" w:noVBand="1"/>
      </w:tblPr>
      <w:tblGrid>
        <w:gridCol w:w="1924"/>
        <w:gridCol w:w="1924"/>
        <w:gridCol w:w="1925"/>
      </w:tblGrid>
      <w:tr w:rsidR="000239FC" w14:paraId="53752F41" w14:textId="77777777" w:rsidTr="000239FC">
        <w:trPr>
          <w:trHeight w:val="301"/>
        </w:trPr>
        <w:tc>
          <w:tcPr>
            <w:tcW w:w="1924" w:type="dxa"/>
          </w:tcPr>
          <w:p w14:paraId="4B52B32C" w14:textId="77777777" w:rsidR="000239FC" w:rsidRDefault="000239FC" w:rsidP="000239FC"/>
        </w:tc>
        <w:tc>
          <w:tcPr>
            <w:tcW w:w="1924" w:type="dxa"/>
          </w:tcPr>
          <w:p w14:paraId="3EB06CAF" w14:textId="77777777" w:rsidR="000239FC" w:rsidRPr="000239FC" w:rsidRDefault="000239FC" w:rsidP="000239FC">
            <w:pPr>
              <w:jc w:val="center"/>
              <w:rPr>
                <w:b/>
                <w:bCs/>
              </w:rPr>
            </w:pPr>
            <w:r w:rsidRPr="000239FC">
              <w:rPr>
                <w:b/>
                <w:bCs/>
              </w:rPr>
              <w:t>2021</w:t>
            </w:r>
          </w:p>
        </w:tc>
        <w:tc>
          <w:tcPr>
            <w:tcW w:w="1925" w:type="dxa"/>
          </w:tcPr>
          <w:p w14:paraId="11465D47" w14:textId="77777777" w:rsidR="000239FC" w:rsidRPr="000239FC" w:rsidRDefault="000239FC" w:rsidP="000239FC">
            <w:pPr>
              <w:jc w:val="center"/>
              <w:rPr>
                <w:b/>
                <w:bCs/>
              </w:rPr>
            </w:pPr>
            <w:r w:rsidRPr="000239FC">
              <w:rPr>
                <w:b/>
                <w:bCs/>
              </w:rPr>
              <w:t>2022</w:t>
            </w:r>
          </w:p>
        </w:tc>
      </w:tr>
      <w:tr w:rsidR="000239FC" w14:paraId="33B7ABD4" w14:textId="77777777" w:rsidTr="000239FC">
        <w:trPr>
          <w:trHeight w:val="282"/>
        </w:trPr>
        <w:tc>
          <w:tcPr>
            <w:tcW w:w="1924" w:type="dxa"/>
          </w:tcPr>
          <w:p w14:paraId="51A2AEDF" w14:textId="77777777" w:rsidR="000239FC" w:rsidRPr="00B41991" w:rsidRDefault="000239FC" w:rsidP="000239FC">
            <w:pPr>
              <w:rPr>
                <w:b/>
                <w:bCs/>
              </w:rPr>
            </w:pPr>
            <w:r w:rsidRPr="00B41991">
              <w:rPr>
                <w:b/>
                <w:bCs/>
              </w:rPr>
              <w:t>Gross margin</w:t>
            </w:r>
          </w:p>
        </w:tc>
        <w:tc>
          <w:tcPr>
            <w:tcW w:w="1924" w:type="dxa"/>
          </w:tcPr>
          <w:p w14:paraId="691B8E2E" w14:textId="77777777" w:rsidR="000239FC" w:rsidRDefault="000239FC" w:rsidP="000239FC">
            <w:r>
              <w:t>0.42</w:t>
            </w:r>
          </w:p>
        </w:tc>
        <w:tc>
          <w:tcPr>
            <w:tcW w:w="1925" w:type="dxa"/>
          </w:tcPr>
          <w:p w14:paraId="612A6D80" w14:textId="77777777" w:rsidR="000239FC" w:rsidRDefault="000239FC" w:rsidP="000239FC">
            <w:r>
              <w:t>0.44</w:t>
            </w:r>
          </w:p>
        </w:tc>
      </w:tr>
      <w:tr w:rsidR="000239FC" w14:paraId="597ECF62" w14:textId="77777777" w:rsidTr="000239FC">
        <w:trPr>
          <w:trHeight w:val="301"/>
        </w:trPr>
        <w:tc>
          <w:tcPr>
            <w:tcW w:w="1924" w:type="dxa"/>
          </w:tcPr>
          <w:p w14:paraId="2847C62C" w14:textId="77777777" w:rsidR="000239FC" w:rsidRPr="00B41991" w:rsidRDefault="000239FC" w:rsidP="000239FC">
            <w:pPr>
              <w:rPr>
                <w:b/>
                <w:bCs/>
              </w:rPr>
            </w:pPr>
            <w:r w:rsidRPr="00B41991">
              <w:rPr>
                <w:b/>
                <w:bCs/>
              </w:rPr>
              <w:t>EBITDA margin</w:t>
            </w:r>
          </w:p>
        </w:tc>
        <w:tc>
          <w:tcPr>
            <w:tcW w:w="1924" w:type="dxa"/>
          </w:tcPr>
          <w:p w14:paraId="648A5DE0" w14:textId="77777777" w:rsidR="000239FC" w:rsidRDefault="000239FC" w:rsidP="000239FC">
            <w:r>
              <w:t>0.13</w:t>
            </w:r>
          </w:p>
        </w:tc>
        <w:tc>
          <w:tcPr>
            <w:tcW w:w="1925" w:type="dxa"/>
          </w:tcPr>
          <w:p w14:paraId="2B4036B0" w14:textId="77777777" w:rsidR="000239FC" w:rsidRDefault="000239FC" w:rsidP="000239FC">
            <w:r>
              <w:t>0.11</w:t>
            </w:r>
          </w:p>
        </w:tc>
      </w:tr>
      <w:tr w:rsidR="000239FC" w14:paraId="57B82FB4" w14:textId="77777777" w:rsidTr="000239FC">
        <w:trPr>
          <w:trHeight w:val="282"/>
        </w:trPr>
        <w:tc>
          <w:tcPr>
            <w:tcW w:w="1924" w:type="dxa"/>
          </w:tcPr>
          <w:p w14:paraId="70E6CD72" w14:textId="77777777" w:rsidR="000239FC" w:rsidRPr="00B41991" w:rsidRDefault="000239FC" w:rsidP="000239FC">
            <w:pPr>
              <w:rPr>
                <w:b/>
                <w:bCs/>
              </w:rPr>
            </w:pPr>
            <w:r w:rsidRPr="00B41991">
              <w:rPr>
                <w:b/>
                <w:bCs/>
              </w:rPr>
              <w:t>EBIT margin</w:t>
            </w:r>
          </w:p>
        </w:tc>
        <w:tc>
          <w:tcPr>
            <w:tcW w:w="1924" w:type="dxa"/>
          </w:tcPr>
          <w:p w14:paraId="61648F5D" w14:textId="77777777" w:rsidR="000239FC" w:rsidRDefault="000239FC" w:rsidP="000239FC">
            <w:r>
              <w:t>0.05</w:t>
            </w:r>
          </w:p>
        </w:tc>
        <w:tc>
          <w:tcPr>
            <w:tcW w:w="1925" w:type="dxa"/>
          </w:tcPr>
          <w:p w14:paraId="69DCD3DA" w14:textId="77777777" w:rsidR="000239FC" w:rsidRDefault="000239FC" w:rsidP="000239FC">
            <w:r>
              <w:t>0.02</w:t>
            </w:r>
          </w:p>
        </w:tc>
      </w:tr>
      <w:tr w:rsidR="000239FC" w14:paraId="79D11A20" w14:textId="77777777" w:rsidTr="000239FC">
        <w:trPr>
          <w:trHeight w:val="301"/>
        </w:trPr>
        <w:tc>
          <w:tcPr>
            <w:tcW w:w="1924" w:type="dxa"/>
          </w:tcPr>
          <w:p w14:paraId="500B009B" w14:textId="77777777" w:rsidR="000239FC" w:rsidRPr="00B41991" w:rsidRDefault="000239FC" w:rsidP="000239FC">
            <w:pPr>
              <w:rPr>
                <w:b/>
                <w:bCs/>
              </w:rPr>
            </w:pPr>
            <w:r w:rsidRPr="00B41991">
              <w:rPr>
                <w:b/>
                <w:bCs/>
              </w:rPr>
              <w:t>Net margin</w:t>
            </w:r>
          </w:p>
        </w:tc>
        <w:tc>
          <w:tcPr>
            <w:tcW w:w="1924" w:type="dxa"/>
          </w:tcPr>
          <w:p w14:paraId="51230995" w14:textId="77777777" w:rsidR="000239FC" w:rsidRDefault="000239FC" w:rsidP="000239FC">
            <w:r>
              <w:t>0.07</w:t>
            </w:r>
          </w:p>
        </w:tc>
        <w:tc>
          <w:tcPr>
            <w:tcW w:w="1925" w:type="dxa"/>
          </w:tcPr>
          <w:p w14:paraId="483379B6" w14:textId="77777777" w:rsidR="000239FC" w:rsidRDefault="000239FC" w:rsidP="000239FC">
            <w:r>
              <w:t>(0.01)</w:t>
            </w:r>
          </w:p>
        </w:tc>
      </w:tr>
    </w:tbl>
    <w:p w14:paraId="599AFD88" w14:textId="29FD278B" w:rsidR="000239FC" w:rsidRDefault="000239FC"/>
    <w:p w14:paraId="6FE2D0DE" w14:textId="77777777" w:rsidR="000239FC" w:rsidRDefault="000239FC"/>
    <w:p w14:paraId="63DE8826" w14:textId="77777777" w:rsidR="00B376A2" w:rsidRDefault="00B376A2" w:rsidP="00B376A2">
      <w:pPr>
        <w:pStyle w:val="comp"/>
        <w:shd w:val="clear" w:color="auto" w:fill="FFFFFF"/>
        <w:spacing w:before="0" w:beforeAutospacing="0"/>
        <w:rPr>
          <w:rFonts w:ascii="Arial" w:hAnsi="Arial" w:cs="Arial"/>
          <w:color w:val="111111"/>
          <w:spacing w:val="1"/>
          <w:sz w:val="27"/>
          <w:szCs w:val="27"/>
        </w:rPr>
      </w:pPr>
    </w:p>
    <w:p w14:paraId="62CC3740" w14:textId="77777777" w:rsidR="00B376A2" w:rsidRDefault="00B376A2" w:rsidP="00B376A2">
      <w:pPr>
        <w:pStyle w:val="comp"/>
        <w:shd w:val="clear" w:color="auto" w:fill="FFFFFF"/>
        <w:spacing w:before="0" w:beforeAutospacing="0"/>
        <w:rPr>
          <w:rFonts w:ascii="Arial" w:hAnsi="Arial" w:cs="Arial"/>
          <w:color w:val="111111"/>
          <w:spacing w:val="1"/>
          <w:sz w:val="27"/>
          <w:szCs w:val="27"/>
        </w:rPr>
      </w:pPr>
    </w:p>
    <w:p w14:paraId="2ADD92C4" w14:textId="2328EF98" w:rsidR="00B376A2" w:rsidRDefault="00B82153" w:rsidP="00B376A2">
      <w:pPr>
        <w:pStyle w:val="comp"/>
        <w:shd w:val="clear" w:color="auto" w:fill="FFFFFF"/>
        <w:spacing w:before="0" w:beforeAutospacing="0"/>
        <w:rPr>
          <w:rFonts w:asciiTheme="minorHAnsi" w:hAnsiTheme="minorHAnsi" w:cstheme="minorHAnsi"/>
          <w:color w:val="111111"/>
          <w:spacing w:val="1"/>
        </w:rPr>
      </w:pPr>
      <w:r w:rsidRPr="004A27EC">
        <w:rPr>
          <w:rFonts w:asciiTheme="minorHAnsi" w:hAnsiTheme="minorHAnsi" w:cstheme="minorHAnsi"/>
          <w:color w:val="111111"/>
          <w:spacing w:val="1"/>
        </w:rPr>
        <w:t xml:space="preserve">Gross margins increased between 2021 and 2022 indicating Amazons important comparative advantage (38% market share) as Amazon has become a household stapple service and the go to for quick services. </w:t>
      </w:r>
      <w:r w:rsidR="004A27EC" w:rsidRPr="004A27EC">
        <w:rPr>
          <w:rFonts w:asciiTheme="minorHAnsi" w:hAnsiTheme="minorHAnsi" w:cstheme="minorHAnsi"/>
          <w:color w:val="111111"/>
          <w:spacing w:val="1"/>
        </w:rPr>
        <w:t>However,</w:t>
      </w:r>
      <w:r w:rsidRPr="004A27EC">
        <w:rPr>
          <w:rFonts w:asciiTheme="minorHAnsi" w:hAnsiTheme="minorHAnsi" w:cstheme="minorHAnsi"/>
          <w:color w:val="111111"/>
          <w:spacing w:val="1"/>
        </w:rPr>
        <w:t xml:space="preserve"> the </w:t>
      </w:r>
      <w:r w:rsidR="004A27EC" w:rsidRPr="004A27EC">
        <w:rPr>
          <w:rFonts w:asciiTheme="minorHAnsi" w:hAnsiTheme="minorHAnsi" w:cstheme="minorHAnsi"/>
          <w:color w:val="111111"/>
          <w:spacing w:val="1"/>
        </w:rPr>
        <w:t>remaining</w:t>
      </w:r>
      <w:r w:rsidRPr="004A27EC">
        <w:rPr>
          <w:rFonts w:asciiTheme="minorHAnsi" w:hAnsiTheme="minorHAnsi" w:cstheme="minorHAnsi"/>
          <w:color w:val="111111"/>
          <w:spacing w:val="1"/>
        </w:rPr>
        <w:t xml:space="preserve"> ratios paint a different </w:t>
      </w:r>
      <w:r w:rsidR="004A27EC" w:rsidRPr="004A27EC">
        <w:rPr>
          <w:rFonts w:asciiTheme="minorHAnsi" w:hAnsiTheme="minorHAnsi" w:cstheme="minorHAnsi"/>
          <w:color w:val="111111"/>
          <w:spacing w:val="1"/>
        </w:rPr>
        <w:t>picture</w:t>
      </w:r>
      <w:r w:rsidRPr="004A27EC">
        <w:rPr>
          <w:rFonts w:asciiTheme="minorHAnsi" w:hAnsiTheme="minorHAnsi" w:cstheme="minorHAnsi"/>
          <w:color w:val="111111"/>
          <w:spacing w:val="1"/>
        </w:rPr>
        <w:t xml:space="preserve"> as they are all declining between 2021 and 2022. Lower EBIT, EBITDA and Net margins all indicate</w:t>
      </w:r>
      <w:r w:rsidR="004A27EC" w:rsidRPr="004A27EC">
        <w:rPr>
          <w:rFonts w:asciiTheme="minorHAnsi" w:hAnsiTheme="minorHAnsi" w:cstheme="minorHAnsi"/>
          <w:color w:val="111111"/>
          <w:spacing w:val="1"/>
        </w:rPr>
        <w:t xml:space="preserve"> that Amazon management has been less efficient and effective in their running of the business as the ratios indicate that cost have risen for the business. In context, this could be the result of the current macro-economic factors such as rising inflation and interest rates, which has reduced consumption and investment to Amazon but also largely due to inaccurate future sales forecasts post pandemic.</w:t>
      </w:r>
    </w:p>
    <w:tbl>
      <w:tblPr>
        <w:tblStyle w:val="TableGrid"/>
        <w:tblpPr w:leftFromText="180" w:rightFromText="180" w:vertAnchor="text" w:tblpY="650"/>
        <w:tblW w:w="0" w:type="auto"/>
        <w:tblLook w:val="04A0" w:firstRow="1" w:lastRow="0" w:firstColumn="1" w:lastColumn="0" w:noHBand="0" w:noVBand="1"/>
      </w:tblPr>
      <w:tblGrid>
        <w:gridCol w:w="2447"/>
        <w:gridCol w:w="2447"/>
        <w:gridCol w:w="2447"/>
      </w:tblGrid>
      <w:tr w:rsidR="005B75A2" w14:paraId="43D0A8BB" w14:textId="77777777" w:rsidTr="00B41991">
        <w:trPr>
          <w:trHeight w:val="358"/>
        </w:trPr>
        <w:tc>
          <w:tcPr>
            <w:tcW w:w="2447" w:type="dxa"/>
          </w:tcPr>
          <w:p w14:paraId="0D213F4A" w14:textId="77777777" w:rsidR="005B75A2" w:rsidRDefault="005B75A2" w:rsidP="005B75A2">
            <w:pPr>
              <w:pStyle w:val="comp"/>
              <w:spacing w:before="0" w:beforeAutospacing="0"/>
              <w:rPr>
                <w:rFonts w:asciiTheme="minorHAnsi" w:hAnsiTheme="minorHAnsi" w:cstheme="minorHAnsi"/>
                <w:color w:val="111111"/>
                <w:spacing w:val="1"/>
              </w:rPr>
            </w:pPr>
          </w:p>
        </w:tc>
        <w:tc>
          <w:tcPr>
            <w:tcW w:w="2447" w:type="dxa"/>
          </w:tcPr>
          <w:p w14:paraId="4F85AB8F" w14:textId="77777777" w:rsidR="005B75A2" w:rsidRPr="005B75A2" w:rsidRDefault="005B75A2" w:rsidP="005B75A2">
            <w:pPr>
              <w:pStyle w:val="comp"/>
              <w:spacing w:before="0" w:beforeAutospacing="0"/>
              <w:jc w:val="center"/>
              <w:rPr>
                <w:rFonts w:asciiTheme="minorHAnsi" w:hAnsiTheme="minorHAnsi" w:cstheme="minorHAnsi"/>
                <w:b/>
                <w:bCs/>
                <w:color w:val="111111"/>
                <w:spacing w:val="1"/>
              </w:rPr>
            </w:pPr>
            <w:r w:rsidRPr="005B75A2">
              <w:rPr>
                <w:rFonts w:asciiTheme="minorHAnsi" w:hAnsiTheme="minorHAnsi" w:cstheme="minorHAnsi"/>
                <w:b/>
                <w:bCs/>
                <w:color w:val="111111"/>
                <w:spacing w:val="1"/>
              </w:rPr>
              <w:t>2021</w:t>
            </w:r>
          </w:p>
        </w:tc>
        <w:tc>
          <w:tcPr>
            <w:tcW w:w="2447" w:type="dxa"/>
          </w:tcPr>
          <w:p w14:paraId="56137732" w14:textId="77777777" w:rsidR="005B75A2" w:rsidRPr="005B75A2" w:rsidRDefault="005B75A2" w:rsidP="005B75A2">
            <w:pPr>
              <w:pStyle w:val="comp"/>
              <w:tabs>
                <w:tab w:val="center" w:pos="1088"/>
              </w:tabs>
              <w:spacing w:before="0" w:beforeAutospacing="0"/>
              <w:jc w:val="center"/>
              <w:rPr>
                <w:rFonts w:asciiTheme="minorHAnsi" w:hAnsiTheme="minorHAnsi" w:cstheme="minorHAnsi"/>
                <w:b/>
                <w:bCs/>
                <w:color w:val="111111"/>
                <w:spacing w:val="1"/>
              </w:rPr>
            </w:pPr>
            <w:r w:rsidRPr="005B75A2">
              <w:rPr>
                <w:rFonts w:asciiTheme="minorHAnsi" w:hAnsiTheme="minorHAnsi" w:cstheme="minorHAnsi"/>
                <w:b/>
                <w:bCs/>
                <w:color w:val="111111"/>
                <w:spacing w:val="1"/>
              </w:rPr>
              <w:t>2022</w:t>
            </w:r>
          </w:p>
        </w:tc>
      </w:tr>
      <w:tr w:rsidR="005B75A2" w14:paraId="6395B285" w14:textId="77777777" w:rsidTr="00B41991">
        <w:trPr>
          <w:trHeight w:val="337"/>
        </w:trPr>
        <w:tc>
          <w:tcPr>
            <w:tcW w:w="2447" w:type="dxa"/>
          </w:tcPr>
          <w:p w14:paraId="36E5F988"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Debt to Equity (D/E)</w:t>
            </w:r>
          </w:p>
        </w:tc>
        <w:tc>
          <w:tcPr>
            <w:tcW w:w="2447" w:type="dxa"/>
          </w:tcPr>
          <w:p w14:paraId="2FA2A9F4"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0.35</w:t>
            </w:r>
          </w:p>
        </w:tc>
        <w:tc>
          <w:tcPr>
            <w:tcW w:w="2447" w:type="dxa"/>
          </w:tcPr>
          <w:p w14:paraId="0E5EBD6D"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0.46</w:t>
            </w:r>
          </w:p>
        </w:tc>
      </w:tr>
      <w:tr w:rsidR="005B75A2" w14:paraId="63D56CE3" w14:textId="77777777" w:rsidTr="00B41991">
        <w:trPr>
          <w:trHeight w:val="358"/>
        </w:trPr>
        <w:tc>
          <w:tcPr>
            <w:tcW w:w="2447" w:type="dxa"/>
          </w:tcPr>
          <w:p w14:paraId="00EE93CD"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 xml:space="preserve">Debt to Assets </w:t>
            </w:r>
          </w:p>
        </w:tc>
        <w:tc>
          <w:tcPr>
            <w:tcW w:w="2447" w:type="dxa"/>
          </w:tcPr>
          <w:p w14:paraId="5BA8E022"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0.12</w:t>
            </w:r>
          </w:p>
        </w:tc>
        <w:tc>
          <w:tcPr>
            <w:tcW w:w="2447" w:type="dxa"/>
          </w:tcPr>
          <w:p w14:paraId="78AB6F30"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0.15</w:t>
            </w:r>
          </w:p>
        </w:tc>
      </w:tr>
      <w:tr w:rsidR="005B75A2" w14:paraId="21F18519" w14:textId="77777777" w:rsidTr="00B41991">
        <w:trPr>
          <w:trHeight w:val="337"/>
        </w:trPr>
        <w:tc>
          <w:tcPr>
            <w:tcW w:w="2447" w:type="dxa"/>
          </w:tcPr>
          <w:p w14:paraId="0DBF2266"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 xml:space="preserve">Times interest earned </w:t>
            </w:r>
          </w:p>
        </w:tc>
        <w:tc>
          <w:tcPr>
            <w:tcW w:w="2447" w:type="dxa"/>
          </w:tcPr>
          <w:p w14:paraId="7897660A"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14.04</w:t>
            </w:r>
          </w:p>
        </w:tc>
        <w:tc>
          <w:tcPr>
            <w:tcW w:w="2447" w:type="dxa"/>
          </w:tcPr>
          <w:p w14:paraId="6332764E"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5.72</w:t>
            </w:r>
          </w:p>
        </w:tc>
      </w:tr>
      <w:tr w:rsidR="005B75A2" w14:paraId="49F932DE" w14:textId="77777777" w:rsidTr="00B41991">
        <w:trPr>
          <w:trHeight w:val="358"/>
        </w:trPr>
        <w:tc>
          <w:tcPr>
            <w:tcW w:w="2447" w:type="dxa"/>
          </w:tcPr>
          <w:p w14:paraId="498BE619" w14:textId="77777777" w:rsidR="005B75A2" w:rsidRPr="00B41991" w:rsidRDefault="005B75A2" w:rsidP="005B75A2">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FCFE per share</w:t>
            </w:r>
          </w:p>
        </w:tc>
        <w:tc>
          <w:tcPr>
            <w:tcW w:w="2447" w:type="dxa"/>
          </w:tcPr>
          <w:p w14:paraId="17073B01"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(3.28)</w:t>
            </w:r>
          </w:p>
        </w:tc>
        <w:tc>
          <w:tcPr>
            <w:tcW w:w="2447" w:type="dxa"/>
          </w:tcPr>
          <w:p w14:paraId="0B6F5AC0" w14:textId="77777777" w:rsidR="005B75A2" w:rsidRDefault="005B75A2" w:rsidP="005B75A2">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(3.74)</w:t>
            </w:r>
          </w:p>
        </w:tc>
      </w:tr>
    </w:tbl>
    <w:p w14:paraId="3EFF9A86" w14:textId="41D3372D" w:rsidR="005B75A2" w:rsidRDefault="005B75A2" w:rsidP="00B376A2">
      <w:pPr>
        <w:pStyle w:val="comp"/>
        <w:shd w:val="clear" w:color="auto" w:fill="FFFFFF"/>
        <w:spacing w:before="0" w:beforeAutospacing="0"/>
        <w:rPr>
          <w:rFonts w:asciiTheme="minorHAnsi" w:hAnsiTheme="minorHAnsi" w:cstheme="minorHAnsi"/>
          <w:color w:val="111111"/>
          <w:spacing w:val="1"/>
        </w:rPr>
      </w:pPr>
      <w:r>
        <w:rPr>
          <w:rFonts w:asciiTheme="minorHAnsi" w:hAnsiTheme="minorHAnsi" w:cstheme="minorHAnsi"/>
          <w:color w:val="111111"/>
          <w:spacing w:val="1"/>
        </w:rPr>
        <w:t>Financial leverage based on computed solvency ratios appears to have worsened from the figures below:</w:t>
      </w:r>
    </w:p>
    <w:p w14:paraId="77DAE038" w14:textId="77777777" w:rsidR="005B75A2" w:rsidRDefault="005B75A2" w:rsidP="00B376A2">
      <w:pPr>
        <w:pStyle w:val="comp"/>
        <w:shd w:val="clear" w:color="auto" w:fill="FFFFFF"/>
        <w:spacing w:before="0" w:beforeAutospacing="0"/>
        <w:rPr>
          <w:rFonts w:asciiTheme="minorHAnsi" w:hAnsiTheme="minorHAnsi" w:cstheme="minorHAnsi"/>
          <w:color w:val="111111"/>
          <w:spacing w:val="1"/>
        </w:rPr>
      </w:pPr>
    </w:p>
    <w:p w14:paraId="4B26F9EB" w14:textId="77777777" w:rsidR="005B75A2" w:rsidRPr="004A27EC" w:rsidRDefault="005B75A2" w:rsidP="00B376A2">
      <w:pPr>
        <w:pStyle w:val="comp"/>
        <w:shd w:val="clear" w:color="auto" w:fill="FFFFFF"/>
        <w:spacing w:before="0" w:beforeAutospacing="0"/>
        <w:rPr>
          <w:rFonts w:asciiTheme="minorHAnsi" w:hAnsiTheme="minorHAnsi" w:cstheme="minorHAnsi"/>
          <w:color w:val="111111"/>
          <w:spacing w:val="1"/>
        </w:rPr>
      </w:pPr>
    </w:p>
    <w:p w14:paraId="22347C11" w14:textId="6AA50AF6" w:rsidR="004A27EC" w:rsidRDefault="004A27EC" w:rsidP="00B376A2">
      <w:pPr>
        <w:pStyle w:val="comp"/>
        <w:shd w:val="clear" w:color="auto" w:fill="FFFFFF"/>
        <w:spacing w:before="0" w:beforeAutospacing="0"/>
        <w:rPr>
          <w:rFonts w:asciiTheme="minorHAnsi" w:hAnsiTheme="minorHAnsi" w:cstheme="minorHAnsi"/>
          <w:color w:val="111111"/>
          <w:spacing w:val="1"/>
        </w:rPr>
      </w:pPr>
    </w:p>
    <w:p w14:paraId="651BF704" w14:textId="0D439DB3" w:rsidR="00B376A2" w:rsidRDefault="00B550CC" w:rsidP="00B376A2">
      <w:pPr>
        <w:pStyle w:val="comp"/>
        <w:shd w:val="clear" w:color="auto" w:fill="FFFFFF"/>
        <w:spacing w:before="0" w:beforeAutospacing="0"/>
        <w:rPr>
          <w:rFonts w:asciiTheme="minorHAnsi" w:hAnsiTheme="minorHAnsi" w:cstheme="minorHAnsi"/>
          <w:color w:val="111111"/>
          <w:spacing w:val="1"/>
        </w:rPr>
      </w:pPr>
      <w:r w:rsidRPr="00205FA8">
        <w:rPr>
          <w:rFonts w:asciiTheme="minorHAnsi" w:hAnsiTheme="minorHAnsi" w:cstheme="minorHAnsi"/>
          <w:color w:val="111111"/>
          <w:spacing w:val="1"/>
        </w:rPr>
        <w:t xml:space="preserve">D/E increased by 0.11 from 0.35 in 2021 to 0.46 in 2022. While these numbers appear to be relatively comfortable, we still have to recognise that debt now accounts for 46% of equity in comparison to 35% the previous year, whilst debt now finances 15% of assets; a 3% increase from 12% in 2021. </w:t>
      </w:r>
      <w:r w:rsidR="00205FA8">
        <w:rPr>
          <w:rFonts w:asciiTheme="minorHAnsi" w:hAnsiTheme="minorHAnsi" w:cstheme="minorHAnsi"/>
          <w:color w:val="111111"/>
          <w:spacing w:val="1"/>
        </w:rPr>
        <w:t>Taking a closer look at debt to tangible assets, we saw a 20% increase in this ratio from 2021 to 2022 from 0.25 to 0.3, which means that currently almost 30% of Amazons tangible assets</w:t>
      </w:r>
      <w:r w:rsidR="001C7C6B">
        <w:rPr>
          <w:rFonts w:asciiTheme="minorHAnsi" w:hAnsiTheme="minorHAnsi" w:cstheme="minorHAnsi"/>
          <w:color w:val="111111"/>
          <w:spacing w:val="1"/>
        </w:rPr>
        <w:t xml:space="preserve"> are financed by debt and need to be paid off over time.</w:t>
      </w:r>
      <w:r w:rsidR="00205FA8">
        <w:rPr>
          <w:rFonts w:asciiTheme="minorHAnsi" w:hAnsiTheme="minorHAnsi" w:cstheme="minorHAnsi"/>
          <w:color w:val="111111"/>
          <w:spacing w:val="1"/>
        </w:rPr>
        <w:t xml:space="preserve"> </w:t>
      </w:r>
      <w:r w:rsidRPr="00205FA8">
        <w:rPr>
          <w:rFonts w:asciiTheme="minorHAnsi" w:hAnsiTheme="minorHAnsi" w:cstheme="minorHAnsi"/>
          <w:color w:val="111111"/>
          <w:spacing w:val="1"/>
        </w:rPr>
        <w:t xml:space="preserve">From an investors perspective these </w:t>
      </w:r>
      <w:r w:rsidR="00205FA8" w:rsidRPr="00205FA8">
        <w:rPr>
          <w:rFonts w:asciiTheme="minorHAnsi" w:hAnsiTheme="minorHAnsi" w:cstheme="minorHAnsi"/>
          <w:color w:val="111111"/>
          <w:spacing w:val="1"/>
        </w:rPr>
        <w:t>increases</w:t>
      </w:r>
      <w:r w:rsidRPr="00205FA8">
        <w:rPr>
          <w:rFonts w:asciiTheme="minorHAnsi" w:hAnsiTheme="minorHAnsi" w:cstheme="minorHAnsi"/>
          <w:color w:val="111111"/>
          <w:spacing w:val="1"/>
        </w:rPr>
        <w:t xml:space="preserve"> in key ratios would inhibit Amazons ability </w:t>
      </w:r>
      <w:r w:rsidR="00205FA8" w:rsidRPr="00205FA8">
        <w:rPr>
          <w:rFonts w:asciiTheme="minorHAnsi" w:hAnsiTheme="minorHAnsi" w:cstheme="minorHAnsi"/>
          <w:color w:val="111111"/>
          <w:spacing w:val="1"/>
        </w:rPr>
        <w:t>to create a cash surplus than before, detailing a decrease in the financial health of Amazon</w:t>
      </w:r>
      <w:r w:rsidR="00205FA8">
        <w:rPr>
          <w:rFonts w:asciiTheme="minorHAnsi" w:hAnsiTheme="minorHAnsi" w:cstheme="minorHAnsi"/>
          <w:color w:val="111111"/>
          <w:spacing w:val="1"/>
        </w:rPr>
        <w:t>.</w:t>
      </w:r>
      <w:r w:rsidR="001C7C6B">
        <w:rPr>
          <w:rFonts w:asciiTheme="minorHAnsi" w:hAnsiTheme="minorHAnsi" w:cstheme="minorHAnsi"/>
          <w:color w:val="111111"/>
          <w:spacing w:val="1"/>
        </w:rPr>
        <w:t xml:space="preserve"> However, these rations on a whole are comfortable. </w:t>
      </w:r>
    </w:p>
    <w:p w14:paraId="7CF0546F" w14:textId="0C2E4BA9" w:rsidR="00C51497" w:rsidRDefault="001C7C6B" w:rsidP="00B376A2">
      <w:pPr>
        <w:pStyle w:val="comp"/>
        <w:shd w:val="clear" w:color="auto" w:fill="FFFFFF"/>
        <w:spacing w:before="0" w:beforeAutospacing="0"/>
        <w:rPr>
          <w:rFonts w:asciiTheme="minorHAnsi" w:hAnsiTheme="minorHAnsi" w:cstheme="minorHAnsi"/>
          <w:color w:val="111111"/>
          <w:spacing w:val="1"/>
        </w:rPr>
      </w:pPr>
      <w:r>
        <w:rPr>
          <w:rFonts w:asciiTheme="minorHAnsi" w:hAnsiTheme="minorHAnsi" w:cstheme="minorHAnsi"/>
          <w:color w:val="111111"/>
          <w:spacing w:val="1"/>
        </w:rPr>
        <w:t xml:space="preserve">In relation to Asset utilization, all fingers point to the fact that the company’s financial health has decreased and indicate that Amazon isn’t efficiently using it assets to generate the maximum revenue. Between 2021 and 2022, Asset turnover ratio decreased by roughly 8%, a true indication of a drop in efficiency. This is also aided by a decrease in inventory turnover from </w:t>
      </w:r>
      <w:r w:rsidR="00C51497">
        <w:rPr>
          <w:rFonts w:asciiTheme="minorHAnsi" w:hAnsiTheme="minorHAnsi" w:cstheme="minorHAnsi"/>
          <w:color w:val="111111"/>
          <w:spacing w:val="1"/>
        </w:rPr>
        <w:t>9.65 to 8.62 as well as fixed asset turnover ratio dropping by 13%</w:t>
      </w:r>
    </w:p>
    <w:tbl>
      <w:tblPr>
        <w:tblStyle w:val="TableGrid"/>
        <w:tblpPr w:leftFromText="180" w:rightFromText="180" w:horzAnchor="margin" w:tblpY="-565"/>
        <w:tblW w:w="0" w:type="auto"/>
        <w:tblLook w:val="04A0" w:firstRow="1" w:lastRow="0" w:firstColumn="1" w:lastColumn="0" w:noHBand="0" w:noVBand="1"/>
      </w:tblPr>
      <w:tblGrid>
        <w:gridCol w:w="1796"/>
        <w:gridCol w:w="1796"/>
        <w:gridCol w:w="1796"/>
      </w:tblGrid>
      <w:tr w:rsidR="00C51497" w14:paraId="58F8AA50" w14:textId="77777777" w:rsidTr="00B41991">
        <w:trPr>
          <w:trHeight w:val="307"/>
        </w:trPr>
        <w:tc>
          <w:tcPr>
            <w:tcW w:w="1796" w:type="dxa"/>
          </w:tcPr>
          <w:p w14:paraId="57ED2732" w14:textId="77777777" w:rsidR="00C51497" w:rsidRDefault="00C51497" w:rsidP="00B41991">
            <w:pPr>
              <w:pStyle w:val="comp"/>
              <w:spacing w:before="0" w:beforeAutospacing="0"/>
              <w:rPr>
                <w:rFonts w:asciiTheme="minorHAnsi" w:hAnsiTheme="minorHAnsi" w:cstheme="minorHAnsi"/>
                <w:color w:val="111111"/>
                <w:spacing w:val="1"/>
              </w:rPr>
            </w:pPr>
          </w:p>
        </w:tc>
        <w:tc>
          <w:tcPr>
            <w:tcW w:w="1796" w:type="dxa"/>
          </w:tcPr>
          <w:p w14:paraId="4005828E" w14:textId="5A22B837" w:rsidR="00C51497" w:rsidRPr="00C51497" w:rsidRDefault="00C51497" w:rsidP="00B41991">
            <w:pPr>
              <w:pStyle w:val="comp"/>
              <w:spacing w:before="0" w:beforeAutospacing="0"/>
              <w:jc w:val="center"/>
              <w:rPr>
                <w:rFonts w:asciiTheme="minorHAnsi" w:hAnsiTheme="minorHAnsi" w:cstheme="minorHAnsi"/>
                <w:b/>
                <w:bCs/>
                <w:color w:val="111111"/>
                <w:spacing w:val="1"/>
              </w:rPr>
            </w:pPr>
            <w:r w:rsidRPr="00C51497">
              <w:rPr>
                <w:rFonts w:asciiTheme="minorHAnsi" w:hAnsiTheme="minorHAnsi" w:cstheme="minorHAnsi"/>
                <w:b/>
                <w:bCs/>
                <w:color w:val="111111"/>
                <w:spacing w:val="1"/>
              </w:rPr>
              <w:t>2021</w:t>
            </w:r>
          </w:p>
        </w:tc>
        <w:tc>
          <w:tcPr>
            <w:tcW w:w="1796" w:type="dxa"/>
          </w:tcPr>
          <w:p w14:paraId="2E6E4FD0" w14:textId="0A926F92" w:rsidR="00C51497" w:rsidRPr="00C51497" w:rsidRDefault="00C51497" w:rsidP="00B41991">
            <w:pPr>
              <w:pStyle w:val="comp"/>
              <w:spacing w:before="0" w:beforeAutospacing="0"/>
              <w:jc w:val="center"/>
              <w:rPr>
                <w:rFonts w:asciiTheme="minorHAnsi" w:hAnsiTheme="minorHAnsi" w:cstheme="minorHAnsi"/>
                <w:b/>
                <w:bCs/>
                <w:color w:val="111111"/>
                <w:spacing w:val="1"/>
              </w:rPr>
            </w:pPr>
            <w:r w:rsidRPr="00C51497">
              <w:rPr>
                <w:rFonts w:asciiTheme="minorHAnsi" w:hAnsiTheme="minorHAnsi" w:cstheme="minorHAnsi"/>
                <w:b/>
                <w:bCs/>
                <w:color w:val="111111"/>
                <w:spacing w:val="1"/>
              </w:rPr>
              <w:t>2022</w:t>
            </w:r>
          </w:p>
        </w:tc>
      </w:tr>
      <w:tr w:rsidR="00C51497" w14:paraId="5FD6226A" w14:textId="77777777" w:rsidTr="00B41991">
        <w:trPr>
          <w:trHeight w:val="288"/>
        </w:trPr>
        <w:tc>
          <w:tcPr>
            <w:tcW w:w="1796" w:type="dxa"/>
          </w:tcPr>
          <w:p w14:paraId="56AAB167" w14:textId="4BEBBAB1"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P/E</w:t>
            </w:r>
          </w:p>
        </w:tc>
        <w:tc>
          <w:tcPr>
            <w:tcW w:w="1796" w:type="dxa"/>
          </w:tcPr>
          <w:p w14:paraId="6D649D4C" w14:textId="313BBA76"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38.10</w:t>
            </w:r>
          </w:p>
        </w:tc>
        <w:tc>
          <w:tcPr>
            <w:tcW w:w="1796" w:type="dxa"/>
          </w:tcPr>
          <w:p w14:paraId="47F3677E" w14:textId="3B81D158"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(457.15)</w:t>
            </w:r>
          </w:p>
        </w:tc>
      </w:tr>
      <w:tr w:rsidR="00C51497" w14:paraId="6EA3E335" w14:textId="77777777" w:rsidTr="00B41991">
        <w:trPr>
          <w:trHeight w:val="307"/>
        </w:trPr>
        <w:tc>
          <w:tcPr>
            <w:tcW w:w="1796" w:type="dxa"/>
          </w:tcPr>
          <w:p w14:paraId="34F32DF3" w14:textId="56529C6D"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EPS</w:t>
            </w:r>
          </w:p>
        </w:tc>
        <w:tc>
          <w:tcPr>
            <w:tcW w:w="1796" w:type="dxa"/>
          </w:tcPr>
          <w:p w14:paraId="70369D43" w14:textId="32E2914B"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3.24</w:t>
            </w:r>
          </w:p>
        </w:tc>
        <w:tc>
          <w:tcPr>
            <w:tcW w:w="1796" w:type="dxa"/>
          </w:tcPr>
          <w:p w14:paraId="7A3C194F" w14:textId="485B1F36"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(0.27)</w:t>
            </w:r>
          </w:p>
        </w:tc>
      </w:tr>
      <w:tr w:rsidR="00C51497" w14:paraId="7122FA93" w14:textId="77777777" w:rsidTr="00B41991">
        <w:trPr>
          <w:trHeight w:val="288"/>
        </w:trPr>
        <w:tc>
          <w:tcPr>
            <w:tcW w:w="1796" w:type="dxa"/>
          </w:tcPr>
          <w:p w14:paraId="20505DAB" w14:textId="78708927"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ROA</w:t>
            </w:r>
          </w:p>
        </w:tc>
        <w:tc>
          <w:tcPr>
            <w:tcW w:w="1796" w:type="dxa"/>
          </w:tcPr>
          <w:p w14:paraId="462634E0" w14:textId="3D06AFDC"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0.04</w:t>
            </w:r>
          </w:p>
        </w:tc>
        <w:tc>
          <w:tcPr>
            <w:tcW w:w="1796" w:type="dxa"/>
          </w:tcPr>
          <w:p w14:paraId="42C7415A" w14:textId="65CE6767"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(0.003)</w:t>
            </w:r>
          </w:p>
        </w:tc>
      </w:tr>
      <w:tr w:rsidR="00C51497" w14:paraId="0A88553C" w14:textId="77777777" w:rsidTr="00B41991">
        <w:trPr>
          <w:trHeight w:val="307"/>
        </w:trPr>
        <w:tc>
          <w:tcPr>
            <w:tcW w:w="1796" w:type="dxa"/>
          </w:tcPr>
          <w:p w14:paraId="65F3D448" w14:textId="1CF5C761" w:rsidR="00C51497" w:rsidRPr="00B41991" w:rsidRDefault="00C51497" w:rsidP="00B41991">
            <w:pPr>
              <w:pStyle w:val="comp"/>
              <w:spacing w:before="0" w:beforeAutospacing="0"/>
              <w:rPr>
                <w:rFonts w:asciiTheme="minorHAnsi" w:hAnsiTheme="minorHAnsi" w:cstheme="minorHAnsi"/>
                <w:b/>
                <w:bCs/>
                <w:color w:val="111111"/>
                <w:spacing w:val="1"/>
              </w:rPr>
            </w:pPr>
            <w:r w:rsidRPr="00B41991">
              <w:rPr>
                <w:rFonts w:asciiTheme="minorHAnsi" w:hAnsiTheme="minorHAnsi" w:cstheme="minorHAnsi"/>
                <w:b/>
                <w:bCs/>
                <w:color w:val="111111"/>
                <w:spacing w:val="1"/>
              </w:rPr>
              <w:t>ROE</w:t>
            </w:r>
          </w:p>
        </w:tc>
        <w:tc>
          <w:tcPr>
            <w:tcW w:w="1796" w:type="dxa"/>
          </w:tcPr>
          <w:p w14:paraId="5623CA29" w14:textId="728B77D1"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0.24</w:t>
            </w:r>
          </w:p>
        </w:tc>
        <w:tc>
          <w:tcPr>
            <w:tcW w:w="1796" w:type="dxa"/>
          </w:tcPr>
          <w:p w14:paraId="360F7856" w14:textId="43F70BC1" w:rsidR="00C51497" w:rsidRDefault="00C51497" w:rsidP="00B41991">
            <w:pPr>
              <w:pStyle w:val="comp"/>
              <w:spacing w:before="0" w:beforeAutospacing="0"/>
              <w:rPr>
                <w:rFonts w:asciiTheme="minorHAnsi" w:hAnsiTheme="minorHAnsi" w:cstheme="minorHAnsi"/>
                <w:color w:val="111111"/>
                <w:spacing w:val="1"/>
              </w:rPr>
            </w:pPr>
            <w:r>
              <w:rPr>
                <w:rFonts w:asciiTheme="minorHAnsi" w:hAnsiTheme="minorHAnsi" w:cstheme="minorHAnsi"/>
                <w:color w:val="111111"/>
                <w:spacing w:val="1"/>
              </w:rPr>
              <w:t>(0.02)</w:t>
            </w:r>
          </w:p>
        </w:tc>
      </w:tr>
    </w:tbl>
    <w:p w14:paraId="67194831" w14:textId="77777777" w:rsidR="00C51497" w:rsidRDefault="00C51497" w:rsidP="00B376A2">
      <w:pPr>
        <w:pStyle w:val="comp"/>
        <w:shd w:val="clear" w:color="auto" w:fill="FFFFFF"/>
        <w:spacing w:before="0" w:beforeAutospacing="0"/>
        <w:rPr>
          <w:rFonts w:asciiTheme="minorHAnsi" w:hAnsiTheme="minorHAnsi" w:cstheme="minorHAnsi"/>
          <w:color w:val="111111"/>
          <w:spacing w:val="1"/>
        </w:rPr>
      </w:pPr>
    </w:p>
    <w:p w14:paraId="7737F7D1" w14:textId="392AF66E" w:rsidR="001C7C6B" w:rsidRDefault="001C7C6B" w:rsidP="00B376A2">
      <w:pPr>
        <w:pStyle w:val="comp"/>
        <w:shd w:val="clear" w:color="auto" w:fill="FFFFFF"/>
        <w:spacing w:before="0" w:beforeAutospacing="0"/>
        <w:rPr>
          <w:rFonts w:asciiTheme="minorHAnsi" w:hAnsiTheme="minorHAnsi" w:cstheme="minorHAnsi"/>
          <w:color w:val="111111"/>
          <w:spacing w:val="1"/>
        </w:rPr>
      </w:pPr>
    </w:p>
    <w:p w14:paraId="37872232" w14:textId="3DB8725D" w:rsidR="007B6E41" w:rsidRDefault="00B41991" w:rsidP="007B6E41">
      <w:r>
        <w:t>In my opinions, the investor ratios really summarised the current state of amazon as well as it’s financial health. We witness a decrease across all boards from 2021 to 2022, which</w:t>
      </w:r>
      <w:r w:rsidR="007B6E41">
        <w:t xml:space="preserve"> i</w:t>
      </w:r>
      <w:r>
        <w:t>ndicates that investors would be getting less return for their investment if they w</w:t>
      </w:r>
      <w:r w:rsidR="007B6E41">
        <w:t xml:space="preserve">ere to and also indicates that Amazons profitability has decreased of the past year. The company is earning negative </w:t>
      </w:r>
      <w:r w:rsidR="007B6E41">
        <w:t xml:space="preserve">earnings per share </w:t>
      </w:r>
      <w:r w:rsidR="007B6E41">
        <w:t>with negative</w:t>
      </w:r>
      <w:r w:rsidR="007B6E41">
        <w:t xml:space="preserve"> P/E ratio; ultimately meaning Amazon are losing money. </w:t>
      </w:r>
    </w:p>
    <w:p w14:paraId="5D1176DB" w14:textId="77777777" w:rsidR="00697519" w:rsidRDefault="00697519"/>
    <w:p w14:paraId="0BB23566" w14:textId="53C8394B" w:rsidR="007B6E41" w:rsidRDefault="007B6E41">
      <w:r>
        <w:t>Furthermore</w:t>
      </w:r>
      <w:r w:rsidR="00697519">
        <w:t xml:space="preserve">, with negative returns on </w:t>
      </w:r>
      <w:r>
        <w:t xml:space="preserve">both </w:t>
      </w:r>
      <w:r w:rsidR="00697519">
        <w:t xml:space="preserve">their </w:t>
      </w:r>
      <w:r>
        <w:t>assets</w:t>
      </w:r>
      <w:r w:rsidR="00697519">
        <w:t>(ROA)</w:t>
      </w:r>
      <w:r>
        <w:t xml:space="preserve"> and equity</w:t>
      </w:r>
      <w:r w:rsidR="00697519">
        <w:t>(ROE);</w:t>
      </w:r>
      <w:r>
        <w:t xml:space="preserve"> which is largely off putting for </w:t>
      </w:r>
      <w:r w:rsidR="00697519">
        <w:t>investors and</w:t>
      </w:r>
      <w:r>
        <w:t xml:space="preserve"> pairing that with current low investment due to high interest rates and inflation, this could spell bad news for Amazon.</w:t>
      </w:r>
    </w:p>
    <w:p w14:paraId="64CF1273" w14:textId="77777777" w:rsidR="007B6E41" w:rsidRDefault="007B6E41"/>
    <w:p w14:paraId="1C3B1B7B" w14:textId="58089AB5" w:rsidR="007B6E41" w:rsidRDefault="007B6E41"/>
    <w:p w14:paraId="0B8E0C7A" w14:textId="4003AA2E" w:rsidR="007B6E41" w:rsidRDefault="007B6E41"/>
    <w:p w14:paraId="7600E774" w14:textId="77777777" w:rsidR="00B82153" w:rsidRDefault="00B82153"/>
    <w:p w14:paraId="1E35A5A7" w14:textId="77777777" w:rsidR="00B82153" w:rsidRDefault="00B82153"/>
    <w:p w14:paraId="23012B50" w14:textId="77777777" w:rsidR="00B82153" w:rsidRDefault="00B82153"/>
    <w:p w14:paraId="0B14109C" w14:textId="77777777" w:rsidR="00B82153" w:rsidRDefault="00B82153"/>
    <w:p w14:paraId="45A7CC9D" w14:textId="77777777" w:rsidR="00B82153" w:rsidRDefault="00B82153"/>
    <w:p w14:paraId="23CCB160" w14:textId="77777777" w:rsidR="00B82153" w:rsidRDefault="00B82153"/>
    <w:p w14:paraId="02AAEFF8" w14:textId="77777777" w:rsidR="00B82153" w:rsidRPr="00B82153" w:rsidRDefault="00B82153" w:rsidP="00B82153">
      <w:pPr>
        <w:rPr>
          <w:rFonts w:ascii="Times New Roman" w:eastAsia="Times New Roman" w:hAnsi="Times New Roman" w:cs="Times New Roman"/>
          <w:kern w:val="0"/>
          <w:lang w:eastAsia="en-GB"/>
          <w14:ligatures w14:val="none"/>
        </w:rPr>
      </w:pPr>
    </w:p>
    <w:p w14:paraId="2BF703A6" w14:textId="77777777" w:rsidR="00B82153" w:rsidRDefault="00B82153"/>
    <w:p w14:paraId="1A69D7B8" w14:textId="77777777" w:rsidR="004A27EC" w:rsidRDefault="004A27EC"/>
    <w:p w14:paraId="3C7A9DE5" w14:textId="77777777" w:rsidR="004A27EC" w:rsidRDefault="004A27EC"/>
    <w:p w14:paraId="1DE109B0" w14:textId="583E543B" w:rsidR="004A27EC" w:rsidRDefault="004A27EC"/>
    <w:p w14:paraId="6A32405C" w14:textId="24DBFCF7" w:rsidR="00756ED6" w:rsidRDefault="00756ED6"/>
    <w:p w14:paraId="268446A8" w14:textId="3B9753FA" w:rsidR="00756ED6" w:rsidRDefault="00756ED6"/>
    <w:p w14:paraId="377D7975" w14:textId="63A95CF6" w:rsidR="00756ED6" w:rsidRDefault="00756ED6"/>
    <w:p w14:paraId="0A6028DC" w14:textId="77777777" w:rsidR="00756ED6" w:rsidRDefault="00756ED6"/>
    <w:p w14:paraId="18444BDA" w14:textId="77777777" w:rsidR="004A27EC" w:rsidRDefault="004A27EC"/>
    <w:p w14:paraId="2557185D" w14:textId="77777777" w:rsidR="004A27EC" w:rsidRDefault="004A27EC"/>
    <w:p w14:paraId="63D42AC2" w14:textId="4710DFAB" w:rsidR="007B6E41" w:rsidRDefault="007B6E41">
      <w:hyperlink r:id="rId5" w:history="1">
        <w:r w:rsidRPr="001F07D4">
          <w:rPr>
            <w:rStyle w:val="Hyperlink"/>
          </w:rPr>
          <w:t>https://www.investopedia.com/terms</w:t>
        </w:r>
        <w:r w:rsidRPr="001F07D4">
          <w:rPr>
            <w:rStyle w:val="Hyperlink"/>
          </w:rPr>
          <w:t>/</w:t>
        </w:r>
        <w:r w:rsidRPr="001F07D4">
          <w:rPr>
            <w:rStyle w:val="Hyperlink"/>
          </w:rPr>
          <w:t>p/profitabilityratios.asp</w:t>
        </w:r>
      </w:hyperlink>
    </w:p>
    <w:p w14:paraId="46EA2F64" w14:textId="21B9ACC4" w:rsidR="007B6E41" w:rsidRDefault="004A27EC">
      <w:r w:rsidRPr="004A27EC">
        <w:t xml:space="preserve"> </w:t>
      </w:r>
    </w:p>
    <w:p w14:paraId="06A127D7" w14:textId="2128F0AA" w:rsidR="004A27EC" w:rsidRDefault="004A27EC">
      <w:r>
        <w:fldChar w:fldCharType="begin"/>
      </w:r>
      <w:r>
        <w:instrText xml:space="preserve"> HYPERLINK "</w:instrText>
      </w:r>
      <w:r w:rsidRPr="004A27EC">
        <w:instrText>https://www.forbes.com/sites/forbesbusinesscouncil/2021/03/31/3-reasons-why-amazon-will-likely-continue-to-gain-e-commerce-market-share/?sh=25888ea13ab8</w:instrText>
      </w:r>
      <w:r>
        <w:instrText xml:space="preserve">" </w:instrText>
      </w:r>
      <w:r>
        <w:fldChar w:fldCharType="separate"/>
      </w:r>
      <w:r w:rsidRPr="001F07D4">
        <w:rPr>
          <w:rStyle w:val="Hyperlink"/>
        </w:rPr>
        <w:t>https://www.forbes.com/sites/forbesbusinesscouncil/2021/03/31/3-reasons-why-amazon-will-likely-continue-to-gain-e-commerce-market-share/?sh=25888ea13ab8</w:t>
      </w:r>
      <w:r>
        <w:fldChar w:fldCharType="end"/>
      </w:r>
    </w:p>
    <w:p w14:paraId="3AA55B5C" w14:textId="77777777" w:rsidR="007B6E41" w:rsidRDefault="007B6E41"/>
    <w:p w14:paraId="4E439E5E" w14:textId="023F18B5" w:rsidR="004A27EC" w:rsidRDefault="004A27EC">
      <w:hyperlink r:id="rId6" w:history="1">
        <w:r w:rsidRPr="001F07D4">
          <w:rPr>
            <w:rStyle w:val="Hyperlink"/>
          </w:rPr>
          <w:t>https://www.cnbc.com/2022/12/29/amazon-shed-half-its-value-in-2022-as-tech-stocks-got-crushed.html#:~:text=Much%20of%20Amazon's%20misfortunes%20are,reasons%20to%20exit%20the%20stock</w:t>
        </w:r>
      </w:hyperlink>
      <w:r w:rsidRPr="004A27EC">
        <w:t>.</w:t>
      </w:r>
    </w:p>
    <w:p w14:paraId="49A38888" w14:textId="77777777" w:rsidR="007B6E41" w:rsidRDefault="007B6E41"/>
    <w:p w14:paraId="6FD396B6" w14:textId="22EAE43E" w:rsidR="004A27EC" w:rsidRDefault="004A27EC">
      <w:hyperlink r:id="rId7" w:history="1">
        <w:r w:rsidRPr="001F07D4">
          <w:rPr>
            <w:rStyle w:val="Hyperlink"/>
          </w:rPr>
          <w:t>https://thecurrent.media/amazon-retail-media-share#:~:text=Amazon%20is%20the%20dominant%20force,ad%20spend%20in%20retail%20media</w:t>
        </w:r>
      </w:hyperlink>
      <w:r w:rsidRPr="004A27EC">
        <w:t>.</w:t>
      </w:r>
    </w:p>
    <w:p w14:paraId="79F27C87" w14:textId="77777777" w:rsidR="004A27EC" w:rsidRDefault="004A27EC"/>
    <w:sectPr w:rsidR="004A2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264D5"/>
    <w:multiLevelType w:val="hybridMultilevel"/>
    <w:tmpl w:val="B040F27C"/>
    <w:lvl w:ilvl="0" w:tplc="9954DA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117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3F"/>
    <w:rsid w:val="000239FC"/>
    <w:rsid w:val="000A0EBE"/>
    <w:rsid w:val="00164C75"/>
    <w:rsid w:val="001C7C6B"/>
    <w:rsid w:val="00205FA8"/>
    <w:rsid w:val="004A27EC"/>
    <w:rsid w:val="0050383B"/>
    <w:rsid w:val="005B75A2"/>
    <w:rsid w:val="00663898"/>
    <w:rsid w:val="00697519"/>
    <w:rsid w:val="00756ED6"/>
    <w:rsid w:val="00761F62"/>
    <w:rsid w:val="007B6E41"/>
    <w:rsid w:val="008F4836"/>
    <w:rsid w:val="00B376A2"/>
    <w:rsid w:val="00B41991"/>
    <w:rsid w:val="00B550CC"/>
    <w:rsid w:val="00B82153"/>
    <w:rsid w:val="00C51497"/>
    <w:rsid w:val="00C71483"/>
    <w:rsid w:val="00C76B3F"/>
    <w:rsid w:val="00C76B7C"/>
    <w:rsid w:val="00CE65C1"/>
    <w:rsid w:val="00D47447"/>
    <w:rsid w:val="00D905D5"/>
    <w:rsid w:val="00E33804"/>
    <w:rsid w:val="00E543D8"/>
    <w:rsid w:val="00EC5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29CB"/>
  <w15:chartTrackingRefBased/>
  <w15:docId w15:val="{F9A7F4DC-8493-074F-8289-2DA88F0B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43D8"/>
    <w:rPr>
      <w:color w:val="0000FF"/>
      <w:u w:val="single"/>
    </w:rPr>
  </w:style>
  <w:style w:type="paragraph" w:styleId="NormalWeb">
    <w:name w:val="Normal (Web)"/>
    <w:basedOn w:val="Normal"/>
    <w:uiPriority w:val="99"/>
    <w:semiHidden/>
    <w:unhideWhenUsed/>
    <w:rsid w:val="00CE65C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C71483"/>
    <w:pPr>
      <w:ind w:left="720"/>
      <w:contextualSpacing/>
    </w:pPr>
  </w:style>
  <w:style w:type="table" w:styleId="TableGrid">
    <w:name w:val="Table Grid"/>
    <w:basedOn w:val="TableNormal"/>
    <w:uiPriority w:val="39"/>
    <w:rsid w:val="0076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B376A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4A27EC"/>
    <w:rPr>
      <w:color w:val="605E5C"/>
      <w:shd w:val="clear" w:color="auto" w:fill="E1DFDD"/>
    </w:rPr>
  </w:style>
  <w:style w:type="character" w:styleId="FollowedHyperlink">
    <w:name w:val="FollowedHyperlink"/>
    <w:basedOn w:val="DefaultParagraphFont"/>
    <w:uiPriority w:val="99"/>
    <w:semiHidden/>
    <w:unhideWhenUsed/>
    <w:rsid w:val="007B6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3819">
      <w:bodyDiv w:val="1"/>
      <w:marLeft w:val="0"/>
      <w:marRight w:val="0"/>
      <w:marTop w:val="0"/>
      <w:marBottom w:val="0"/>
      <w:divBdr>
        <w:top w:val="none" w:sz="0" w:space="0" w:color="auto"/>
        <w:left w:val="none" w:sz="0" w:space="0" w:color="auto"/>
        <w:bottom w:val="none" w:sz="0" w:space="0" w:color="auto"/>
        <w:right w:val="none" w:sz="0" w:space="0" w:color="auto"/>
      </w:divBdr>
    </w:div>
    <w:div w:id="775056143">
      <w:bodyDiv w:val="1"/>
      <w:marLeft w:val="0"/>
      <w:marRight w:val="0"/>
      <w:marTop w:val="0"/>
      <w:marBottom w:val="0"/>
      <w:divBdr>
        <w:top w:val="none" w:sz="0" w:space="0" w:color="auto"/>
        <w:left w:val="none" w:sz="0" w:space="0" w:color="auto"/>
        <w:bottom w:val="none" w:sz="0" w:space="0" w:color="auto"/>
        <w:right w:val="none" w:sz="0" w:space="0" w:color="auto"/>
      </w:divBdr>
    </w:div>
    <w:div w:id="1140920309">
      <w:bodyDiv w:val="1"/>
      <w:marLeft w:val="0"/>
      <w:marRight w:val="0"/>
      <w:marTop w:val="0"/>
      <w:marBottom w:val="0"/>
      <w:divBdr>
        <w:top w:val="none" w:sz="0" w:space="0" w:color="auto"/>
        <w:left w:val="none" w:sz="0" w:space="0" w:color="auto"/>
        <w:bottom w:val="none" w:sz="0" w:space="0" w:color="auto"/>
        <w:right w:val="none" w:sz="0" w:space="0" w:color="auto"/>
      </w:divBdr>
    </w:div>
    <w:div w:id="1152988599">
      <w:bodyDiv w:val="1"/>
      <w:marLeft w:val="0"/>
      <w:marRight w:val="0"/>
      <w:marTop w:val="0"/>
      <w:marBottom w:val="0"/>
      <w:divBdr>
        <w:top w:val="none" w:sz="0" w:space="0" w:color="auto"/>
        <w:left w:val="none" w:sz="0" w:space="0" w:color="auto"/>
        <w:bottom w:val="none" w:sz="0" w:space="0" w:color="auto"/>
        <w:right w:val="none" w:sz="0" w:space="0" w:color="auto"/>
      </w:divBdr>
    </w:div>
    <w:div w:id="11684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current.media/amazon-retail-media-share#:~:text=Amazon%20is%20the%20dominant%20force,ad%20spend%20in%20retail%20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com/2022/12/29/amazon-shed-half-its-value-in-2022-as-tech-stocks-got-crushed.html#:~:text=Much%20of%20Amazon's%20misfortunes%20are,reasons%20to%20exit%20the%20stock" TargetMode="External"/><Relationship Id="rId5" Type="http://schemas.openxmlformats.org/officeDocument/2006/relationships/hyperlink" Target="https://www.investopedia.com/terms/p/profitabilityratios.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Adomakoh, André</dc:creator>
  <cp:keywords/>
  <dc:description/>
  <cp:lastModifiedBy>Adomakoh, André</cp:lastModifiedBy>
  <cp:revision>14</cp:revision>
  <dcterms:created xsi:type="dcterms:W3CDTF">2023-06-13T11:10:00Z</dcterms:created>
  <dcterms:modified xsi:type="dcterms:W3CDTF">2023-06-13T15:51:00Z</dcterms:modified>
</cp:coreProperties>
</file>