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83B65" w14:textId="77777777" w:rsidR="001611A6" w:rsidRPr="00E418FA" w:rsidRDefault="00F4086C" w:rsidP="00E418FA">
      <w:pPr>
        <w:jc w:val="center"/>
        <w:rPr>
          <w:b/>
        </w:rPr>
      </w:pPr>
      <w:r w:rsidRPr="00E418FA">
        <w:rPr>
          <w:b/>
        </w:rPr>
        <w:t>MARRIOTT INTERNATIONAL</w:t>
      </w:r>
      <w:r w:rsidR="006661D1" w:rsidRPr="00E418FA">
        <w:rPr>
          <w:b/>
        </w:rPr>
        <w:t>,</w:t>
      </w:r>
      <w:r w:rsidRPr="00E418FA">
        <w:rPr>
          <w:b/>
        </w:rPr>
        <w:t xml:space="preserve"> INC</w:t>
      </w:r>
    </w:p>
    <w:p w14:paraId="421B7A84" w14:textId="77777777" w:rsidR="00DB0C71" w:rsidRPr="00E418FA" w:rsidRDefault="00A717BF" w:rsidP="00DB0C71">
      <w:pPr>
        <w:rPr>
          <w:b/>
        </w:rPr>
      </w:pPr>
      <w:r w:rsidRPr="00E418FA">
        <w:rPr>
          <w:b/>
        </w:rPr>
        <w:t>Revenue Drivers</w:t>
      </w:r>
    </w:p>
    <w:tbl>
      <w:tblPr>
        <w:tblW w:w="10263" w:type="dxa"/>
        <w:tblLook w:val="04A0" w:firstRow="1" w:lastRow="0" w:firstColumn="1" w:lastColumn="0" w:noHBand="0" w:noVBand="1"/>
      </w:tblPr>
      <w:tblGrid>
        <w:gridCol w:w="3732"/>
        <w:gridCol w:w="1091"/>
        <w:gridCol w:w="1091"/>
        <w:gridCol w:w="1095"/>
        <w:gridCol w:w="1084"/>
        <w:gridCol w:w="1083"/>
        <w:gridCol w:w="1087"/>
      </w:tblGrid>
      <w:tr w:rsidR="00DC61C2" w:rsidRPr="00DC61C2" w14:paraId="43A31287" w14:textId="77777777" w:rsidTr="00840ED7">
        <w:trPr>
          <w:trHeight w:val="239"/>
        </w:trPr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F837" w14:textId="77777777" w:rsidR="00DC61C2" w:rsidRPr="00DC61C2" w:rsidRDefault="00DC61C2" w:rsidP="00DC6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1C2">
              <w:rPr>
                <w:rFonts w:ascii="Calibri" w:eastAsia="Times New Roman" w:hAnsi="Calibri" w:cs="Calibri"/>
                <w:b/>
                <w:bCs/>
                <w:color w:val="000000"/>
              </w:rPr>
              <w:t>Revenue Drivers</w:t>
            </w:r>
          </w:p>
        </w:tc>
        <w:tc>
          <w:tcPr>
            <w:tcW w:w="32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1CCB" w14:textId="77777777" w:rsidR="00DC61C2" w:rsidRPr="00DC61C2" w:rsidRDefault="00DC61C2" w:rsidP="00DC6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1C2">
              <w:rPr>
                <w:rFonts w:ascii="Calibri" w:eastAsia="Times New Roman" w:hAnsi="Calibri" w:cs="Calibri"/>
                <w:b/>
                <w:bCs/>
                <w:color w:val="000000"/>
              </w:rPr>
              <w:t>Amount ($)</w:t>
            </w:r>
          </w:p>
        </w:tc>
        <w:tc>
          <w:tcPr>
            <w:tcW w:w="325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F3DD0" w14:textId="77777777" w:rsidR="00DC61C2" w:rsidRPr="00DC61C2" w:rsidRDefault="00DC61C2" w:rsidP="00DC6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C61C2">
              <w:rPr>
                <w:rFonts w:ascii="Calibri" w:eastAsia="Times New Roman" w:hAnsi="Calibri" w:cs="Calibri"/>
                <w:b/>
                <w:bCs/>
                <w:color w:val="000000"/>
              </w:rPr>
              <w:t>Contribution (%)</w:t>
            </w:r>
          </w:p>
        </w:tc>
      </w:tr>
      <w:tr w:rsidR="00840ED7" w:rsidRPr="00DC61C2" w14:paraId="5DEF3E9C" w14:textId="77777777" w:rsidTr="00840ED7">
        <w:trPr>
          <w:trHeight w:val="239"/>
        </w:trPr>
        <w:tc>
          <w:tcPr>
            <w:tcW w:w="3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A733" w14:textId="77777777" w:rsidR="00DC61C2" w:rsidRPr="00DC61C2" w:rsidRDefault="00DC61C2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D276B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102E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AC86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553D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6B8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3E75A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  <w:tr w:rsidR="00840ED7" w:rsidRPr="00DC61C2" w14:paraId="10E968D7" w14:textId="77777777" w:rsidTr="00840ED7">
        <w:trPr>
          <w:trHeight w:val="239"/>
        </w:trPr>
        <w:tc>
          <w:tcPr>
            <w:tcW w:w="3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DB7C" w14:textId="77777777" w:rsidR="00DC61C2" w:rsidRPr="00DC61C2" w:rsidRDefault="00DC61C2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Base management fee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E04B3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443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535F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669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1F3A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1044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EB5B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4.14%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E27E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4.80%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2CCD9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</w:tr>
      <w:tr w:rsidR="00840ED7" w:rsidRPr="00DC61C2" w14:paraId="658832ED" w14:textId="77777777" w:rsidTr="00840ED7">
        <w:trPr>
          <w:trHeight w:val="239"/>
        </w:trPr>
        <w:tc>
          <w:tcPr>
            <w:tcW w:w="3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C8EF" w14:textId="77777777" w:rsidR="00DC61C2" w:rsidRPr="00DC61C2" w:rsidRDefault="00DC61C2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Franchise fee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67F1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1153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70B4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1790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6F4E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2505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EA282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10.77%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1E48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12.85%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F9947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12.01%</w:t>
            </w:r>
          </w:p>
        </w:tc>
      </w:tr>
      <w:tr w:rsidR="00840ED7" w:rsidRPr="00DC61C2" w14:paraId="35100F2C" w14:textId="77777777" w:rsidTr="00840ED7">
        <w:trPr>
          <w:trHeight w:val="239"/>
        </w:trPr>
        <w:tc>
          <w:tcPr>
            <w:tcW w:w="3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8AC9" w14:textId="77777777" w:rsidR="00DC61C2" w:rsidRPr="00DC61C2" w:rsidRDefault="00DC61C2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Incentive management fee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0EF2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3029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4AFE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529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D1A7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0.81%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FCA4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1.69%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DD48D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2.54%</w:t>
            </w:r>
          </w:p>
        </w:tc>
      </w:tr>
      <w:tr w:rsidR="00840ED7" w:rsidRPr="00DC61C2" w14:paraId="5EE4AC18" w14:textId="77777777" w:rsidTr="00840ED7">
        <w:trPr>
          <w:trHeight w:val="239"/>
        </w:trPr>
        <w:tc>
          <w:tcPr>
            <w:tcW w:w="3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2DEAE" w14:textId="77777777" w:rsidR="00DC61C2" w:rsidRPr="00DC61C2" w:rsidRDefault="00DC61C2" w:rsidP="003A01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 xml:space="preserve">Owned, </w:t>
            </w:r>
            <w:r w:rsidR="003A0100">
              <w:rPr>
                <w:rFonts w:ascii="Calibri" w:eastAsia="Times New Roman" w:hAnsi="Calibri" w:cs="Calibri"/>
                <w:color w:val="000000"/>
              </w:rPr>
              <w:t>leased</w:t>
            </w:r>
            <w:r w:rsidRPr="00DC61C2">
              <w:rPr>
                <w:rFonts w:ascii="Calibri" w:eastAsia="Times New Roman" w:hAnsi="Calibri" w:cs="Calibri"/>
                <w:color w:val="000000"/>
              </w:rPr>
              <w:t>, and other revenue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8EEF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568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1283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796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DB18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1367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07B3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5.31%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5203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5.71%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0442F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6.55%</w:t>
            </w:r>
          </w:p>
        </w:tc>
      </w:tr>
      <w:tr w:rsidR="00840ED7" w:rsidRPr="00DC61C2" w14:paraId="59142BD5" w14:textId="77777777" w:rsidTr="00840ED7">
        <w:trPr>
          <w:trHeight w:val="239"/>
        </w:trPr>
        <w:tc>
          <w:tcPr>
            <w:tcW w:w="37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F993" w14:textId="77777777" w:rsidR="00DC61C2" w:rsidRPr="00DC61C2" w:rsidRDefault="00DC61C2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Cost reimbursement fee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429D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8452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3C15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10442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AA33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15417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45AF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79%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3EA4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74.95%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DDAEB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74%</w:t>
            </w:r>
          </w:p>
        </w:tc>
      </w:tr>
      <w:tr w:rsidR="003A0100" w:rsidRPr="00DC61C2" w14:paraId="79B93542" w14:textId="77777777" w:rsidTr="00840ED7">
        <w:trPr>
          <w:trHeight w:val="250"/>
        </w:trPr>
        <w:tc>
          <w:tcPr>
            <w:tcW w:w="373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68A3" w14:textId="77777777" w:rsidR="00DC61C2" w:rsidRPr="00DC61C2" w:rsidRDefault="00DC61C2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Gross Revenue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52264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10703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FC77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13932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4C86" w14:textId="77777777" w:rsidR="00DC61C2" w:rsidRPr="00DC61C2" w:rsidRDefault="00DC61C2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20862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B514" w14:textId="77777777" w:rsidR="00DC61C2" w:rsidRPr="00DC61C2" w:rsidRDefault="00DC61C2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989B" w14:textId="77777777" w:rsidR="00DC61C2" w:rsidRPr="00DC61C2" w:rsidRDefault="00DC61C2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05211" w14:textId="77777777" w:rsidR="00DC61C2" w:rsidRPr="00DC61C2" w:rsidRDefault="00DC61C2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61C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A0100" w:rsidRPr="00DC61C2" w14:paraId="12D30CA9" w14:textId="77777777" w:rsidTr="00840ED7">
        <w:trPr>
          <w:trHeight w:val="250"/>
        </w:trPr>
        <w:tc>
          <w:tcPr>
            <w:tcW w:w="37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D1212" w14:textId="77777777" w:rsidR="003A0100" w:rsidRPr="00DC61C2" w:rsidRDefault="003A0100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B285D" w14:textId="77777777" w:rsidR="003A0100" w:rsidRPr="00DC61C2" w:rsidRDefault="003A0100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839E0" w14:textId="77777777" w:rsidR="003A0100" w:rsidRPr="00DC61C2" w:rsidRDefault="003A0100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01CB" w14:textId="77777777" w:rsidR="003A0100" w:rsidRPr="00DC61C2" w:rsidRDefault="003A0100" w:rsidP="00DC61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EA428" w14:textId="77777777" w:rsidR="003A0100" w:rsidRPr="00DC61C2" w:rsidRDefault="003A0100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C8373" w14:textId="77777777" w:rsidR="003A0100" w:rsidRPr="00DC61C2" w:rsidRDefault="003A0100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BA26E" w14:textId="77777777" w:rsidR="003A0100" w:rsidRPr="00DC61C2" w:rsidRDefault="003A0100" w:rsidP="00DC61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59979CC" w14:textId="77777777" w:rsidR="00DB0C71" w:rsidRDefault="00DB0C71" w:rsidP="00DB0C71"/>
    <w:p w14:paraId="2BE26F1D" w14:textId="77777777" w:rsidR="00EE3915" w:rsidRPr="00236EA8" w:rsidRDefault="00EE3915" w:rsidP="00DB0C71">
      <w:pPr>
        <w:rPr>
          <w:b/>
        </w:rPr>
      </w:pPr>
      <w:r w:rsidRPr="00236EA8">
        <w:rPr>
          <w:b/>
        </w:rPr>
        <w:t>Cost Drivers</w:t>
      </w:r>
    </w:p>
    <w:tbl>
      <w:tblPr>
        <w:tblW w:w="10380" w:type="dxa"/>
        <w:tblLook w:val="04A0" w:firstRow="1" w:lastRow="0" w:firstColumn="1" w:lastColumn="0" w:noHBand="0" w:noVBand="1"/>
      </w:tblPr>
      <w:tblGrid>
        <w:gridCol w:w="4700"/>
        <w:gridCol w:w="934"/>
        <w:gridCol w:w="933"/>
        <w:gridCol w:w="933"/>
        <w:gridCol w:w="875"/>
        <w:gridCol w:w="1014"/>
        <w:gridCol w:w="1014"/>
      </w:tblGrid>
      <w:tr w:rsidR="003B5C23" w:rsidRPr="003B5C23" w14:paraId="4DC63AD3" w14:textId="77777777" w:rsidTr="003B5C23">
        <w:trPr>
          <w:trHeight w:val="300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6382" w14:textId="77777777" w:rsidR="003B5C23" w:rsidRPr="003B5C23" w:rsidRDefault="003B5C23" w:rsidP="003B5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5C23">
              <w:rPr>
                <w:rFonts w:ascii="Calibri" w:eastAsia="Times New Roman" w:hAnsi="Calibri" w:cs="Calibri"/>
                <w:b/>
                <w:bCs/>
                <w:color w:val="000000"/>
              </w:rPr>
              <w:t>Cost Drivers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000" w14:textId="77777777" w:rsidR="003B5C23" w:rsidRPr="003B5C23" w:rsidRDefault="003B5C23" w:rsidP="003B5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5C23">
              <w:rPr>
                <w:rFonts w:ascii="Calibri" w:eastAsia="Times New Roman" w:hAnsi="Calibri" w:cs="Calibri"/>
                <w:b/>
                <w:bCs/>
                <w:color w:val="000000"/>
              </w:rPr>
              <w:t>Amount ($) in millions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2EAB" w14:textId="77777777" w:rsidR="003B5C23" w:rsidRPr="003B5C23" w:rsidRDefault="003B5C23" w:rsidP="003B5C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B5C23">
              <w:rPr>
                <w:rFonts w:ascii="Calibri" w:eastAsia="Times New Roman" w:hAnsi="Calibri" w:cs="Calibri"/>
                <w:b/>
                <w:bCs/>
                <w:color w:val="000000"/>
              </w:rPr>
              <w:t>Contribution (%)</w:t>
            </w:r>
          </w:p>
        </w:tc>
      </w:tr>
      <w:tr w:rsidR="003B5C23" w:rsidRPr="003B5C23" w14:paraId="535066A3" w14:textId="77777777" w:rsidTr="003B5C23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8F49" w14:textId="77777777" w:rsidR="003B5C23" w:rsidRPr="003B5C23" w:rsidRDefault="003B5C23" w:rsidP="003B5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CD2B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C8CF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6D0A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E92D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6DAA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896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  <w:tr w:rsidR="003B5C23" w:rsidRPr="003B5C23" w14:paraId="67FF653F" w14:textId="77777777" w:rsidTr="003B5C23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461" w14:textId="77777777" w:rsidR="003B5C23" w:rsidRPr="003B5C23" w:rsidRDefault="003B5C23" w:rsidP="003B5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Owned, leased, and other-direct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7ECEC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677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F1DA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734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030D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1074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CECE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6.46%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0CF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6.06%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F538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6.20%</w:t>
            </w:r>
          </w:p>
        </w:tc>
      </w:tr>
      <w:tr w:rsidR="003B5C23" w:rsidRPr="003B5C23" w14:paraId="7E9FD733" w14:textId="77777777" w:rsidTr="003B5C23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BFE20" w14:textId="77777777" w:rsidR="003B5C23" w:rsidRPr="003B5C23" w:rsidRDefault="003B5C23" w:rsidP="003B5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Depreciation, amortization, and other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DC1A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346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C06B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A7CB9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935C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3.30%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F536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1.82%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C25A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1.11%</w:t>
            </w:r>
          </w:p>
        </w:tc>
      </w:tr>
      <w:tr w:rsidR="003B5C23" w:rsidRPr="003B5C23" w14:paraId="728226BE" w14:textId="77777777" w:rsidTr="003B5C23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BDEE" w14:textId="77777777" w:rsidR="003B5C23" w:rsidRPr="003B5C23" w:rsidRDefault="003B5C23" w:rsidP="003B5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General, administrative, and other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3DC8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1832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823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F747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891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32B7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7.27%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5ABE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6.80%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F0B5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5.15%</w:t>
            </w:r>
          </w:p>
        </w:tc>
      </w:tr>
      <w:tr w:rsidR="003B5C23" w:rsidRPr="003B5C23" w14:paraId="124EBF71" w14:textId="77777777" w:rsidTr="003B5C23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42CF" w14:textId="77777777" w:rsidR="003B5C23" w:rsidRPr="003B5C23" w:rsidRDefault="003B5C23" w:rsidP="003B5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Restructuring, merger-related charges, and other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B55F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E3DD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73EC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E806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2.55%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E600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0.07%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7433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0.07%</w:t>
            </w:r>
          </w:p>
        </w:tc>
      </w:tr>
      <w:tr w:rsidR="003B5C23" w:rsidRPr="003B5C23" w14:paraId="67D4ADE8" w14:textId="77777777" w:rsidTr="003B5C23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0FB7" w14:textId="77777777" w:rsidR="003B5C23" w:rsidRPr="003B5C23" w:rsidRDefault="003B5C23" w:rsidP="003B5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Reimbursed expense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CC20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8435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D026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10322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2A8F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15141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60E0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80.43</w:t>
            </w:r>
            <w:r w:rsidR="00000A17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62AA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85.26%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062D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87.46%</w:t>
            </w:r>
          </w:p>
        </w:tc>
      </w:tr>
      <w:tr w:rsidR="003B5C23" w:rsidRPr="003B5C23" w14:paraId="7FBDFCE5" w14:textId="77777777" w:rsidTr="003B5C23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9B02" w14:textId="77777777" w:rsidR="003B5C23" w:rsidRPr="003B5C23" w:rsidRDefault="003B5C23" w:rsidP="003B5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 </w:t>
            </w:r>
            <w:r w:rsidR="008B36D7">
              <w:rPr>
                <w:rFonts w:ascii="Calibri" w:eastAsia="Times New Roman" w:hAnsi="Calibri" w:cs="Calibri"/>
                <w:color w:val="000000"/>
              </w:rPr>
              <w:t>Gross Revenue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93FD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10487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18D8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12107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D854" w14:textId="77777777" w:rsidR="003B5C23" w:rsidRPr="003B5C23" w:rsidRDefault="003B5C23" w:rsidP="003B5C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17311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01C2" w14:textId="77777777" w:rsidR="003B5C23" w:rsidRPr="003B5C23" w:rsidRDefault="003B5C23" w:rsidP="003B5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310B" w14:textId="77777777" w:rsidR="003B5C23" w:rsidRPr="003B5C23" w:rsidRDefault="003B5C23" w:rsidP="003B5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2400" w14:textId="77777777" w:rsidR="003B5C23" w:rsidRPr="003B5C23" w:rsidRDefault="003B5C23" w:rsidP="003B5C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5C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69BE8C9" w14:textId="77777777" w:rsidR="003B5C23" w:rsidRDefault="003B5C23" w:rsidP="00DB0C71"/>
    <w:p w14:paraId="163E29C9" w14:textId="77777777" w:rsidR="00BB24CE" w:rsidRPr="00236EA8" w:rsidRDefault="00BB24CE" w:rsidP="00DB0C71">
      <w:pPr>
        <w:rPr>
          <w:b/>
        </w:rPr>
      </w:pPr>
      <w:r w:rsidRPr="00236EA8">
        <w:rPr>
          <w:b/>
        </w:rPr>
        <w:t>Interpretation</w:t>
      </w:r>
    </w:p>
    <w:p w14:paraId="69D5B16D" w14:textId="77777777" w:rsidR="00BB24CE" w:rsidRDefault="00AE68E4" w:rsidP="003F0ADA">
      <w:pPr>
        <w:pStyle w:val="ListParagraph"/>
        <w:numPr>
          <w:ilvl w:val="0"/>
          <w:numId w:val="2"/>
        </w:numPr>
      </w:pPr>
      <w:r>
        <w:t xml:space="preserve">Cost reimbursement fee has been contributing the most revenue for Marriott International </w:t>
      </w:r>
      <w:r w:rsidR="00F57EEE">
        <w:t xml:space="preserve">for the past three years </w:t>
      </w:r>
      <w:r>
        <w:t xml:space="preserve">as indicated in the </w:t>
      </w:r>
      <w:r w:rsidR="00F57EEE">
        <w:t xml:space="preserve">Revenue Drivers. </w:t>
      </w:r>
      <w:r w:rsidR="006D3234">
        <w:t xml:space="preserve"> </w:t>
      </w:r>
      <w:r w:rsidR="00434EF9">
        <w:t>Cost reimbursement includes payroll and related</w:t>
      </w:r>
      <w:r w:rsidR="003C12FE">
        <w:t xml:space="preserve"> expenses at managed properties and certain operational and administrative costs</w:t>
      </w:r>
      <w:r w:rsidR="00B25F02">
        <w:t xml:space="preserve"> in contracts with the owners.</w:t>
      </w:r>
    </w:p>
    <w:p w14:paraId="46047F49" w14:textId="77777777" w:rsidR="00131EC5" w:rsidRDefault="00131EC5" w:rsidP="003F0ADA">
      <w:pPr>
        <w:pStyle w:val="ListParagraph"/>
        <w:numPr>
          <w:ilvl w:val="0"/>
          <w:numId w:val="2"/>
        </w:numPr>
      </w:pPr>
      <w:r>
        <w:t xml:space="preserve">The franchise fee is the second most contributing factor to the revenue of Marriott International, followed by owned or leased properties, basement management </w:t>
      </w:r>
      <w:r w:rsidR="00B86ECD">
        <w:t>fees,</w:t>
      </w:r>
      <w:r>
        <w:t xml:space="preserve"> and incentive management </w:t>
      </w:r>
      <w:r w:rsidR="00B86ECD">
        <w:t>fees</w:t>
      </w:r>
      <w:r>
        <w:t xml:space="preserve">. </w:t>
      </w:r>
      <w:r w:rsidR="001665F8">
        <w:t xml:space="preserve">The company provides </w:t>
      </w:r>
      <w:r w:rsidR="007A3180">
        <w:t xml:space="preserve">franchisees and </w:t>
      </w:r>
      <w:r w:rsidR="00B20A67">
        <w:t>operators’ licenses to their intellectual property for the use of their brand names</w:t>
      </w:r>
      <w:r w:rsidR="00E27AAC">
        <w:t xml:space="preserve">. Marriott International is compensated with an initial application fee and royalties. </w:t>
      </w:r>
    </w:p>
    <w:p w14:paraId="3593E172" w14:textId="062AAD63" w:rsidR="00E72883" w:rsidRDefault="00E72883" w:rsidP="003F0ADA">
      <w:pPr>
        <w:pStyle w:val="ListParagraph"/>
        <w:numPr>
          <w:ilvl w:val="0"/>
          <w:numId w:val="2"/>
        </w:numPr>
      </w:pPr>
      <w:r>
        <w:t xml:space="preserve">For the cost drivers, </w:t>
      </w:r>
      <w:r w:rsidR="008D2571">
        <w:t>reimbursement expenses represent the variable with the most cost to the company.</w:t>
      </w:r>
      <w:r w:rsidR="00386060">
        <w:t xml:space="preserve"> It contributes over 80% to the cost of the company as indicated in the Cost Drivers’ table.</w:t>
      </w:r>
      <w:r w:rsidR="00685B52">
        <w:t xml:space="preserve"> For instance, in 2022, a reimbursement expense of $69 million was recorded ($52 million after-tax).</w:t>
      </w:r>
    </w:p>
    <w:p w14:paraId="71063E93" w14:textId="7A99BA76" w:rsidR="00056C25" w:rsidRDefault="00D04F59" w:rsidP="00DB0C71">
      <w:pPr>
        <w:pStyle w:val="ListParagraph"/>
        <w:numPr>
          <w:ilvl w:val="0"/>
          <w:numId w:val="2"/>
        </w:numPr>
      </w:pPr>
      <w:r>
        <w:t>Compared</w:t>
      </w:r>
      <w:r w:rsidR="00056C25">
        <w:t xml:space="preserve"> to </w:t>
      </w:r>
      <w:r w:rsidR="00507F44">
        <w:t xml:space="preserve">other competitors </w:t>
      </w:r>
      <w:r>
        <w:t xml:space="preserve">such </w:t>
      </w:r>
      <w:r w:rsidR="00507F44">
        <w:t xml:space="preserve">as </w:t>
      </w:r>
      <w:r w:rsidR="00624945">
        <w:t xml:space="preserve">IHG Hotels </w:t>
      </w:r>
      <w:r w:rsidR="00337FD7">
        <w:t>&amp; Resorts</w:t>
      </w:r>
      <w:r w:rsidR="00507F44">
        <w:t xml:space="preserve">, </w:t>
      </w:r>
      <w:r w:rsidR="00624945">
        <w:t xml:space="preserve">IHG Hotels &amp; </w:t>
      </w:r>
      <w:r>
        <w:t>Resorts’</w:t>
      </w:r>
      <w:r w:rsidR="00507F44">
        <w:t xml:space="preserve"> main revenue driver as recorded in their </w:t>
      </w:r>
      <w:r w:rsidR="00624945">
        <w:t>FY’22</w:t>
      </w:r>
      <w:r w:rsidR="00507F44">
        <w:t xml:space="preserve"> was </w:t>
      </w:r>
      <w:r w:rsidR="00624945">
        <w:t xml:space="preserve">revenue </w:t>
      </w:r>
      <w:r w:rsidR="00935F12">
        <w:t>by reportable segments, followed by system fund revenues.</w:t>
      </w:r>
      <w:r w:rsidR="00337FD7">
        <w:t xml:space="preserve"> </w:t>
      </w:r>
      <w:r w:rsidR="00A30D7F" w:rsidRPr="00A30D7F">
        <w:t>Tax played a major role in affecting the profit of IHG Hotels &amp; Resorts for their cost drivers</w:t>
      </w:r>
      <w:r w:rsidR="009454CB">
        <w:t>.</w:t>
      </w:r>
    </w:p>
    <w:p w14:paraId="769338C0" w14:textId="7F17FFAF" w:rsidR="009454CB" w:rsidRPr="0014721F" w:rsidRDefault="00B53B1A" w:rsidP="009454CB">
      <w:pPr>
        <w:jc w:val="center"/>
        <w:rPr>
          <w:b/>
        </w:rPr>
      </w:pPr>
      <w:r w:rsidRPr="0014721F">
        <w:rPr>
          <w:b/>
        </w:rPr>
        <w:lastRenderedPageBreak/>
        <w:t>JOHNSON &amp; JOHNSON</w:t>
      </w:r>
    </w:p>
    <w:p w14:paraId="659B83DC" w14:textId="564DC47E" w:rsidR="0097523B" w:rsidRPr="0014721F" w:rsidRDefault="00421ED9" w:rsidP="0097523B">
      <w:pPr>
        <w:rPr>
          <w:b/>
        </w:rPr>
      </w:pPr>
      <w:r w:rsidRPr="0014721F">
        <w:rPr>
          <w:b/>
        </w:rPr>
        <w:t>Revenue Drivers</w:t>
      </w:r>
    </w:p>
    <w:tbl>
      <w:tblPr>
        <w:tblW w:w="9236" w:type="dxa"/>
        <w:tblLook w:val="04A0" w:firstRow="1" w:lastRow="0" w:firstColumn="1" w:lastColumn="0" w:noHBand="0" w:noVBand="1"/>
      </w:tblPr>
      <w:tblGrid>
        <w:gridCol w:w="2807"/>
        <w:gridCol w:w="1648"/>
        <w:gridCol w:w="1648"/>
        <w:gridCol w:w="1566"/>
        <w:gridCol w:w="1567"/>
      </w:tblGrid>
      <w:tr w:rsidR="00AD0110" w:rsidRPr="00AD0110" w14:paraId="5F3870A2" w14:textId="77777777" w:rsidTr="00AD0110">
        <w:trPr>
          <w:trHeight w:val="232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4417" w14:textId="77777777" w:rsidR="00AD0110" w:rsidRPr="00AD0110" w:rsidRDefault="00AD0110" w:rsidP="00AD01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0110">
              <w:rPr>
                <w:rFonts w:ascii="Calibri" w:eastAsia="Times New Roman" w:hAnsi="Calibri" w:cs="Calibri"/>
                <w:b/>
                <w:bCs/>
                <w:color w:val="000000"/>
              </w:rPr>
              <w:t>Revenue Drivers</w:t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237D" w14:textId="77777777" w:rsidR="00AD0110" w:rsidRPr="00AD0110" w:rsidRDefault="00AD0110" w:rsidP="00AD0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0110">
              <w:rPr>
                <w:rFonts w:ascii="Calibri" w:eastAsia="Times New Roman" w:hAnsi="Calibri" w:cs="Calibri"/>
                <w:b/>
                <w:bCs/>
                <w:color w:val="000000"/>
              </w:rPr>
              <w:t>Amount ($)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32ED" w14:textId="77777777" w:rsidR="00AD0110" w:rsidRPr="00AD0110" w:rsidRDefault="00AD0110" w:rsidP="00AD0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D0110">
              <w:rPr>
                <w:rFonts w:ascii="Calibri" w:eastAsia="Times New Roman" w:hAnsi="Calibri" w:cs="Calibri"/>
                <w:b/>
                <w:bCs/>
                <w:color w:val="000000"/>
              </w:rPr>
              <w:t>Contribution (%)</w:t>
            </w:r>
          </w:p>
        </w:tc>
      </w:tr>
      <w:tr w:rsidR="00AD0110" w:rsidRPr="00AD0110" w14:paraId="2E8C488A" w14:textId="77777777" w:rsidTr="00AD0110">
        <w:trPr>
          <w:trHeight w:val="232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DC15" w14:textId="77777777" w:rsidR="00AD0110" w:rsidRPr="00AD0110" w:rsidRDefault="00AD0110" w:rsidP="00AD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D450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F43B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35F5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A628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  <w:tr w:rsidR="00AD0110" w:rsidRPr="00AD0110" w14:paraId="77013DF4" w14:textId="77777777" w:rsidTr="00AD0110">
        <w:trPr>
          <w:trHeight w:val="232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A136" w14:textId="77777777" w:rsidR="00AD0110" w:rsidRPr="00AD0110" w:rsidRDefault="00AD0110" w:rsidP="00AD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Consumer health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6E9B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15035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0FEB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14953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7B85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16.03%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6C4B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15.75%</w:t>
            </w:r>
          </w:p>
        </w:tc>
      </w:tr>
      <w:tr w:rsidR="00AD0110" w:rsidRPr="00AD0110" w14:paraId="7C0859D6" w14:textId="77777777" w:rsidTr="00AD0110">
        <w:trPr>
          <w:trHeight w:val="232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A923" w14:textId="77777777" w:rsidR="00AD0110" w:rsidRPr="00AD0110" w:rsidRDefault="00AD0110" w:rsidP="00AD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Pharmaceuticals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61FB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51680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B1DA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52563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BF9B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55.11%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54C1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55.36%</w:t>
            </w:r>
          </w:p>
        </w:tc>
      </w:tr>
      <w:tr w:rsidR="00AD0110" w:rsidRPr="00AD0110" w14:paraId="196A75E0" w14:textId="77777777" w:rsidTr="00AD0110">
        <w:trPr>
          <w:trHeight w:val="232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B575B" w14:textId="77777777" w:rsidR="00AD0110" w:rsidRPr="00AD0110" w:rsidRDefault="00AD0110" w:rsidP="00AD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MedTech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3E90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27060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E17F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27427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8E0B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28.86%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0BB8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28.89%</w:t>
            </w:r>
          </w:p>
        </w:tc>
      </w:tr>
      <w:tr w:rsidR="00AD0110" w:rsidRPr="00AD0110" w14:paraId="300D1453" w14:textId="77777777" w:rsidTr="00AD0110">
        <w:trPr>
          <w:trHeight w:val="232"/>
        </w:trPr>
        <w:tc>
          <w:tcPr>
            <w:tcW w:w="2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D8BC" w14:textId="77777777" w:rsidR="00AD0110" w:rsidRPr="00AD0110" w:rsidRDefault="00AD0110" w:rsidP="00AD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Gross Revenue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6D47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93775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37D" w14:textId="77777777" w:rsidR="00AD0110" w:rsidRPr="00AD0110" w:rsidRDefault="00AD0110" w:rsidP="00AD01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94943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5BF4" w14:textId="77777777" w:rsidR="00AD0110" w:rsidRPr="00AD0110" w:rsidRDefault="00AD0110" w:rsidP="00AD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8CAA" w14:textId="77777777" w:rsidR="00AD0110" w:rsidRPr="00AD0110" w:rsidRDefault="00AD0110" w:rsidP="00AD01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D011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7D5BE063" w14:textId="77777777" w:rsidR="0046403F" w:rsidRDefault="0046403F" w:rsidP="0097523B"/>
    <w:p w14:paraId="3EDCE48C" w14:textId="31BF441C" w:rsidR="0001663F" w:rsidRPr="0014721F" w:rsidRDefault="0001663F" w:rsidP="0097523B">
      <w:pPr>
        <w:rPr>
          <w:b/>
        </w:rPr>
      </w:pPr>
      <w:r w:rsidRPr="0014721F">
        <w:rPr>
          <w:b/>
        </w:rPr>
        <w:t>Cost Drivers</w:t>
      </w:r>
    </w:p>
    <w:tbl>
      <w:tblPr>
        <w:tblW w:w="9479" w:type="dxa"/>
        <w:tblLook w:val="04A0" w:firstRow="1" w:lastRow="0" w:firstColumn="1" w:lastColumn="0" w:noHBand="0" w:noVBand="1"/>
      </w:tblPr>
      <w:tblGrid>
        <w:gridCol w:w="5207"/>
        <w:gridCol w:w="1068"/>
        <w:gridCol w:w="1068"/>
        <w:gridCol w:w="1068"/>
        <w:gridCol w:w="1068"/>
      </w:tblGrid>
      <w:tr w:rsidR="00FB1F2E" w:rsidRPr="00FB1F2E" w14:paraId="07CD0CDC" w14:textId="77777777" w:rsidTr="00FB1F2E">
        <w:trPr>
          <w:trHeight w:val="261"/>
        </w:trPr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26DA" w14:textId="77777777" w:rsidR="00FB1F2E" w:rsidRPr="00FB1F2E" w:rsidRDefault="00FB1F2E" w:rsidP="00FB1F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F2E">
              <w:rPr>
                <w:rFonts w:ascii="Calibri" w:eastAsia="Times New Roman" w:hAnsi="Calibri" w:cs="Calibri"/>
                <w:b/>
                <w:bCs/>
                <w:color w:val="000000"/>
              </w:rPr>
              <w:t>Cost Drivers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3031" w14:textId="77777777" w:rsidR="00FB1F2E" w:rsidRPr="00FB1F2E" w:rsidRDefault="00FB1F2E" w:rsidP="00FB1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F2E">
              <w:rPr>
                <w:rFonts w:ascii="Calibri" w:eastAsia="Times New Roman" w:hAnsi="Calibri" w:cs="Calibri"/>
                <w:b/>
                <w:bCs/>
                <w:color w:val="000000"/>
              </w:rPr>
              <w:t>Amount ($)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AE14" w14:textId="77777777" w:rsidR="00FB1F2E" w:rsidRPr="00FB1F2E" w:rsidRDefault="00FB1F2E" w:rsidP="00FB1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B1F2E">
              <w:rPr>
                <w:rFonts w:ascii="Calibri" w:eastAsia="Times New Roman" w:hAnsi="Calibri" w:cs="Calibri"/>
                <w:b/>
                <w:bCs/>
                <w:color w:val="000000"/>
              </w:rPr>
              <w:t>Contribution (%)</w:t>
            </w:r>
          </w:p>
        </w:tc>
      </w:tr>
      <w:tr w:rsidR="00FB1F2E" w:rsidRPr="00FB1F2E" w14:paraId="7BB7ED3F" w14:textId="77777777" w:rsidTr="00FB1F2E">
        <w:trPr>
          <w:trHeight w:val="261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145C" w14:textId="77777777" w:rsidR="00FB1F2E" w:rsidRPr="00FB1F2E" w:rsidRDefault="00FB1F2E" w:rsidP="00FB1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EF5B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390C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43AC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EDCF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</w:tr>
      <w:tr w:rsidR="00FB1F2E" w:rsidRPr="00FB1F2E" w14:paraId="6119F9B7" w14:textId="77777777" w:rsidTr="00FB1F2E">
        <w:trPr>
          <w:trHeight w:val="261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BED" w14:textId="77777777" w:rsidR="00FB1F2E" w:rsidRPr="00FB1F2E" w:rsidRDefault="00FB1F2E" w:rsidP="00FB1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Selling, marketing, and administrative expenses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1EA0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24659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8658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24765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8382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61.23%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EC23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61.68%</w:t>
            </w:r>
          </w:p>
        </w:tc>
      </w:tr>
      <w:tr w:rsidR="00FB1F2E" w:rsidRPr="00FB1F2E" w14:paraId="7A6CB9A0" w14:textId="77777777" w:rsidTr="00FB1F2E">
        <w:trPr>
          <w:trHeight w:val="261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DD30" w14:textId="77777777" w:rsidR="00FB1F2E" w:rsidRPr="00FB1F2E" w:rsidRDefault="00FB1F2E" w:rsidP="00FB1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Research and development expense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5002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14714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0D7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14603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8FDA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36.54%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7D6F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36.37%</w:t>
            </w:r>
          </w:p>
        </w:tc>
      </w:tr>
      <w:tr w:rsidR="00FB1F2E" w:rsidRPr="00FB1F2E" w14:paraId="52024720" w14:textId="77777777" w:rsidTr="00FB1F2E">
        <w:trPr>
          <w:trHeight w:val="261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3912" w14:textId="77777777" w:rsidR="00FB1F2E" w:rsidRPr="00FB1F2E" w:rsidRDefault="00FB1F2E" w:rsidP="00FB1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In-process research and development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2A73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5F7C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783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EC7D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2.23%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6C73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1.95%</w:t>
            </w:r>
          </w:p>
        </w:tc>
      </w:tr>
      <w:tr w:rsidR="00FB1F2E" w:rsidRPr="00FB1F2E" w14:paraId="101A4B0E" w14:textId="77777777" w:rsidTr="00FB1F2E">
        <w:trPr>
          <w:trHeight w:val="261"/>
        </w:trPr>
        <w:tc>
          <w:tcPr>
            <w:tcW w:w="5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7E2D" w14:textId="77777777" w:rsidR="00FB1F2E" w:rsidRPr="00FB1F2E" w:rsidRDefault="00FB1F2E" w:rsidP="00FB1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5F3D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40273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674D" w14:textId="77777777" w:rsidR="00FB1F2E" w:rsidRPr="00FB1F2E" w:rsidRDefault="00FB1F2E" w:rsidP="00FB1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40151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BB08" w14:textId="77777777" w:rsidR="00FB1F2E" w:rsidRPr="00FB1F2E" w:rsidRDefault="00FB1F2E" w:rsidP="00FB1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F55F" w14:textId="77777777" w:rsidR="00FB1F2E" w:rsidRPr="00FB1F2E" w:rsidRDefault="00FB1F2E" w:rsidP="00FB1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B1F2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2D06345" w14:textId="77777777" w:rsidR="00FB1F2E" w:rsidRDefault="00FB1F2E" w:rsidP="0097523B"/>
    <w:p w14:paraId="5A1F605C" w14:textId="7C50D288" w:rsidR="0014721F" w:rsidRPr="003A1EEB" w:rsidRDefault="0014721F" w:rsidP="0097523B">
      <w:pPr>
        <w:rPr>
          <w:b/>
        </w:rPr>
      </w:pPr>
      <w:r w:rsidRPr="003A1EEB">
        <w:rPr>
          <w:b/>
        </w:rPr>
        <w:t xml:space="preserve">Interpretation </w:t>
      </w:r>
    </w:p>
    <w:p w14:paraId="43A99B0D" w14:textId="747FBF0E" w:rsidR="0014721F" w:rsidRDefault="00CE5123" w:rsidP="0097523B">
      <w:r>
        <w:t>From the revenue drivers, pharmaceuticals contribute more than 50% in revenue among the various drivers.</w:t>
      </w:r>
      <w:r w:rsidR="003A1EEB">
        <w:t xml:space="preserve"> MedTech also contributed </w:t>
      </w:r>
      <w:r w:rsidR="00141EAA">
        <w:t>28.86% of the revenue</w:t>
      </w:r>
      <w:r w:rsidR="00B75F69">
        <w:t xml:space="preserve"> followed by Consumer health with 15.75% in 2022. </w:t>
      </w:r>
    </w:p>
    <w:p w14:paraId="7F7240E2" w14:textId="1CBC5FBA" w:rsidR="00F5175A" w:rsidRDefault="00834565" w:rsidP="0097523B">
      <w:r>
        <w:t>Costs</w:t>
      </w:r>
      <w:r w:rsidR="00F5175A">
        <w:t xml:space="preserve"> relating to selling, marketing, and administration </w:t>
      </w:r>
      <w:r>
        <w:t>affect the operations of Johnson &amp; Johnson the most.</w:t>
      </w:r>
      <w:r w:rsidR="00FB4F52">
        <w:t xml:space="preserve"> It has over 60% in cost as compared to other cost drivers. </w:t>
      </w:r>
      <w:r w:rsidR="001512DF">
        <w:t xml:space="preserve">Research and development also reduce the profit of the company by 36.37% in cost, followed by in-process research and development </w:t>
      </w:r>
      <w:r w:rsidR="00A80A06">
        <w:t>by</w:t>
      </w:r>
      <w:r w:rsidR="001512DF">
        <w:t xml:space="preserve"> 1.95% in cost in 2022.</w:t>
      </w:r>
    </w:p>
    <w:p w14:paraId="505D710A" w14:textId="488E247C" w:rsidR="003304DD" w:rsidRDefault="00A24A1A" w:rsidP="0097523B">
      <w:r>
        <w:t>Competitors like Pfizer Inc.</w:t>
      </w:r>
      <w:r w:rsidR="00217B8E">
        <w:t xml:space="preserve"> recorded 82% in direct sales</w:t>
      </w:r>
      <w:r w:rsidR="0024530E">
        <w:t xml:space="preserve"> or alliance product revenue in aggregate in 2022. </w:t>
      </w:r>
      <w:r w:rsidR="00A4108B">
        <w:t>Also, the loss or expiration</w:t>
      </w:r>
      <w:r w:rsidR="008F5FA1">
        <w:t xml:space="preserve"> of intellectual property rights </w:t>
      </w:r>
      <w:r w:rsidR="00D1046D">
        <w:t>had a significant adverse effect on the revenue</w:t>
      </w:r>
      <w:r w:rsidR="00031EEA">
        <w:t xml:space="preserve"> as </w:t>
      </w:r>
      <w:r w:rsidR="00B4315B">
        <w:t>contracts</w:t>
      </w:r>
      <w:r w:rsidR="00031EEA">
        <w:t xml:space="preserve"> with customers </w:t>
      </w:r>
      <w:r w:rsidR="00B4315B">
        <w:t xml:space="preserve">were at lower selling prices and lower volumes due to added generic competition. </w:t>
      </w:r>
    </w:p>
    <w:p w14:paraId="581C9B70" w14:textId="77777777" w:rsidR="00B64AF5" w:rsidRDefault="00B64AF5" w:rsidP="0097523B"/>
    <w:p w14:paraId="5C8400CF" w14:textId="6F583615" w:rsidR="00B64AF5" w:rsidRPr="00B64AF5" w:rsidRDefault="00B64AF5" w:rsidP="0097523B">
      <w:pPr>
        <w:rPr>
          <w:b/>
        </w:rPr>
      </w:pPr>
      <w:bookmarkStart w:id="0" w:name="_GoBack"/>
      <w:bookmarkEnd w:id="0"/>
    </w:p>
    <w:sectPr w:rsidR="00B64AF5" w:rsidRPr="00B64A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B594E"/>
    <w:multiLevelType w:val="hybridMultilevel"/>
    <w:tmpl w:val="7BE0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E7A0C"/>
    <w:multiLevelType w:val="hybridMultilevel"/>
    <w:tmpl w:val="A5541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6C"/>
    <w:rsid w:val="00000A17"/>
    <w:rsid w:val="0001663F"/>
    <w:rsid w:val="00031EEA"/>
    <w:rsid w:val="00056C25"/>
    <w:rsid w:val="00131EC5"/>
    <w:rsid w:val="00141EAA"/>
    <w:rsid w:val="001454C8"/>
    <w:rsid w:val="0014721F"/>
    <w:rsid w:val="001512DF"/>
    <w:rsid w:val="001611A6"/>
    <w:rsid w:val="001665F8"/>
    <w:rsid w:val="00217B8E"/>
    <w:rsid w:val="00236EA8"/>
    <w:rsid w:val="0024530E"/>
    <w:rsid w:val="003304DD"/>
    <w:rsid w:val="00337FD7"/>
    <w:rsid w:val="003445A8"/>
    <w:rsid w:val="00386060"/>
    <w:rsid w:val="003A0100"/>
    <w:rsid w:val="003A1EEB"/>
    <w:rsid w:val="003B5C23"/>
    <w:rsid w:val="003C12FE"/>
    <w:rsid w:val="003F0ADA"/>
    <w:rsid w:val="00421ED9"/>
    <w:rsid w:val="00434EF9"/>
    <w:rsid w:val="0046403F"/>
    <w:rsid w:val="00507F44"/>
    <w:rsid w:val="005309C4"/>
    <w:rsid w:val="00536B44"/>
    <w:rsid w:val="00604C05"/>
    <w:rsid w:val="00624945"/>
    <w:rsid w:val="006661D1"/>
    <w:rsid w:val="00685B52"/>
    <w:rsid w:val="006D3234"/>
    <w:rsid w:val="006F3ADE"/>
    <w:rsid w:val="00783B79"/>
    <w:rsid w:val="007A3180"/>
    <w:rsid w:val="00834565"/>
    <w:rsid w:val="00840ED7"/>
    <w:rsid w:val="008B36D7"/>
    <w:rsid w:val="008D2571"/>
    <w:rsid w:val="008F5FA1"/>
    <w:rsid w:val="00905DEB"/>
    <w:rsid w:val="009225EC"/>
    <w:rsid w:val="00935F12"/>
    <w:rsid w:val="009454CB"/>
    <w:rsid w:val="0097523B"/>
    <w:rsid w:val="00A24A1A"/>
    <w:rsid w:val="00A30D7F"/>
    <w:rsid w:val="00A4108B"/>
    <w:rsid w:val="00A575D8"/>
    <w:rsid w:val="00A717BF"/>
    <w:rsid w:val="00A80A06"/>
    <w:rsid w:val="00AD0110"/>
    <w:rsid w:val="00AE68E4"/>
    <w:rsid w:val="00B20A67"/>
    <w:rsid w:val="00B25F02"/>
    <w:rsid w:val="00B4315B"/>
    <w:rsid w:val="00B53B1A"/>
    <w:rsid w:val="00B64AF5"/>
    <w:rsid w:val="00B75F69"/>
    <w:rsid w:val="00B86ECD"/>
    <w:rsid w:val="00BB24CE"/>
    <w:rsid w:val="00CE5123"/>
    <w:rsid w:val="00D04F59"/>
    <w:rsid w:val="00D1046D"/>
    <w:rsid w:val="00DB0C71"/>
    <w:rsid w:val="00DC61C2"/>
    <w:rsid w:val="00E27AAC"/>
    <w:rsid w:val="00E418FA"/>
    <w:rsid w:val="00E72883"/>
    <w:rsid w:val="00EE3915"/>
    <w:rsid w:val="00F4086C"/>
    <w:rsid w:val="00F5175A"/>
    <w:rsid w:val="00F57EEE"/>
    <w:rsid w:val="00FB1F2E"/>
    <w:rsid w:val="00FB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117F"/>
  <w15:chartTrackingRefBased/>
  <w15:docId w15:val="{EB4D6313-FC7C-417B-BE9C-E725FEE01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7BF"/>
    <w:pPr>
      <w:ind w:left="720"/>
      <w:contextualSpacing/>
    </w:pPr>
  </w:style>
  <w:style w:type="table" w:styleId="TableGrid">
    <w:name w:val="Table Grid"/>
    <w:basedOn w:val="TableNormal"/>
    <w:uiPriority w:val="39"/>
    <w:rsid w:val="00DB0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6317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77</cp:revision>
  <dcterms:created xsi:type="dcterms:W3CDTF">2023-06-27T14:50:00Z</dcterms:created>
  <dcterms:modified xsi:type="dcterms:W3CDTF">2023-07-03T11:55:00Z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483a02ff-392c-4d16-8351-c190f0020e97</vt:lpwstr>
  </property>
</Properties>
</file>