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6915A" w14:textId="77777777" w:rsidR="00171FFE" w:rsidRDefault="00171FFE">
      <w:pPr>
        <w:spacing w:line="40" w:lineRule="exact"/>
        <w:rPr>
          <w:sz w:val="24"/>
          <w:szCs w:val="24"/>
        </w:rPr>
      </w:pPr>
      <w:bookmarkStart w:id="0" w:name="page1"/>
      <w:bookmarkEnd w:id="0"/>
    </w:p>
    <w:p w14:paraId="5FE2E988" w14:textId="77777777" w:rsidR="00171FFE" w:rsidRDefault="00840651">
      <w:pPr>
        <w:tabs>
          <w:tab w:val="left" w:pos="9160"/>
        </w:tabs>
        <w:rPr>
          <w:sz w:val="20"/>
          <w:szCs w:val="20"/>
        </w:rPr>
      </w:pPr>
      <w:r>
        <w:rPr>
          <w:rFonts w:ascii="Arial" w:eastAsia="Arial" w:hAnsi="Arial" w:cs="Arial"/>
          <w:sz w:val="18"/>
          <w:szCs w:val="18"/>
        </w:rPr>
        <w:t>Revenue Driver and Cost Driver Analysis</w:t>
      </w:r>
      <w:r>
        <w:rPr>
          <w:sz w:val="20"/>
          <w:szCs w:val="20"/>
        </w:rPr>
        <w:tab/>
      </w:r>
      <w:r>
        <w:rPr>
          <w:rFonts w:ascii="Arial" w:eastAsia="Arial" w:hAnsi="Arial" w:cs="Arial"/>
          <w:sz w:val="18"/>
          <w:szCs w:val="18"/>
        </w:rPr>
        <w:t>Sidharth Nambiath</w:t>
      </w:r>
    </w:p>
    <w:p w14:paraId="1F25FD52" w14:textId="77777777" w:rsidR="00171FFE" w:rsidRDefault="00840651">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14:anchorId="13FF6F36" wp14:editId="495A34B9">
                <wp:simplePos x="0" y="0"/>
                <wp:positionH relativeFrom="column">
                  <wp:posOffset>3810</wp:posOffset>
                </wp:positionH>
                <wp:positionV relativeFrom="paragraph">
                  <wp:posOffset>19685</wp:posOffset>
                </wp:positionV>
                <wp:extent cx="6840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0E0C113A" id="Shape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" o:allowincell="f" filled="t" strokeweight=".14039mm">
                <v:stroke joinstyle="miter"/>
                <o:lock v:ext="edit" shapetype="f"/>
              </v:line>
            </w:pict>
          </mc:Fallback>
        </mc:AlternateContent>
      </w:r>
    </w:p>
    <w:p w14:paraId="0F73F062" w14:textId="77777777" w:rsidR="00171FFE" w:rsidRDefault="00171FFE">
      <w:pPr>
        <w:spacing w:line="200" w:lineRule="exact"/>
        <w:rPr>
          <w:sz w:val="24"/>
          <w:szCs w:val="24"/>
        </w:rPr>
      </w:pPr>
    </w:p>
    <w:p w14:paraId="6DD99EEA" w14:textId="77777777" w:rsidR="00171FFE" w:rsidRDefault="00171FFE">
      <w:pPr>
        <w:spacing w:line="265" w:lineRule="exact"/>
        <w:rPr>
          <w:sz w:val="24"/>
          <w:szCs w:val="24"/>
        </w:rPr>
      </w:pPr>
    </w:p>
    <w:p w14:paraId="50B26381" w14:textId="77777777" w:rsidR="00171FFE" w:rsidRDefault="00840651">
      <w:pPr>
        <w:rPr>
          <w:sz w:val="20"/>
          <w:szCs w:val="20"/>
        </w:rPr>
      </w:pPr>
      <w:r>
        <w:rPr>
          <w:rFonts w:ascii="Arial" w:eastAsia="Arial" w:hAnsi="Arial" w:cs="Arial"/>
          <w:b/>
          <w:bCs/>
          <w:sz w:val="26"/>
          <w:szCs w:val="26"/>
        </w:rPr>
        <w:t>Introduction</w:t>
      </w:r>
    </w:p>
    <w:p w14:paraId="66A0264D" w14:textId="77777777" w:rsidR="00171FFE" w:rsidRDefault="00171FFE">
      <w:pPr>
        <w:spacing w:line="278" w:lineRule="exact"/>
        <w:rPr>
          <w:sz w:val="24"/>
          <w:szCs w:val="24"/>
        </w:rPr>
      </w:pPr>
    </w:p>
    <w:p w14:paraId="28EA3B08" w14:textId="77777777" w:rsidR="00171FFE" w:rsidRDefault="00840651">
      <w:pPr>
        <w:rPr>
          <w:sz w:val="20"/>
          <w:szCs w:val="20"/>
        </w:rPr>
      </w:pPr>
      <w:r>
        <w:rPr>
          <w:rFonts w:ascii="Arial" w:eastAsia="Arial" w:hAnsi="Arial" w:cs="Arial"/>
          <w:sz w:val="18"/>
          <w:szCs w:val="18"/>
        </w:rPr>
        <w:t>This report aims to provide an analysis of the cost and revenue drivers of two companies, Marriott Inc and Johnson &amp; Johnson.</w:t>
      </w:r>
    </w:p>
    <w:p w14:paraId="3CE75A54" w14:textId="77777777" w:rsidR="00171FFE" w:rsidRDefault="00171FFE">
      <w:pPr>
        <w:spacing w:line="200" w:lineRule="exact"/>
        <w:rPr>
          <w:sz w:val="24"/>
          <w:szCs w:val="24"/>
        </w:rPr>
      </w:pPr>
    </w:p>
    <w:p w14:paraId="128119BE" w14:textId="77777777" w:rsidR="00171FFE" w:rsidRDefault="00171FFE">
      <w:pPr>
        <w:spacing w:line="271" w:lineRule="exact"/>
        <w:rPr>
          <w:sz w:val="24"/>
          <w:szCs w:val="24"/>
        </w:rPr>
      </w:pPr>
    </w:p>
    <w:p w14:paraId="7DC53D99" w14:textId="77777777" w:rsidR="00171FFE" w:rsidRDefault="00840651">
      <w:pPr>
        <w:rPr>
          <w:sz w:val="20"/>
          <w:szCs w:val="20"/>
        </w:rPr>
      </w:pPr>
      <w:r>
        <w:rPr>
          <w:rFonts w:ascii="Arial" w:eastAsia="Arial" w:hAnsi="Arial" w:cs="Arial"/>
          <w:b/>
          <w:bCs/>
          <w:sz w:val="26"/>
          <w:szCs w:val="26"/>
        </w:rPr>
        <w:t>Marriott Inc</w:t>
      </w:r>
    </w:p>
    <w:p w14:paraId="12D923E6" w14:textId="77777777" w:rsidR="00171FFE" w:rsidRDefault="00171FFE">
      <w:pPr>
        <w:spacing w:line="292" w:lineRule="exact"/>
        <w:rPr>
          <w:sz w:val="24"/>
          <w:szCs w:val="24"/>
        </w:rPr>
      </w:pPr>
    </w:p>
    <w:p w14:paraId="2F42F836" w14:textId="77777777" w:rsidR="00171FFE" w:rsidRDefault="00840651">
      <w:pPr>
        <w:rPr>
          <w:sz w:val="20"/>
          <w:szCs w:val="20"/>
        </w:rPr>
      </w:pPr>
      <w:r>
        <w:rPr>
          <w:rFonts w:ascii="Arial" w:eastAsia="Arial" w:hAnsi="Arial" w:cs="Arial"/>
          <w:b/>
          <w:bCs/>
        </w:rPr>
        <w:t>Effects of varying price on revenue</w:t>
      </w:r>
    </w:p>
    <w:p w14:paraId="3738F84C" w14:textId="77777777" w:rsidR="00171FFE" w:rsidRDefault="00171FFE">
      <w:pPr>
        <w:spacing w:line="214" w:lineRule="exact"/>
        <w:rPr>
          <w:sz w:val="24"/>
          <w:szCs w:val="24"/>
        </w:rPr>
      </w:pPr>
    </w:p>
    <w:p w14:paraId="1F9A5CCB" w14:textId="77777777" w:rsidR="00171FFE" w:rsidRDefault="00840651">
      <w:pPr>
        <w:spacing w:line="421" w:lineRule="auto"/>
        <w:ind w:right="20" w:firstLine="7"/>
        <w:jc w:val="both"/>
        <w:rPr>
          <w:rFonts w:ascii="Arial" w:eastAsia="Arial" w:hAnsi="Arial" w:cs="Arial"/>
          <w:sz w:val="18"/>
          <w:szCs w:val="18"/>
        </w:rPr>
      </w:pPr>
      <w:r>
        <w:rPr>
          <w:rFonts w:ascii="Arial" w:eastAsia="Arial" w:hAnsi="Arial" w:cs="Arial"/>
          <w:sz w:val="18"/>
          <w:szCs w:val="18"/>
        </w:rPr>
        <w:t xml:space="preserve">Elementary analysis of Mariott Inc’s revenue growth between 2010 and 2022, by considering at the revenue per available room </w:t>
      </w:r>
      <w:r w:rsidRPr="00840651">
        <w:rPr>
          <w:rFonts w:ascii="Arial" w:eastAsia="Arial" w:hAnsi="Arial" w:cs="Arial"/>
          <w:sz w:val="18"/>
          <w:szCs w:val="18"/>
          <w:highlight w:val="green"/>
        </w:rPr>
        <w:t>(RevPar) and average daily room rates (ADR) per year [</w:t>
      </w:r>
      <w:hyperlink w:anchor="page5">
        <w:r w:rsidRPr="00840651">
          <w:rPr>
            <w:rFonts w:ascii="Arial" w:eastAsia="Arial" w:hAnsi="Arial" w:cs="Arial"/>
            <w:color w:val="0000FF"/>
            <w:sz w:val="18"/>
            <w:szCs w:val="18"/>
            <w:highlight w:val="green"/>
          </w:rPr>
          <w:t>1</w:t>
        </w:r>
      </w:hyperlink>
      <w:r w:rsidRPr="00840651">
        <w:rPr>
          <w:rFonts w:ascii="Arial" w:eastAsia="Arial" w:hAnsi="Arial" w:cs="Arial"/>
          <w:sz w:val="18"/>
          <w:szCs w:val="18"/>
          <w:highlight w:val="green"/>
        </w:rPr>
        <w:t>], shows a noticeable correlation between the tw</w:t>
      </w:r>
      <w:r w:rsidRPr="00840651">
        <w:rPr>
          <w:rFonts w:ascii="Arial" w:eastAsia="Arial" w:hAnsi="Arial" w:cs="Arial"/>
          <w:sz w:val="18"/>
          <w:szCs w:val="18"/>
          <w:highlight w:val="green"/>
        </w:rPr>
        <w:t>o (</w:t>
      </w:r>
      <w:r w:rsidRPr="00840651">
        <w:rPr>
          <w:rFonts w:ascii="Arial" w:eastAsia="Arial" w:hAnsi="Arial" w:cs="Arial"/>
          <w:i/>
          <w:iCs/>
          <w:sz w:val="18"/>
          <w:szCs w:val="18"/>
          <w:highlight w:val="green"/>
        </w:rPr>
        <w:t>r</w:t>
      </w:r>
      <w:r w:rsidRPr="00840651">
        <w:rPr>
          <w:rFonts w:ascii="Arial" w:eastAsia="Arial" w:hAnsi="Arial" w:cs="Arial"/>
          <w:sz w:val="18"/>
          <w:szCs w:val="18"/>
          <w:highlight w:val="green"/>
        </w:rPr>
        <w:t xml:space="preserve"> = 0.68). This only takes effect up to a point, however, as it seems that RevPar flattens at </w:t>
      </w:r>
      <w:r w:rsidRPr="00840651">
        <w:rPr>
          <w:rFonts w:ascii="Arial" w:eastAsia="Arial" w:hAnsi="Arial" w:cs="Arial"/>
          <w:i/>
          <w:iCs/>
          <w:sz w:val="18"/>
          <w:szCs w:val="18"/>
          <w:highlight w:val="green"/>
        </w:rPr>
        <w:t>ADR</w:t>
      </w:r>
      <w:r w:rsidRPr="00840651">
        <w:rPr>
          <w:rFonts w:ascii="Arial" w:eastAsia="Arial" w:hAnsi="Arial" w:cs="Arial"/>
          <w:sz w:val="18"/>
          <w:szCs w:val="18"/>
          <w:highlight w:val="green"/>
        </w:rPr>
        <w:t xml:space="preserve"> &gt; $180, as seen in Figure</w:t>
      </w:r>
      <w:r w:rsidRPr="00840651">
        <w:rPr>
          <w:rFonts w:ascii="Arial" w:eastAsia="Arial" w:hAnsi="Arial" w:cs="Arial"/>
          <w:color w:val="0000FF"/>
          <w:sz w:val="18"/>
          <w:szCs w:val="18"/>
          <w:highlight w:val="green"/>
        </w:rPr>
        <w:t xml:space="preserve"> </w:t>
      </w:r>
      <w:commentRangeStart w:id="1"/>
      <w:r w:rsidRPr="00840651">
        <w:rPr>
          <w:rFonts w:ascii="Arial" w:eastAsia="Arial" w:hAnsi="Arial" w:cs="Arial"/>
          <w:color w:val="0000FF"/>
          <w:sz w:val="18"/>
          <w:szCs w:val="18"/>
          <w:highlight w:val="green"/>
        </w:rPr>
        <w:fldChar w:fldCharType="begin"/>
      </w:r>
      <w:r w:rsidRPr="00840651">
        <w:rPr>
          <w:rFonts w:ascii="Arial" w:eastAsia="Arial" w:hAnsi="Arial" w:cs="Arial"/>
          <w:color w:val="0000FF"/>
          <w:sz w:val="18"/>
          <w:szCs w:val="18"/>
          <w:highlight w:val="green"/>
        </w:rPr>
        <w:instrText xml:space="preserve"> HYPERLINK \l "page1" \h </w:instrText>
      </w:r>
      <w:r w:rsidRPr="00840651">
        <w:rPr>
          <w:rFonts w:ascii="Arial" w:eastAsia="Arial" w:hAnsi="Arial" w:cs="Arial"/>
          <w:color w:val="0000FF"/>
          <w:sz w:val="18"/>
          <w:szCs w:val="18"/>
          <w:highlight w:val="green"/>
        </w:rPr>
        <w:fldChar w:fldCharType="separate"/>
      </w:r>
      <w:r w:rsidRPr="00840651">
        <w:rPr>
          <w:rFonts w:ascii="Arial" w:eastAsia="Arial" w:hAnsi="Arial" w:cs="Arial"/>
          <w:color w:val="0000FF"/>
          <w:sz w:val="18"/>
          <w:szCs w:val="18"/>
          <w:highlight w:val="green"/>
        </w:rPr>
        <w:t>1b</w:t>
      </w:r>
      <w:r w:rsidRPr="00840651">
        <w:rPr>
          <w:rFonts w:ascii="Arial" w:eastAsia="Arial" w:hAnsi="Arial" w:cs="Arial"/>
          <w:color w:val="0000FF"/>
          <w:sz w:val="18"/>
          <w:szCs w:val="18"/>
          <w:highlight w:val="green"/>
        </w:rPr>
        <w:fldChar w:fldCharType="end"/>
      </w:r>
      <w:commentRangeEnd w:id="1"/>
      <w:r>
        <w:rPr>
          <w:rStyle w:val="CommentReference"/>
        </w:rPr>
        <w:commentReference w:id="1"/>
      </w:r>
      <w:r w:rsidRPr="00840651">
        <w:rPr>
          <w:rFonts w:ascii="Arial" w:eastAsia="Arial" w:hAnsi="Arial" w:cs="Arial"/>
          <w:sz w:val="18"/>
          <w:szCs w:val="18"/>
          <w:highlight w:val="green"/>
        </w:rPr>
        <w:t>.</w:t>
      </w:r>
    </w:p>
    <w:p w14:paraId="7FE6A1C6" w14:textId="77777777" w:rsidR="00171FFE" w:rsidRDefault="00840651">
      <w:pPr>
        <w:spacing w:line="20" w:lineRule="exact"/>
        <w:rPr>
          <w:sz w:val="20"/>
          <w:szCs w:val="20"/>
        </w:rPr>
      </w:pPr>
      <w:r>
        <w:rPr>
          <w:noProof/>
          <w:sz w:val="20"/>
          <w:szCs w:val="20"/>
        </w:rPr>
        <w:drawing>
          <wp:anchor distT="0" distB="0" distL="114300" distR="114300" simplePos="0" relativeHeight="251655168" behindDoc="1" locked="0" layoutInCell="0" allowOverlap="1" wp14:anchorId="24A56956" wp14:editId="78C6D0B2">
            <wp:simplePos x="0" y="0"/>
            <wp:positionH relativeFrom="column">
              <wp:posOffset>4445</wp:posOffset>
            </wp:positionH>
            <wp:positionV relativeFrom="paragraph">
              <wp:posOffset>-14605</wp:posOffset>
            </wp:positionV>
            <wp:extent cx="6840220" cy="2172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840220" cy="2172335"/>
                    </a:xfrm>
                    <a:prstGeom prst="rect">
                      <a:avLst/>
                    </a:prstGeom>
                    <a:noFill/>
                  </pic:spPr>
                </pic:pic>
              </a:graphicData>
            </a:graphic>
          </wp:anchor>
        </w:drawing>
      </w:r>
    </w:p>
    <w:p w14:paraId="4DD91474" w14:textId="77777777" w:rsidR="00171FFE" w:rsidRDefault="00171FFE">
      <w:pPr>
        <w:spacing w:line="200" w:lineRule="exact"/>
        <w:rPr>
          <w:sz w:val="20"/>
          <w:szCs w:val="20"/>
        </w:rPr>
      </w:pPr>
    </w:p>
    <w:p w14:paraId="1BF272CB" w14:textId="77777777" w:rsidR="00171FFE" w:rsidRDefault="00171FFE">
      <w:pPr>
        <w:spacing w:line="200" w:lineRule="exact"/>
        <w:rPr>
          <w:sz w:val="20"/>
          <w:szCs w:val="20"/>
        </w:rPr>
      </w:pPr>
    </w:p>
    <w:p w14:paraId="3F2AA89E" w14:textId="77777777" w:rsidR="00171FFE" w:rsidRDefault="00171FFE">
      <w:pPr>
        <w:spacing w:line="200" w:lineRule="exact"/>
        <w:rPr>
          <w:sz w:val="20"/>
          <w:szCs w:val="20"/>
        </w:rPr>
      </w:pPr>
    </w:p>
    <w:p w14:paraId="62938B31" w14:textId="77777777" w:rsidR="00171FFE" w:rsidRDefault="00171FFE">
      <w:pPr>
        <w:spacing w:line="200" w:lineRule="exact"/>
        <w:rPr>
          <w:sz w:val="20"/>
          <w:szCs w:val="20"/>
        </w:rPr>
      </w:pPr>
    </w:p>
    <w:p w14:paraId="514FAFD1" w14:textId="77777777" w:rsidR="00171FFE" w:rsidRDefault="00171FFE">
      <w:pPr>
        <w:spacing w:line="200" w:lineRule="exact"/>
        <w:rPr>
          <w:sz w:val="20"/>
          <w:szCs w:val="20"/>
        </w:rPr>
      </w:pPr>
    </w:p>
    <w:p w14:paraId="7918B6AB" w14:textId="77777777" w:rsidR="00171FFE" w:rsidRDefault="00171FFE">
      <w:pPr>
        <w:spacing w:line="200" w:lineRule="exact"/>
        <w:rPr>
          <w:sz w:val="20"/>
          <w:szCs w:val="20"/>
        </w:rPr>
      </w:pPr>
    </w:p>
    <w:p w14:paraId="4424C4D8" w14:textId="77777777" w:rsidR="00171FFE" w:rsidRDefault="00171FFE">
      <w:pPr>
        <w:spacing w:line="200" w:lineRule="exact"/>
        <w:rPr>
          <w:sz w:val="20"/>
          <w:szCs w:val="20"/>
        </w:rPr>
      </w:pPr>
    </w:p>
    <w:p w14:paraId="51A05CB9" w14:textId="77777777" w:rsidR="00171FFE" w:rsidRDefault="00171FFE">
      <w:pPr>
        <w:spacing w:line="200" w:lineRule="exact"/>
        <w:rPr>
          <w:sz w:val="20"/>
          <w:szCs w:val="20"/>
        </w:rPr>
      </w:pPr>
    </w:p>
    <w:p w14:paraId="1011FF46" w14:textId="77777777" w:rsidR="00171FFE" w:rsidRDefault="00171FFE">
      <w:pPr>
        <w:spacing w:line="200" w:lineRule="exact"/>
        <w:rPr>
          <w:sz w:val="20"/>
          <w:szCs w:val="20"/>
        </w:rPr>
      </w:pPr>
    </w:p>
    <w:p w14:paraId="1D7AE0A5" w14:textId="77777777" w:rsidR="00171FFE" w:rsidRDefault="00171FFE">
      <w:pPr>
        <w:spacing w:line="200" w:lineRule="exact"/>
        <w:rPr>
          <w:sz w:val="20"/>
          <w:szCs w:val="20"/>
        </w:rPr>
      </w:pPr>
    </w:p>
    <w:p w14:paraId="0E08E6F9" w14:textId="77777777" w:rsidR="00171FFE" w:rsidRDefault="00171FFE">
      <w:pPr>
        <w:spacing w:line="200" w:lineRule="exact"/>
        <w:rPr>
          <w:sz w:val="20"/>
          <w:szCs w:val="20"/>
        </w:rPr>
      </w:pPr>
    </w:p>
    <w:p w14:paraId="06918772" w14:textId="77777777" w:rsidR="00171FFE" w:rsidRDefault="00171FFE">
      <w:pPr>
        <w:spacing w:line="200" w:lineRule="exact"/>
        <w:rPr>
          <w:sz w:val="20"/>
          <w:szCs w:val="20"/>
        </w:rPr>
      </w:pPr>
    </w:p>
    <w:p w14:paraId="1805E19B" w14:textId="77777777" w:rsidR="00171FFE" w:rsidRDefault="00171FFE">
      <w:pPr>
        <w:spacing w:line="200" w:lineRule="exact"/>
        <w:rPr>
          <w:sz w:val="20"/>
          <w:szCs w:val="20"/>
        </w:rPr>
      </w:pPr>
    </w:p>
    <w:p w14:paraId="34ACABD6" w14:textId="77777777" w:rsidR="00171FFE" w:rsidRDefault="00171FFE">
      <w:pPr>
        <w:spacing w:line="200" w:lineRule="exact"/>
        <w:rPr>
          <w:sz w:val="20"/>
          <w:szCs w:val="20"/>
        </w:rPr>
      </w:pPr>
    </w:p>
    <w:p w14:paraId="5F48F0E1" w14:textId="77777777" w:rsidR="00171FFE" w:rsidRDefault="00171FFE">
      <w:pPr>
        <w:spacing w:line="200" w:lineRule="exact"/>
        <w:rPr>
          <w:sz w:val="20"/>
          <w:szCs w:val="20"/>
        </w:rPr>
      </w:pPr>
    </w:p>
    <w:p w14:paraId="0C4DD42A" w14:textId="77777777" w:rsidR="00171FFE" w:rsidRDefault="00171FFE">
      <w:pPr>
        <w:spacing w:line="305" w:lineRule="exact"/>
        <w:rPr>
          <w:sz w:val="20"/>
          <w:szCs w:val="20"/>
        </w:rPr>
      </w:pPr>
    </w:p>
    <w:p w14:paraId="20D0FC5E" w14:textId="77777777" w:rsidR="00171FFE" w:rsidRDefault="00840651">
      <w:pPr>
        <w:ind w:left="5920"/>
        <w:rPr>
          <w:sz w:val="20"/>
          <w:szCs w:val="20"/>
        </w:rPr>
      </w:pPr>
      <w:r>
        <w:rPr>
          <w:rFonts w:ascii="Arial" w:eastAsia="Arial" w:hAnsi="Arial" w:cs="Arial"/>
          <w:b/>
          <w:bCs/>
          <w:sz w:val="14"/>
          <w:szCs w:val="14"/>
        </w:rPr>
        <w:t>(b)</w:t>
      </w:r>
      <w:r>
        <w:rPr>
          <w:rFonts w:ascii="Arial" w:eastAsia="Arial" w:hAnsi="Arial" w:cs="Arial"/>
          <w:sz w:val="14"/>
          <w:szCs w:val="14"/>
        </w:rPr>
        <w:t xml:space="preserve"> The correlation between Revenue per Available Room (RevPar) and Aver-</w:t>
      </w:r>
    </w:p>
    <w:p w14:paraId="0C6E62F7" w14:textId="77777777" w:rsidR="00171FFE" w:rsidRDefault="00171FFE">
      <w:pPr>
        <w:spacing w:line="26" w:lineRule="exact"/>
        <w:rPr>
          <w:sz w:val="20"/>
          <w:szCs w:val="20"/>
        </w:rPr>
      </w:pPr>
    </w:p>
    <w:p w14:paraId="01D755C8" w14:textId="77777777" w:rsidR="00171FFE" w:rsidRDefault="00840651">
      <w:pPr>
        <w:tabs>
          <w:tab w:val="left" w:pos="5920"/>
        </w:tabs>
        <w:rPr>
          <w:sz w:val="20"/>
          <w:szCs w:val="20"/>
        </w:rPr>
      </w:pPr>
      <w:r>
        <w:rPr>
          <w:rFonts w:ascii="Arial" w:eastAsia="Arial" w:hAnsi="Arial" w:cs="Arial"/>
          <w:b/>
          <w:bCs/>
          <w:sz w:val="15"/>
          <w:szCs w:val="15"/>
        </w:rPr>
        <w:t>(a)</w:t>
      </w:r>
      <w:r>
        <w:rPr>
          <w:rFonts w:ascii="Arial" w:eastAsia="Arial" w:hAnsi="Arial" w:cs="Arial"/>
          <w:sz w:val="15"/>
          <w:szCs w:val="15"/>
        </w:rPr>
        <w:t xml:space="preserve"> The yearly change in Revenue per Available Room (RevPAR) and Average</w:t>
      </w:r>
      <w:r>
        <w:rPr>
          <w:sz w:val="20"/>
          <w:szCs w:val="20"/>
        </w:rPr>
        <w:tab/>
      </w:r>
      <w:r>
        <w:rPr>
          <w:rFonts w:ascii="Arial" w:eastAsia="Arial" w:hAnsi="Arial" w:cs="Arial"/>
          <w:sz w:val="14"/>
          <w:szCs w:val="14"/>
        </w:rPr>
        <w:t>age Daily Room Rate (ADR) between 2010-2022. The correlation coefficient,</w:t>
      </w:r>
    </w:p>
    <w:p w14:paraId="3D02880A" w14:textId="77777777" w:rsidR="00171FFE" w:rsidRDefault="00171FFE">
      <w:pPr>
        <w:spacing w:line="17" w:lineRule="exact"/>
        <w:rPr>
          <w:sz w:val="20"/>
          <w:szCs w:val="20"/>
        </w:rPr>
      </w:pPr>
    </w:p>
    <w:p w14:paraId="2529ABD2" w14:textId="77777777" w:rsidR="00171FFE" w:rsidRDefault="00840651">
      <w:pPr>
        <w:tabs>
          <w:tab w:val="left" w:pos="5920"/>
        </w:tabs>
        <w:rPr>
          <w:sz w:val="20"/>
          <w:szCs w:val="20"/>
        </w:rPr>
      </w:pPr>
      <w:r>
        <w:rPr>
          <w:rFonts w:ascii="Arial" w:eastAsia="Arial" w:hAnsi="Arial" w:cs="Arial"/>
          <w:sz w:val="15"/>
          <w:szCs w:val="15"/>
        </w:rPr>
        <w:t>Daily Room Rate (ADR) between 2010-2022.</w:t>
      </w:r>
      <w:r>
        <w:rPr>
          <w:sz w:val="20"/>
          <w:szCs w:val="20"/>
        </w:rPr>
        <w:tab/>
      </w:r>
      <w:r>
        <w:rPr>
          <w:rFonts w:ascii="Arial" w:eastAsia="Arial" w:hAnsi="Arial" w:cs="Arial"/>
          <w:sz w:val="14"/>
          <w:szCs w:val="14"/>
        </w:rPr>
        <w:t xml:space="preserve">represented by </w:t>
      </w:r>
      <w:r>
        <w:rPr>
          <w:rFonts w:ascii="Arial" w:eastAsia="Arial" w:hAnsi="Arial" w:cs="Arial"/>
          <w:i/>
          <w:iCs/>
          <w:sz w:val="14"/>
          <w:szCs w:val="14"/>
        </w:rPr>
        <w:t>r</w:t>
      </w:r>
      <w:r>
        <w:rPr>
          <w:rFonts w:ascii="Arial" w:eastAsia="Arial" w:hAnsi="Arial" w:cs="Arial"/>
          <w:sz w:val="14"/>
          <w:szCs w:val="14"/>
        </w:rPr>
        <w:t xml:space="preserve"> , implies a positive correlation.</w:t>
      </w:r>
    </w:p>
    <w:p w14:paraId="4AB16D02" w14:textId="77777777" w:rsidR="00171FFE" w:rsidRDefault="00171FFE">
      <w:pPr>
        <w:spacing w:line="224" w:lineRule="exact"/>
        <w:rPr>
          <w:sz w:val="20"/>
          <w:szCs w:val="20"/>
        </w:rPr>
      </w:pPr>
    </w:p>
    <w:p w14:paraId="13AFB7C7" w14:textId="77777777" w:rsidR="00171FFE" w:rsidRDefault="00840651">
      <w:pPr>
        <w:ind w:right="20"/>
        <w:jc w:val="center"/>
        <w:rPr>
          <w:sz w:val="20"/>
          <w:szCs w:val="20"/>
        </w:rPr>
      </w:pPr>
      <w:r>
        <w:rPr>
          <w:rFonts w:ascii="Arial" w:eastAsia="Arial" w:hAnsi="Arial" w:cs="Arial"/>
          <w:b/>
          <w:bCs/>
          <w:sz w:val="16"/>
          <w:szCs w:val="16"/>
        </w:rPr>
        <w:t>Figure 1:</w:t>
      </w:r>
      <w:r>
        <w:rPr>
          <w:rFonts w:ascii="Arial" w:eastAsia="Arial" w:hAnsi="Arial" w:cs="Arial"/>
          <w:sz w:val="16"/>
          <w:szCs w:val="16"/>
        </w:rPr>
        <w:t xml:space="preserve"> Pricing </w:t>
      </w:r>
      <w:r>
        <w:rPr>
          <w:rFonts w:ascii="Arial" w:eastAsia="Arial" w:hAnsi="Arial" w:cs="Arial"/>
          <w:sz w:val="16"/>
          <w:szCs w:val="16"/>
        </w:rPr>
        <w:t>Impact on Revenue</w:t>
      </w:r>
    </w:p>
    <w:p w14:paraId="5729FCCC" w14:textId="77777777" w:rsidR="00171FFE" w:rsidRDefault="00171FFE">
      <w:pPr>
        <w:spacing w:line="200" w:lineRule="exact"/>
        <w:rPr>
          <w:sz w:val="20"/>
          <w:szCs w:val="20"/>
        </w:rPr>
      </w:pPr>
    </w:p>
    <w:p w14:paraId="00D3FE19" w14:textId="77777777" w:rsidR="00171FFE" w:rsidRDefault="00171FFE">
      <w:pPr>
        <w:spacing w:line="265" w:lineRule="exact"/>
        <w:rPr>
          <w:sz w:val="20"/>
          <w:szCs w:val="20"/>
        </w:rPr>
      </w:pPr>
    </w:p>
    <w:p w14:paraId="5FC7AC58" w14:textId="77777777" w:rsidR="00171FFE" w:rsidRDefault="00840651">
      <w:pPr>
        <w:rPr>
          <w:sz w:val="20"/>
          <w:szCs w:val="20"/>
        </w:rPr>
      </w:pPr>
      <w:r>
        <w:rPr>
          <w:rFonts w:ascii="Arial" w:eastAsia="Arial" w:hAnsi="Arial" w:cs="Arial"/>
          <w:b/>
          <w:bCs/>
        </w:rPr>
        <w:t>Effect of varying volume on revenue</w:t>
      </w:r>
    </w:p>
    <w:p w14:paraId="0A2B8CB5" w14:textId="77777777" w:rsidR="00171FFE" w:rsidRDefault="00171FFE">
      <w:pPr>
        <w:spacing w:line="214" w:lineRule="exact"/>
        <w:rPr>
          <w:sz w:val="20"/>
          <w:szCs w:val="20"/>
        </w:rPr>
      </w:pPr>
    </w:p>
    <w:p w14:paraId="43C1A770" w14:textId="77777777" w:rsidR="00171FFE" w:rsidRDefault="00840651">
      <w:pPr>
        <w:spacing w:line="346" w:lineRule="auto"/>
        <w:ind w:firstLine="5"/>
        <w:jc w:val="both"/>
        <w:rPr>
          <w:rFonts w:ascii="Arial" w:eastAsia="Arial" w:hAnsi="Arial" w:cs="Arial"/>
          <w:sz w:val="18"/>
          <w:szCs w:val="18"/>
        </w:rPr>
      </w:pPr>
      <w:r w:rsidRPr="00840651">
        <w:rPr>
          <w:rFonts w:ascii="Arial" w:eastAsia="Arial" w:hAnsi="Arial" w:cs="Arial"/>
          <w:sz w:val="18"/>
          <w:szCs w:val="18"/>
          <w:highlight w:val="green"/>
        </w:rPr>
        <w:t>H</w:t>
      </w:r>
      <w:commentRangeStart w:id="2"/>
      <w:r w:rsidRPr="00840651">
        <w:rPr>
          <w:rFonts w:ascii="Arial" w:eastAsia="Arial" w:hAnsi="Arial" w:cs="Arial"/>
          <w:sz w:val="18"/>
          <w:szCs w:val="18"/>
          <w:highlight w:val="green"/>
        </w:rPr>
        <w:t>ere, it was volume was represented as the global occupancy rate across all of Marriott Inc’s hotel rooms [</w:t>
      </w:r>
      <w:hyperlink w:anchor="page5">
        <w:r w:rsidRPr="00840651">
          <w:rPr>
            <w:rFonts w:ascii="Arial" w:eastAsia="Arial" w:hAnsi="Arial" w:cs="Arial"/>
            <w:color w:val="0000FF"/>
            <w:sz w:val="18"/>
            <w:szCs w:val="18"/>
            <w:highlight w:val="green"/>
          </w:rPr>
          <w:t>1</w:t>
        </w:r>
      </w:hyperlink>
      <w:r w:rsidRPr="00840651">
        <w:rPr>
          <w:rFonts w:ascii="Arial" w:eastAsia="Arial" w:hAnsi="Arial" w:cs="Arial"/>
          <w:sz w:val="18"/>
          <w:szCs w:val="18"/>
          <w:highlight w:val="green"/>
        </w:rPr>
        <w:t xml:space="preserve">]. </w:t>
      </w:r>
      <w:commentRangeEnd w:id="2"/>
      <w:r w:rsidRPr="00840651">
        <w:rPr>
          <w:rStyle w:val="CommentReference"/>
          <w:highlight w:val="green"/>
        </w:rPr>
        <w:commentReference w:id="2"/>
      </w:r>
      <w:r>
        <w:rPr>
          <w:rFonts w:ascii="Arial" w:eastAsia="Arial" w:hAnsi="Arial" w:cs="Arial"/>
          <w:sz w:val="18"/>
          <w:szCs w:val="18"/>
        </w:rPr>
        <w:t>It can be seen in</w:t>
      </w:r>
      <w:r>
        <w:rPr>
          <w:rFonts w:ascii="Arial" w:eastAsia="Arial" w:hAnsi="Arial" w:cs="Arial"/>
          <w:color w:val="0000FF"/>
          <w:sz w:val="18"/>
          <w:szCs w:val="18"/>
        </w:rPr>
        <w:t xml:space="preserve"> </w:t>
      </w:r>
      <w:hyperlink w:anchor="page1">
        <w:r>
          <w:rPr>
            <w:rFonts w:ascii="Arial" w:eastAsia="Arial" w:hAnsi="Arial" w:cs="Arial"/>
            <w:color w:val="0000FF"/>
            <w:sz w:val="18"/>
            <w:szCs w:val="18"/>
          </w:rPr>
          <w:t>2a</w:t>
        </w:r>
        <w:r>
          <w:rPr>
            <w:rFonts w:ascii="Arial" w:eastAsia="Arial" w:hAnsi="Arial" w:cs="Arial"/>
            <w:sz w:val="18"/>
            <w:szCs w:val="18"/>
          </w:rPr>
          <w:t xml:space="preserve"> </w:t>
        </w:r>
      </w:hyperlink>
      <w:r>
        <w:rPr>
          <w:rFonts w:ascii="Arial" w:eastAsia="Arial" w:hAnsi="Arial" w:cs="Arial"/>
          <w:sz w:val="18"/>
          <w:szCs w:val="18"/>
        </w:rPr>
        <w:t xml:space="preserve">that the </w:t>
      </w:r>
      <w:r>
        <w:rPr>
          <w:rFonts w:ascii="Arial" w:eastAsia="Arial" w:hAnsi="Arial" w:cs="Arial"/>
          <w:sz w:val="18"/>
          <w:szCs w:val="18"/>
        </w:rPr>
        <w:t>general trend over the period 2010-2022 is very similar in shape to that observed in</w:t>
      </w:r>
      <w:r>
        <w:rPr>
          <w:rFonts w:ascii="Arial" w:eastAsia="Arial" w:hAnsi="Arial" w:cs="Arial"/>
          <w:color w:val="0000FF"/>
          <w:sz w:val="18"/>
          <w:szCs w:val="18"/>
        </w:rPr>
        <w:t xml:space="preserve"> </w:t>
      </w:r>
      <w:hyperlink w:anchor="page1">
        <w:r>
          <w:rPr>
            <w:rFonts w:ascii="Arial" w:eastAsia="Arial" w:hAnsi="Arial" w:cs="Arial"/>
            <w:color w:val="0000FF"/>
            <w:sz w:val="18"/>
            <w:szCs w:val="18"/>
          </w:rPr>
          <w:t>1a</w:t>
        </w:r>
      </w:hyperlink>
      <w:r>
        <w:rPr>
          <w:rFonts w:ascii="Arial" w:eastAsia="Arial" w:hAnsi="Arial" w:cs="Arial"/>
          <w:sz w:val="18"/>
          <w:szCs w:val="18"/>
        </w:rPr>
        <w:t>. Then, when analysing the effect of varying volume on revenue, it can be seen that there is an extremely strong positive correlation (</w:t>
      </w:r>
      <w:r>
        <w:rPr>
          <w:rFonts w:ascii="Arial" w:eastAsia="Arial" w:hAnsi="Arial" w:cs="Arial"/>
          <w:i/>
          <w:iCs/>
          <w:sz w:val="18"/>
          <w:szCs w:val="18"/>
        </w:rPr>
        <w:t>r</w:t>
      </w:r>
      <w:r>
        <w:rPr>
          <w:rFonts w:ascii="Arial" w:eastAsia="Arial" w:hAnsi="Arial" w:cs="Arial"/>
          <w:sz w:val="18"/>
          <w:szCs w:val="18"/>
        </w:rPr>
        <w:t xml:space="preserve"> = 0.</w:t>
      </w:r>
      <w:r>
        <w:rPr>
          <w:rFonts w:ascii="Arial" w:eastAsia="Arial" w:hAnsi="Arial" w:cs="Arial"/>
          <w:sz w:val="18"/>
          <w:szCs w:val="18"/>
        </w:rPr>
        <w:t>94). This means that, based on this data, increasing occupancy rate should result in increased revenue. It is worth noting that a more accurate inference can be obtained by using even more historical data, and of course occupancy rate by nature is capped a</w:t>
      </w:r>
      <w:r>
        <w:rPr>
          <w:rFonts w:ascii="Arial" w:eastAsia="Arial" w:hAnsi="Arial" w:cs="Arial"/>
          <w:sz w:val="18"/>
          <w:szCs w:val="18"/>
        </w:rPr>
        <w:t>t 100%.</w:t>
      </w:r>
    </w:p>
    <w:p w14:paraId="7741498D" w14:textId="77777777" w:rsidR="00171FFE" w:rsidRDefault="00840651">
      <w:pPr>
        <w:spacing w:line="20" w:lineRule="exact"/>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56192" behindDoc="1" locked="0" layoutInCell="0" allowOverlap="1" wp14:anchorId="7E412F4D" wp14:editId="25C099E1">
            <wp:simplePos x="0" y="0"/>
            <wp:positionH relativeFrom="column">
              <wp:posOffset>4445</wp:posOffset>
            </wp:positionH>
            <wp:positionV relativeFrom="paragraph">
              <wp:posOffset>95885</wp:posOffset>
            </wp:positionV>
            <wp:extent cx="6840220" cy="2292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840220" cy="2292350"/>
                    </a:xfrm>
                    <a:prstGeom prst="rect">
                      <a:avLst/>
                    </a:prstGeom>
                    <a:noFill/>
                  </pic:spPr>
                </pic:pic>
              </a:graphicData>
            </a:graphic>
          </wp:anchor>
        </w:drawing>
      </w:r>
    </w:p>
    <w:p w14:paraId="1EAFAC92" w14:textId="77777777" w:rsidR="00171FFE" w:rsidRDefault="00171FFE">
      <w:pPr>
        <w:spacing w:line="200" w:lineRule="exact"/>
        <w:rPr>
          <w:rFonts w:ascii="Arial" w:eastAsia="Arial" w:hAnsi="Arial" w:cs="Arial"/>
          <w:sz w:val="18"/>
          <w:szCs w:val="18"/>
        </w:rPr>
      </w:pPr>
    </w:p>
    <w:p w14:paraId="547C2ABD" w14:textId="77777777" w:rsidR="00171FFE" w:rsidRDefault="00171FFE">
      <w:pPr>
        <w:spacing w:line="200" w:lineRule="exact"/>
        <w:rPr>
          <w:rFonts w:ascii="Arial" w:eastAsia="Arial" w:hAnsi="Arial" w:cs="Arial"/>
          <w:sz w:val="18"/>
          <w:szCs w:val="18"/>
        </w:rPr>
      </w:pPr>
    </w:p>
    <w:p w14:paraId="3A807C5D" w14:textId="77777777" w:rsidR="00171FFE" w:rsidRDefault="00171FFE">
      <w:pPr>
        <w:spacing w:line="200" w:lineRule="exact"/>
        <w:rPr>
          <w:rFonts w:ascii="Arial" w:eastAsia="Arial" w:hAnsi="Arial" w:cs="Arial"/>
          <w:sz w:val="18"/>
          <w:szCs w:val="18"/>
        </w:rPr>
      </w:pPr>
    </w:p>
    <w:p w14:paraId="6E2FBE3E" w14:textId="77777777" w:rsidR="00171FFE" w:rsidRDefault="00171FFE">
      <w:pPr>
        <w:spacing w:line="200" w:lineRule="exact"/>
        <w:rPr>
          <w:rFonts w:ascii="Arial" w:eastAsia="Arial" w:hAnsi="Arial" w:cs="Arial"/>
          <w:sz w:val="18"/>
          <w:szCs w:val="18"/>
        </w:rPr>
      </w:pPr>
    </w:p>
    <w:p w14:paraId="38A25526" w14:textId="77777777" w:rsidR="00171FFE" w:rsidRDefault="00171FFE">
      <w:pPr>
        <w:spacing w:line="200" w:lineRule="exact"/>
        <w:rPr>
          <w:rFonts w:ascii="Arial" w:eastAsia="Arial" w:hAnsi="Arial" w:cs="Arial"/>
          <w:sz w:val="18"/>
          <w:szCs w:val="18"/>
        </w:rPr>
      </w:pPr>
    </w:p>
    <w:p w14:paraId="46A959C3" w14:textId="77777777" w:rsidR="00171FFE" w:rsidRDefault="00171FFE">
      <w:pPr>
        <w:spacing w:line="200" w:lineRule="exact"/>
        <w:rPr>
          <w:rFonts w:ascii="Arial" w:eastAsia="Arial" w:hAnsi="Arial" w:cs="Arial"/>
          <w:sz w:val="18"/>
          <w:szCs w:val="18"/>
        </w:rPr>
      </w:pPr>
    </w:p>
    <w:p w14:paraId="69E56833" w14:textId="77777777" w:rsidR="00171FFE" w:rsidRDefault="00171FFE">
      <w:pPr>
        <w:spacing w:line="200" w:lineRule="exact"/>
        <w:rPr>
          <w:rFonts w:ascii="Arial" w:eastAsia="Arial" w:hAnsi="Arial" w:cs="Arial"/>
          <w:sz w:val="18"/>
          <w:szCs w:val="18"/>
        </w:rPr>
      </w:pPr>
    </w:p>
    <w:p w14:paraId="20DB6EFB" w14:textId="77777777" w:rsidR="00171FFE" w:rsidRDefault="00171FFE">
      <w:pPr>
        <w:spacing w:line="200" w:lineRule="exact"/>
        <w:rPr>
          <w:rFonts w:ascii="Arial" w:eastAsia="Arial" w:hAnsi="Arial" w:cs="Arial"/>
          <w:sz w:val="18"/>
          <w:szCs w:val="18"/>
        </w:rPr>
      </w:pPr>
    </w:p>
    <w:p w14:paraId="1D3D4FBA" w14:textId="77777777" w:rsidR="00171FFE" w:rsidRDefault="00171FFE">
      <w:pPr>
        <w:spacing w:line="200" w:lineRule="exact"/>
        <w:rPr>
          <w:rFonts w:ascii="Arial" w:eastAsia="Arial" w:hAnsi="Arial" w:cs="Arial"/>
          <w:sz w:val="18"/>
          <w:szCs w:val="18"/>
        </w:rPr>
      </w:pPr>
    </w:p>
    <w:p w14:paraId="5428636B" w14:textId="77777777" w:rsidR="00171FFE" w:rsidRDefault="00171FFE">
      <w:pPr>
        <w:spacing w:line="200" w:lineRule="exact"/>
        <w:rPr>
          <w:rFonts w:ascii="Arial" w:eastAsia="Arial" w:hAnsi="Arial" w:cs="Arial"/>
          <w:sz w:val="18"/>
          <w:szCs w:val="18"/>
        </w:rPr>
      </w:pPr>
    </w:p>
    <w:p w14:paraId="2C7AD956" w14:textId="77777777" w:rsidR="00171FFE" w:rsidRDefault="00171FFE">
      <w:pPr>
        <w:spacing w:line="200" w:lineRule="exact"/>
        <w:rPr>
          <w:rFonts w:ascii="Arial" w:eastAsia="Arial" w:hAnsi="Arial" w:cs="Arial"/>
          <w:sz w:val="18"/>
          <w:szCs w:val="18"/>
        </w:rPr>
      </w:pPr>
    </w:p>
    <w:p w14:paraId="7FF08D6F" w14:textId="77777777" w:rsidR="00171FFE" w:rsidRDefault="00171FFE">
      <w:pPr>
        <w:spacing w:line="200" w:lineRule="exact"/>
        <w:rPr>
          <w:rFonts w:ascii="Arial" w:eastAsia="Arial" w:hAnsi="Arial" w:cs="Arial"/>
          <w:sz w:val="18"/>
          <w:szCs w:val="18"/>
        </w:rPr>
      </w:pPr>
    </w:p>
    <w:p w14:paraId="4A6EC952" w14:textId="77777777" w:rsidR="00171FFE" w:rsidRDefault="00171FFE">
      <w:pPr>
        <w:spacing w:line="200" w:lineRule="exact"/>
        <w:rPr>
          <w:rFonts w:ascii="Arial" w:eastAsia="Arial" w:hAnsi="Arial" w:cs="Arial"/>
          <w:sz w:val="18"/>
          <w:szCs w:val="18"/>
        </w:rPr>
      </w:pPr>
    </w:p>
    <w:p w14:paraId="172E1B25" w14:textId="77777777" w:rsidR="00171FFE" w:rsidRDefault="00171FFE">
      <w:pPr>
        <w:spacing w:line="200" w:lineRule="exact"/>
        <w:rPr>
          <w:rFonts w:ascii="Arial" w:eastAsia="Arial" w:hAnsi="Arial" w:cs="Arial"/>
          <w:sz w:val="18"/>
          <w:szCs w:val="18"/>
        </w:rPr>
      </w:pPr>
    </w:p>
    <w:p w14:paraId="5ED41170" w14:textId="77777777" w:rsidR="00171FFE" w:rsidRDefault="00171FFE">
      <w:pPr>
        <w:spacing w:line="200" w:lineRule="exact"/>
        <w:rPr>
          <w:rFonts w:ascii="Arial" w:eastAsia="Arial" w:hAnsi="Arial" w:cs="Arial"/>
          <w:sz w:val="18"/>
          <w:szCs w:val="18"/>
        </w:rPr>
      </w:pPr>
    </w:p>
    <w:p w14:paraId="08ADDBF8" w14:textId="77777777" w:rsidR="00171FFE" w:rsidRDefault="00171FFE">
      <w:pPr>
        <w:spacing w:line="200" w:lineRule="exact"/>
        <w:rPr>
          <w:rFonts w:ascii="Arial" w:eastAsia="Arial" w:hAnsi="Arial" w:cs="Arial"/>
          <w:sz w:val="18"/>
          <w:szCs w:val="18"/>
        </w:rPr>
      </w:pPr>
    </w:p>
    <w:p w14:paraId="10DC6A40" w14:textId="77777777" w:rsidR="00171FFE" w:rsidRDefault="00171FFE">
      <w:pPr>
        <w:spacing w:line="281" w:lineRule="exact"/>
        <w:rPr>
          <w:rFonts w:ascii="Arial" w:eastAsia="Arial" w:hAnsi="Arial" w:cs="Arial"/>
          <w:sz w:val="18"/>
          <w:szCs w:val="18"/>
        </w:rPr>
      </w:pPr>
    </w:p>
    <w:p w14:paraId="72E4D2B8" w14:textId="77777777" w:rsidR="00171FFE" w:rsidRDefault="00840651">
      <w:pPr>
        <w:spacing w:line="282" w:lineRule="auto"/>
        <w:ind w:left="5940" w:right="20" w:hanging="4"/>
        <w:rPr>
          <w:sz w:val="20"/>
          <w:szCs w:val="20"/>
        </w:rPr>
      </w:pPr>
      <w:r>
        <w:rPr>
          <w:rFonts w:ascii="Arial" w:eastAsia="Arial" w:hAnsi="Arial" w:cs="Arial"/>
          <w:b/>
          <w:bCs/>
          <w:sz w:val="14"/>
          <w:szCs w:val="14"/>
        </w:rPr>
        <w:t>(b)</w:t>
      </w:r>
      <w:r>
        <w:rPr>
          <w:rFonts w:ascii="Arial" w:eastAsia="Arial" w:hAnsi="Arial" w:cs="Arial"/>
          <w:sz w:val="14"/>
          <w:szCs w:val="14"/>
        </w:rPr>
        <w:t xml:space="preserve"> The correlation between occupancy rate and revenue per available room (RevPar) between 2010-2022. The correlation coefficient, represented</w:t>
      </w:r>
    </w:p>
    <w:p w14:paraId="4F74C2E5" w14:textId="77777777" w:rsidR="00171FFE" w:rsidRDefault="00840651">
      <w:pPr>
        <w:tabs>
          <w:tab w:val="left" w:pos="5920"/>
        </w:tabs>
        <w:ind w:left="440"/>
        <w:rPr>
          <w:sz w:val="20"/>
          <w:szCs w:val="20"/>
        </w:rPr>
      </w:pPr>
      <w:r>
        <w:rPr>
          <w:rFonts w:ascii="Arial" w:eastAsia="Arial" w:hAnsi="Arial" w:cs="Arial"/>
          <w:b/>
          <w:bCs/>
          <w:sz w:val="15"/>
          <w:szCs w:val="15"/>
        </w:rPr>
        <w:t>(a)</w:t>
      </w:r>
      <w:r>
        <w:rPr>
          <w:rFonts w:ascii="Arial" w:eastAsia="Arial" w:hAnsi="Arial" w:cs="Arial"/>
          <w:sz w:val="15"/>
          <w:szCs w:val="15"/>
        </w:rPr>
        <w:t xml:space="preserve"> The yearly change in occupancy rate between 2010-2022.</w:t>
      </w:r>
      <w:r>
        <w:rPr>
          <w:sz w:val="20"/>
          <w:szCs w:val="20"/>
        </w:rPr>
        <w:tab/>
      </w:r>
      <w:r>
        <w:rPr>
          <w:rFonts w:ascii="Arial" w:eastAsia="Arial" w:hAnsi="Arial" w:cs="Arial"/>
          <w:sz w:val="14"/>
          <w:szCs w:val="14"/>
        </w:rPr>
        <w:t xml:space="preserve">by </w:t>
      </w:r>
      <w:r>
        <w:rPr>
          <w:rFonts w:ascii="Arial" w:eastAsia="Arial" w:hAnsi="Arial" w:cs="Arial"/>
          <w:i/>
          <w:iCs/>
          <w:sz w:val="14"/>
          <w:szCs w:val="14"/>
        </w:rPr>
        <w:t>r</w:t>
      </w:r>
      <w:r>
        <w:rPr>
          <w:rFonts w:ascii="Arial" w:eastAsia="Arial" w:hAnsi="Arial" w:cs="Arial"/>
          <w:sz w:val="14"/>
          <w:szCs w:val="14"/>
        </w:rPr>
        <w:t xml:space="preserve"> , implies a strong positive correlation.</w:t>
      </w:r>
    </w:p>
    <w:p w14:paraId="4D65B451" w14:textId="77777777" w:rsidR="00171FFE" w:rsidRDefault="00171FFE">
      <w:pPr>
        <w:spacing w:line="225" w:lineRule="exact"/>
        <w:rPr>
          <w:rFonts w:ascii="Arial" w:eastAsia="Arial" w:hAnsi="Arial" w:cs="Arial"/>
          <w:sz w:val="18"/>
          <w:szCs w:val="18"/>
        </w:rPr>
      </w:pPr>
    </w:p>
    <w:p w14:paraId="51C35B32" w14:textId="77777777" w:rsidR="00171FFE" w:rsidRDefault="00840651">
      <w:pPr>
        <w:ind w:right="20"/>
        <w:jc w:val="center"/>
        <w:rPr>
          <w:sz w:val="20"/>
          <w:szCs w:val="20"/>
        </w:rPr>
      </w:pPr>
      <w:r>
        <w:rPr>
          <w:rFonts w:ascii="Arial" w:eastAsia="Arial" w:hAnsi="Arial" w:cs="Arial"/>
          <w:b/>
          <w:bCs/>
          <w:sz w:val="16"/>
          <w:szCs w:val="16"/>
        </w:rPr>
        <w:t>Figure 2:</w:t>
      </w:r>
      <w:r>
        <w:rPr>
          <w:rFonts w:ascii="Arial" w:eastAsia="Arial" w:hAnsi="Arial" w:cs="Arial"/>
          <w:sz w:val="16"/>
          <w:szCs w:val="16"/>
        </w:rPr>
        <w:t xml:space="preserve"> Volume Impact on Revenue</w:t>
      </w:r>
    </w:p>
    <w:p w14:paraId="4E8E69DA" w14:textId="77777777" w:rsidR="00171FFE" w:rsidRDefault="00171FFE">
      <w:pPr>
        <w:sectPr w:rsidR="00171FFE">
          <w:pgSz w:w="11900" w:h="16877"/>
          <w:pgMar w:top="460" w:right="546" w:bottom="0" w:left="560" w:header="0" w:footer="0" w:gutter="0"/>
          <w:cols w:space="720" w:equalWidth="0">
            <w:col w:w="10800"/>
          </w:cols>
        </w:sectPr>
      </w:pPr>
    </w:p>
    <w:p w14:paraId="487F9E1F" w14:textId="77777777" w:rsidR="00171FFE" w:rsidRDefault="00171FFE">
      <w:pPr>
        <w:spacing w:line="200" w:lineRule="exact"/>
        <w:rPr>
          <w:rFonts w:ascii="Arial" w:eastAsia="Arial" w:hAnsi="Arial" w:cs="Arial"/>
          <w:sz w:val="18"/>
          <w:szCs w:val="18"/>
        </w:rPr>
      </w:pPr>
    </w:p>
    <w:p w14:paraId="62E1E181" w14:textId="77777777" w:rsidR="00171FFE" w:rsidRDefault="00171FFE">
      <w:pPr>
        <w:spacing w:line="200" w:lineRule="exact"/>
        <w:rPr>
          <w:rFonts w:ascii="Arial" w:eastAsia="Arial" w:hAnsi="Arial" w:cs="Arial"/>
          <w:sz w:val="18"/>
          <w:szCs w:val="18"/>
        </w:rPr>
      </w:pPr>
    </w:p>
    <w:p w14:paraId="0E94EE54" w14:textId="77777777" w:rsidR="00171FFE" w:rsidRDefault="00171FFE">
      <w:pPr>
        <w:spacing w:line="363" w:lineRule="exact"/>
        <w:rPr>
          <w:rFonts w:ascii="Arial" w:eastAsia="Arial" w:hAnsi="Arial" w:cs="Arial"/>
          <w:sz w:val="18"/>
          <w:szCs w:val="18"/>
        </w:rPr>
      </w:pPr>
    </w:p>
    <w:p w14:paraId="0287C58A" w14:textId="77777777" w:rsidR="00171FFE" w:rsidRDefault="00840651">
      <w:pPr>
        <w:ind w:left="10680"/>
        <w:rPr>
          <w:sz w:val="20"/>
          <w:szCs w:val="20"/>
        </w:rPr>
      </w:pPr>
      <w:r>
        <w:rPr>
          <w:rFonts w:ascii="Arial" w:eastAsia="Arial" w:hAnsi="Arial" w:cs="Arial"/>
          <w:sz w:val="17"/>
          <w:szCs w:val="17"/>
        </w:rPr>
        <w:t>1</w:t>
      </w:r>
    </w:p>
    <w:p w14:paraId="2DB1FB60" w14:textId="77777777" w:rsidR="00171FFE" w:rsidRDefault="00171FFE">
      <w:pPr>
        <w:sectPr w:rsidR="00171FFE">
          <w:type w:val="continuous"/>
          <w:pgSz w:w="11900" w:h="16877"/>
          <w:pgMar w:top="460" w:right="546" w:bottom="0" w:left="560" w:header="0" w:footer="0" w:gutter="0"/>
          <w:cols w:space="720" w:equalWidth="0">
            <w:col w:w="10800"/>
          </w:cols>
        </w:sectPr>
      </w:pPr>
    </w:p>
    <w:p w14:paraId="20056D38" w14:textId="77777777" w:rsidR="00171FFE" w:rsidRDefault="00171FFE">
      <w:pPr>
        <w:spacing w:line="40" w:lineRule="exact"/>
        <w:rPr>
          <w:sz w:val="20"/>
          <w:szCs w:val="20"/>
        </w:rPr>
      </w:pPr>
      <w:bookmarkStart w:id="3" w:name="page2"/>
      <w:bookmarkEnd w:id="3"/>
    </w:p>
    <w:p w14:paraId="0B3BB193" w14:textId="77777777" w:rsidR="00171FFE" w:rsidRDefault="00840651">
      <w:pPr>
        <w:tabs>
          <w:tab w:val="left" w:pos="9160"/>
        </w:tabs>
        <w:rPr>
          <w:sz w:val="20"/>
          <w:szCs w:val="20"/>
        </w:rPr>
      </w:pPr>
      <w:r>
        <w:rPr>
          <w:rFonts w:ascii="Arial" w:eastAsia="Arial" w:hAnsi="Arial" w:cs="Arial"/>
          <w:sz w:val="18"/>
          <w:szCs w:val="18"/>
        </w:rPr>
        <w:t>Revenue Driver and Cost Driver Analysis</w:t>
      </w:r>
      <w:r>
        <w:rPr>
          <w:sz w:val="20"/>
          <w:szCs w:val="20"/>
        </w:rPr>
        <w:tab/>
      </w:r>
      <w:r>
        <w:rPr>
          <w:rFonts w:ascii="Arial" w:eastAsia="Arial" w:hAnsi="Arial" w:cs="Arial"/>
          <w:sz w:val="18"/>
          <w:szCs w:val="18"/>
        </w:rPr>
        <w:t>Sidharth Nambiath</w:t>
      </w:r>
    </w:p>
    <w:p w14:paraId="0C17F8AC" w14:textId="77777777" w:rsidR="00171FFE" w:rsidRDefault="00840651">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14:anchorId="68DC1EC8" wp14:editId="5F95DAE3">
                <wp:simplePos x="0" y="0"/>
                <wp:positionH relativeFrom="column">
                  <wp:posOffset>3810</wp:posOffset>
                </wp:positionH>
                <wp:positionV relativeFrom="paragraph">
                  <wp:posOffset>19685</wp:posOffset>
                </wp:positionV>
                <wp:extent cx="684022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04CC91AC" id="Shap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" o:allowincell="f" filled="t" strokeweight=".14039mm">
                <v:stroke joinstyle="miter"/>
                <o:lock v:ext="edit" shapetype="f"/>
              </v:line>
            </w:pict>
          </mc:Fallback>
        </mc:AlternateContent>
      </w:r>
    </w:p>
    <w:p w14:paraId="0EAB8EAB" w14:textId="77777777" w:rsidR="00171FFE" w:rsidRDefault="00171FFE">
      <w:pPr>
        <w:spacing w:line="200" w:lineRule="exact"/>
        <w:rPr>
          <w:sz w:val="20"/>
          <w:szCs w:val="20"/>
        </w:rPr>
      </w:pPr>
    </w:p>
    <w:p w14:paraId="668CE1BA" w14:textId="77777777" w:rsidR="00171FFE" w:rsidRDefault="00171FFE">
      <w:pPr>
        <w:spacing w:line="306" w:lineRule="exact"/>
        <w:rPr>
          <w:sz w:val="20"/>
          <w:szCs w:val="20"/>
        </w:rPr>
      </w:pPr>
    </w:p>
    <w:p w14:paraId="45BC91D5" w14:textId="77777777" w:rsidR="00171FFE" w:rsidRDefault="00840651">
      <w:pPr>
        <w:ind w:right="40"/>
        <w:jc w:val="center"/>
        <w:rPr>
          <w:sz w:val="20"/>
          <w:szCs w:val="20"/>
        </w:rPr>
      </w:pPr>
      <w:r>
        <w:rPr>
          <w:rFonts w:ascii="Arial" w:eastAsia="Arial" w:hAnsi="Arial" w:cs="Arial"/>
          <w:sz w:val="18"/>
          <w:szCs w:val="18"/>
        </w:rPr>
        <w:t xml:space="preserve">h! </w:t>
      </w:r>
      <w:r>
        <w:rPr>
          <w:noProof/>
          <w:sz w:val="1"/>
          <w:szCs w:val="1"/>
        </w:rPr>
        <w:drawing>
          <wp:inline distT="0" distB="0" distL="0" distR="0" wp14:anchorId="12FB1673" wp14:editId="45990767">
            <wp:extent cx="3077845" cy="2308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3077845" cy="2308225"/>
                    </a:xfrm>
                    <a:prstGeom prst="rect">
                      <a:avLst/>
                    </a:prstGeom>
                    <a:noFill/>
                    <a:ln>
                      <a:noFill/>
                    </a:ln>
                  </pic:spPr>
                </pic:pic>
              </a:graphicData>
            </a:graphic>
          </wp:inline>
        </w:drawing>
      </w:r>
    </w:p>
    <w:p w14:paraId="6E337C7B" w14:textId="77777777" w:rsidR="00171FFE" w:rsidRDefault="00171FFE">
      <w:pPr>
        <w:spacing w:line="166" w:lineRule="exact"/>
        <w:rPr>
          <w:sz w:val="20"/>
          <w:szCs w:val="20"/>
        </w:rPr>
      </w:pPr>
    </w:p>
    <w:p w14:paraId="483B6E4C" w14:textId="77777777" w:rsidR="00171FFE" w:rsidRDefault="00840651">
      <w:pPr>
        <w:ind w:right="40"/>
        <w:jc w:val="center"/>
        <w:rPr>
          <w:sz w:val="20"/>
          <w:szCs w:val="20"/>
        </w:rPr>
      </w:pPr>
      <w:r>
        <w:rPr>
          <w:rFonts w:ascii="Arial" w:eastAsia="Arial" w:hAnsi="Arial" w:cs="Arial"/>
          <w:b/>
          <w:bCs/>
          <w:sz w:val="16"/>
          <w:szCs w:val="16"/>
        </w:rPr>
        <w:t>Figure 3:</w:t>
      </w:r>
      <w:r>
        <w:rPr>
          <w:rFonts w:ascii="Arial" w:eastAsia="Arial" w:hAnsi="Arial" w:cs="Arial"/>
          <w:sz w:val="16"/>
          <w:szCs w:val="16"/>
        </w:rPr>
        <w:t xml:space="preserve"> The change in the number of hotel rooms owned by Marriott Inc between 2010-2022.</w:t>
      </w:r>
    </w:p>
    <w:p w14:paraId="2B033DF1" w14:textId="77777777" w:rsidR="00171FFE" w:rsidRDefault="00171FFE">
      <w:pPr>
        <w:spacing w:line="270" w:lineRule="exact"/>
        <w:rPr>
          <w:sz w:val="20"/>
          <w:szCs w:val="20"/>
        </w:rPr>
      </w:pPr>
    </w:p>
    <w:p w14:paraId="366C0258" w14:textId="77777777" w:rsidR="00171FFE" w:rsidRDefault="00840651">
      <w:pPr>
        <w:ind w:right="40"/>
        <w:jc w:val="center"/>
        <w:rPr>
          <w:sz w:val="20"/>
          <w:szCs w:val="20"/>
        </w:rPr>
      </w:pPr>
      <w:r>
        <w:rPr>
          <w:rFonts w:ascii="Arial" w:eastAsia="Arial" w:hAnsi="Arial" w:cs="Arial"/>
          <w:sz w:val="18"/>
          <w:szCs w:val="18"/>
        </w:rPr>
        <w:t xml:space="preserve">H </w:t>
      </w:r>
      <w:r>
        <w:rPr>
          <w:noProof/>
          <w:sz w:val="1"/>
          <w:szCs w:val="1"/>
        </w:rPr>
        <w:drawing>
          <wp:inline distT="0" distB="0" distL="0" distR="0" wp14:anchorId="1ABDDB27" wp14:editId="008D2DC1">
            <wp:extent cx="3077845" cy="2051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3077845" cy="2051685"/>
                    </a:xfrm>
                    <a:prstGeom prst="rect">
                      <a:avLst/>
                    </a:prstGeom>
                    <a:noFill/>
                    <a:ln>
                      <a:noFill/>
                    </a:ln>
                  </pic:spPr>
                </pic:pic>
              </a:graphicData>
            </a:graphic>
          </wp:inline>
        </w:drawing>
      </w:r>
    </w:p>
    <w:p w14:paraId="68A2C1DC" w14:textId="77777777" w:rsidR="00171FFE" w:rsidRDefault="00171FFE">
      <w:pPr>
        <w:spacing w:line="165" w:lineRule="exact"/>
        <w:rPr>
          <w:sz w:val="20"/>
          <w:szCs w:val="20"/>
        </w:rPr>
      </w:pPr>
    </w:p>
    <w:p w14:paraId="46F3F13C" w14:textId="77777777" w:rsidR="00171FFE" w:rsidRDefault="00840651">
      <w:pPr>
        <w:ind w:right="40"/>
        <w:jc w:val="center"/>
        <w:rPr>
          <w:sz w:val="20"/>
          <w:szCs w:val="20"/>
        </w:rPr>
      </w:pPr>
      <w:r>
        <w:rPr>
          <w:rFonts w:ascii="Arial" w:eastAsia="Arial" w:hAnsi="Arial" w:cs="Arial"/>
          <w:b/>
          <w:bCs/>
          <w:sz w:val="16"/>
          <w:szCs w:val="16"/>
        </w:rPr>
        <w:t>Figure 4:</w:t>
      </w:r>
      <w:r>
        <w:rPr>
          <w:rFonts w:ascii="Arial" w:eastAsia="Arial" w:hAnsi="Arial" w:cs="Arial"/>
          <w:sz w:val="16"/>
          <w:szCs w:val="16"/>
        </w:rPr>
        <w:t xml:space="preserve"> The evolution of net income amongst peers in the hospitality sector (2017-2022). Net income data acquired from Macrotrends.</w:t>
      </w:r>
    </w:p>
    <w:p w14:paraId="177A5C3F" w14:textId="77777777" w:rsidR="00171FFE" w:rsidRDefault="00171FFE">
      <w:pPr>
        <w:spacing w:line="200" w:lineRule="exact"/>
        <w:rPr>
          <w:sz w:val="20"/>
          <w:szCs w:val="20"/>
        </w:rPr>
      </w:pPr>
    </w:p>
    <w:p w14:paraId="4C31A15F" w14:textId="77777777" w:rsidR="00840651" w:rsidRDefault="00840651" w:rsidP="00840651">
      <w:pPr>
        <w:rPr>
          <w:shd w:val="clear" w:color="auto" w:fill="00FF00"/>
        </w:rPr>
      </w:pPr>
      <w:r>
        <w:rPr>
          <w:shd w:val="clear" w:color="auto" w:fill="00FF00"/>
        </w:rPr>
        <w:t xml:space="preserve">Revenue is driven as RevPAR * No. Rooms where, </w:t>
      </w:r>
    </w:p>
    <w:p w14:paraId="2708941A" w14:textId="77777777" w:rsidR="00840651" w:rsidRDefault="00840651" w:rsidP="00840651">
      <w:pPr>
        <w:ind w:left="360"/>
        <w:rPr>
          <w:shd w:val="clear" w:color="auto" w:fill="00FF00"/>
        </w:rPr>
      </w:pPr>
      <w:r>
        <w:rPr>
          <w:shd w:val="clear" w:color="auto" w:fill="00FF00"/>
        </w:rPr>
        <w:t xml:space="preserve"> RevPAR is the function of ADR (price impact) * Occupancy (volume impact)</w:t>
      </w:r>
    </w:p>
    <w:p w14:paraId="0F267414" w14:textId="77777777" w:rsidR="00840651" w:rsidRDefault="00840651" w:rsidP="00840651">
      <w:pPr>
        <w:rPr>
          <w:shd w:val="clear" w:color="auto" w:fill="00FF00"/>
        </w:rPr>
      </w:pPr>
    </w:p>
    <w:p w14:paraId="513FD372" w14:textId="77777777" w:rsidR="00840651" w:rsidRDefault="00840651" w:rsidP="00840651">
      <w:pPr>
        <w:rPr>
          <w:shd w:val="clear" w:color="auto" w:fill="00FF00"/>
        </w:rPr>
      </w:pPr>
      <w:r>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189F8E63" w14:textId="77777777" w:rsidR="00840651" w:rsidRDefault="00840651" w:rsidP="00840651">
      <w:pPr>
        <w:rPr>
          <w:shd w:val="clear" w:color="auto" w:fill="00FF00"/>
        </w:rPr>
      </w:pPr>
    </w:p>
    <w:p w14:paraId="3C263ADD" w14:textId="77777777" w:rsidR="00171FFE" w:rsidRDefault="00171FFE">
      <w:pPr>
        <w:spacing w:line="229" w:lineRule="exact"/>
        <w:rPr>
          <w:sz w:val="20"/>
          <w:szCs w:val="20"/>
        </w:rPr>
      </w:pPr>
    </w:p>
    <w:p w14:paraId="21AD1464" w14:textId="77777777" w:rsidR="00840651" w:rsidRDefault="00840651">
      <w:pPr>
        <w:spacing w:line="229" w:lineRule="exact"/>
        <w:rPr>
          <w:sz w:val="20"/>
          <w:szCs w:val="20"/>
        </w:rPr>
      </w:pPr>
    </w:p>
    <w:p w14:paraId="07F40D95" w14:textId="77777777" w:rsidR="00171FFE" w:rsidRDefault="00840651">
      <w:pPr>
        <w:rPr>
          <w:sz w:val="20"/>
          <w:szCs w:val="20"/>
        </w:rPr>
      </w:pPr>
      <w:r>
        <w:rPr>
          <w:rFonts w:ascii="Arial" w:eastAsia="Arial" w:hAnsi="Arial" w:cs="Arial"/>
          <w:b/>
          <w:bCs/>
        </w:rPr>
        <w:t>Cost Drivers</w:t>
      </w:r>
    </w:p>
    <w:p w14:paraId="38B9CB05" w14:textId="77777777" w:rsidR="00171FFE" w:rsidRDefault="00171FFE">
      <w:pPr>
        <w:spacing w:line="214" w:lineRule="exact"/>
        <w:rPr>
          <w:sz w:val="20"/>
          <w:szCs w:val="20"/>
        </w:rPr>
      </w:pPr>
    </w:p>
    <w:p w14:paraId="4AAE5A01" w14:textId="77777777" w:rsidR="00171FFE" w:rsidRDefault="00840651">
      <w:pPr>
        <w:spacing w:line="346" w:lineRule="auto"/>
        <w:ind w:right="40"/>
        <w:rPr>
          <w:sz w:val="20"/>
          <w:szCs w:val="20"/>
        </w:rPr>
      </w:pPr>
      <w:r>
        <w:rPr>
          <w:rFonts w:ascii="Arial" w:eastAsia="Arial" w:hAnsi="Arial" w:cs="Arial"/>
          <w:sz w:val="18"/>
          <w:szCs w:val="18"/>
        </w:rPr>
        <w:t xml:space="preserve">Cost drivers are </w:t>
      </w:r>
      <w:r>
        <w:rPr>
          <w:rFonts w:ascii="Arial" w:eastAsia="Arial" w:hAnsi="Arial" w:cs="Arial"/>
          <w:sz w:val="18"/>
          <w:szCs w:val="18"/>
        </w:rPr>
        <w:t>defined as factors and variables which influence the costs that a firm may experience. In the case of Marriott Inc, the following were identified as potential cost drivers:</w:t>
      </w:r>
    </w:p>
    <w:p w14:paraId="1DBFB461" w14:textId="77777777" w:rsidR="00171FFE" w:rsidRDefault="00171FFE">
      <w:pPr>
        <w:spacing w:line="157" w:lineRule="exact"/>
        <w:rPr>
          <w:sz w:val="20"/>
          <w:szCs w:val="20"/>
        </w:rPr>
      </w:pPr>
    </w:p>
    <w:p w14:paraId="5E77A2CF" w14:textId="77777777" w:rsidR="00171FFE" w:rsidRDefault="00840651">
      <w:pPr>
        <w:numPr>
          <w:ilvl w:val="0"/>
          <w:numId w:val="1"/>
        </w:numPr>
        <w:tabs>
          <w:tab w:val="left" w:pos="500"/>
        </w:tabs>
        <w:ind w:left="500" w:hanging="169"/>
        <w:rPr>
          <w:rFonts w:ascii="Arial" w:eastAsia="Arial" w:hAnsi="Arial" w:cs="Arial"/>
          <w:sz w:val="18"/>
          <w:szCs w:val="18"/>
        </w:rPr>
      </w:pPr>
      <w:r>
        <w:rPr>
          <w:rFonts w:ascii="Arial" w:eastAsia="Arial" w:hAnsi="Arial" w:cs="Arial"/>
          <w:b/>
          <w:bCs/>
          <w:sz w:val="18"/>
          <w:szCs w:val="18"/>
        </w:rPr>
        <w:t>Labour Costs (Variable)</w:t>
      </w:r>
      <w:r>
        <w:rPr>
          <w:rFonts w:ascii="Arial" w:eastAsia="Arial" w:hAnsi="Arial" w:cs="Arial"/>
          <w:sz w:val="18"/>
          <w:szCs w:val="18"/>
        </w:rPr>
        <w:t xml:space="preserve"> - proportional to the number of employees; larger number o</w:t>
      </w:r>
      <w:r>
        <w:rPr>
          <w:rFonts w:ascii="Arial" w:eastAsia="Arial" w:hAnsi="Arial" w:cs="Arial"/>
          <w:sz w:val="18"/>
          <w:szCs w:val="18"/>
        </w:rPr>
        <w:t>f employees means labour costs increase.</w:t>
      </w:r>
    </w:p>
    <w:p w14:paraId="2EADDA88" w14:textId="77777777" w:rsidR="00171FFE" w:rsidRDefault="00171FFE">
      <w:pPr>
        <w:spacing w:line="251" w:lineRule="exact"/>
        <w:rPr>
          <w:rFonts w:ascii="Arial" w:eastAsia="Arial" w:hAnsi="Arial" w:cs="Arial"/>
          <w:sz w:val="18"/>
          <w:szCs w:val="18"/>
        </w:rPr>
      </w:pPr>
    </w:p>
    <w:p w14:paraId="5EA56C7F" w14:textId="77777777" w:rsidR="00171FFE" w:rsidRDefault="00840651">
      <w:pPr>
        <w:numPr>
          <w:ilvl w:val="0"/>
          <w:numId w:val="1"/>
        </w:numPr>
        <w:tabs>
          <w:tab w:val="left" w:pos="500"/>
        </w:tabs>
        <w:spacing w:line="350" w:lineRule="auto"/>
        <w:ind w:left="500" w:right="40" w:hanging="169"/>
        <w:rPr>
          <w:rFonts w:ascii="Arial" w:eastAsia="Arial" w:hAnsi="Arial" w:cs="Arial"/>
          <w:sz w:val="18"/>
          <w:szCs w:val="18"/>
        </w:rPr>
      </w:pPr>
      <w:r>
        <w:rPr>
          <w:rFonts w:ascii="Arial" w:eastAsia="Arial" w:hAnsi="Arial" w:cs="Arial"/>
          <w:b/>
          <w:bCs/>
          <w:sz w:val="18"/>
          <w:szCs w:val="18"/>
        </w:rPr>
        <w:t>Operational Expenses (Variable)</w:t>
      </w:r>
      <w:r>
        <w:rPr>
          <w:rFonts w:ascii="Arial" w:eastAsia="Arial" w:hAnsi="Arial" w:cs="Arial"/>
          <w:sz w:val="18"/>
          <w:szCs w:val="18"/>
        </w:rPr>
        <w:t xml:space="preserve"> - operational expenses include utility costs, which tend to increase as occupancy rates increase.</w:t>
      </w:r>
    </w:p>
    <w:p w14:paraId="0B401CDB" w14:textId="77777777" w:rsidR="00171FFE" w:rsidRDefault="00171FFE">
      <w:pPr>
        <w:spacing w:line="153" w:lineRule="exact"/>
        <w:rPr>
          <w:rFonts w:ascii="Arial" w:eastAsia="Arial" w:hAnsi="Arial" w:cs="Arial"/>
          <w:sz w:val="18"/>
          <w:szCs w:val="18"/>
        </w:rPr>
      </w:pPr>
    </w:p>
    <w:p w14:paraId="359FB36F" w14:textId="77777777" w:rsidR="00171FFE" w:rsidRDefault="00840651">
      <w:pPr>
        <w:numPr>
          <w:ilvl w:val="0"/>
          <w:numId w:val="1"/>
        </w:numPr>
        <w:tabs>
          <w:tab w:val="left" w:pos="500"/>
        </w:tabs>
        <w:spacing w:line="350" w:lineRule="auto"/>
        <w:ind w:left="500" w:right="40" w:hanging="169"/>
        <w:rPr>
          <w:rFonts w:ascii="Arial" w:eastAsia="Arial" w:hAnsi="Arial" w:cs="Arial"/>
          <w:sz w:val="18"/>
          <w:szCs w:val="18"/>
        </w:rPr>
      </w:pPr>
      <w:r>
        <w:rPr>
          <w:rFonts w:ascii="Arial" w:eastAsia="Arial" w:hAnsi="Arial" w:cs="Arial"/>
          <w:b/>
          <w:bCs/>
          <w:sz w:val="18"/>
          <w:szCs w:val="18"/>
        </w:rPr>
        <w:t>Rent (Fixed)</w:t>
      </w:r>
      <w:r>
        <w:rPr>
          <w:rFonts w:ascii="Arial" w:eastAsia="Arial" w:hAnsi="Arial" w:cs="Arial"/>
          <w:sz w:val="18"/>
          <w:szCs w:val="18"/>
        </w:rPr>
        <w:t xml:space="preserve"> - Rent is generally fixed, assuming that the number of properties does</w:t>
      </w:r>
      <w:r>
        <w:rPr>
          <w:rFonts w:ascii="Arial" w:eastAsia="Arial" w:hAnsi="Arial" w:cs="Arial"/>
          <w:sz w:val="18"/>
          <w:szCs w:val="18"/>
        </w:rPr>
        <w:t xml:space="preserve"> not increase, i.e. regardless of the occupancy rate, the same rent is paid per hotel building.</w:t>
      </w:r>
    </w:p>
    <w:p w14:paraId="4AB373CD" w14:textId="77777777" w:rsidR="00171FFE" w:rsidRDefault="00171FFE">
      <w:pPr>
        <w:spacing w:line="157" w:lineRule="exact"/>
        <w:rPr>
          <w:sz w:val="20"/>
          <w:szCs w:val="20"/>
        </w:rPr>
      </w:pPr>
    </w:p>
    <w:p w14:paraId="616E6E71" w14:textId="77777777" w:rsidR="00171FFE" w:rsidRDefault="00840651">
      <w:pPr>
        <w:spacing w:line="346" w:lineRule="auto"/>
        <w:ind w:right="40" w:firstLine="299"/>
        <w:jc w:val="both"/>
        <w:rPr>
          <w:rFonts w:ascii="Arial" w:eastAsia="Arial" w:hAnsi="Arial" w:cs="Arial"/>
          <w:sz w:val="18"/>
          <w:szCs w:val="18"/>
        </w:rPr>
      </w:pPr>
      <w:r>
        <w:rPr>
          <w:rFonts w:ascii="Arial" w:eastAsia="Arial" w:hAnsi="Arial" w:cs="Arial"/>
          <w:sz w:val="18"/>
          <w:szCs w:val="18"/>
        </w:rPr>
        <w:t>It can be seen in Figure</w:t>
      </w:r>
      <w:r>
        <w:rPr>
          <w:rFonts w:ascii="Arial" w:eastAsia="Arial" w:hAnsi="Arial" w:cs="Arial"/>
          <w:color w:val="0000FF"/>
          <w:sz w:val="18"/>
          <w:szCs w:val="18"/>
        </w:rPr>
        <w:t xml:space="preserve"> </w:t>
      </w:r>
      <w:hyperlink w:anchor="page2">
        <w:r>
          <w:rPr>
            <w:rFonts w:ascii="Arial" w:eastAsia="Arial" w:hAnsi="Arial" w:cs="Arial"/>
            <w:color w:val="0000FF"/>
            <w:sz w:val="18"/>
            <w:szCs w:val="18"/>
          </w:rPr>
          <w:t>3</w:t>
        </w:r>
        <w:r>
          <w:rPr>
            <w:rFonts w:ascii="Arial" w:eastAsia="Arial" w:hAnsi="Arial" w:cs="Arial"/>
            <w:sz w:val="18"/>
            <w:szCs w:val="18"/>
          </w:rPr>
          <w:t xml:space="preserve"> </w:t>
        </w:r>
      </w:hyperlink>
      <w:r>
        <w:rPr>
          <w:rFonts w:ascii="Arial" w:eastAsia="Arial" w:hAnsi="Arial" w:cs="Arial"/>
          <w:sz w:val="18"/>
          <w:szCs w:val="18"/>
        </w:rPr>
        <w:t>that Marriott has continued to increase the number of rooms in its portfolio, with a particularly pronou</w:t>
      </w:r>
      <w:r>
        <w:rPr>
          <w:rFonts w:ascii="Arial" w:eastAsia="Arial" w:hAnsi="Arial" w:cs="Arial"/>
          <w:sz w:val="18"/>
          <w:szCs w:val="18"/>
        </w:rPr>
        <w:t>nced increase between 2015 and 2016. This implies that Marriott has chosen to consistently grow in size, and thus it can be expected that the variable costs would all increase. Since this type of growth would involve acquiring more property, it is likely t</w:t>
      </w:r>
      <w:r>
        <w:rPr>
          <w:rFonts w:ascii="Arial" w:eastAsia="Arial" w:hAnsi="Arial" w:cs="Arial"/>
          <w:sz w:val="18"/>
          <w:szCs w:val="18"/>
        </w:rPr>
        <w:t>hat the total cost of renting would increase, despite it being a fixed cost under certain circumstances.</w:t>
      </w:r>
    </w:p>
    <w:p w14:paraId="648FBF43" w14:textId="77777777" w:rsidR="00840651" w:rsidRDefault="00840651">
      <w:pPr>
        <w:spacing w:line="346" w:lineRule="auto"/>
        <w:ind w:right="40" w:firstLine="299"/>
        <w:jc w:val="both"/>
        <w:rPr>
          <w:rFonts w:ascii="Arial" w:eastAsia="Arial" w:hAnsi="Arial" w:cs="Arial"/>
          <w:sz w:val="18"/>
          <w:szCs w:val="18"/>
        </w:rPr>
      </w:pPr>
    </w:p>
    <w:p w14:paraId="79A961DA" w14:textId="77777777" w:rsidR="00840651" w:rsidRDefault="00840651">
      <w:pPr>
        <w:spacing w:line="346" w:lineRule="auto"/>
        <w:ind w:right="40" w:firstLine="299"/>
        <w:jc w:val="both"/>
        <w:rPr>
          <w:rFonts w:ascii="Arial" w:eastAsia="Arial" w:hAnsi="Arial" w:cs="Arial"/>
          <w:sz w:val="18"/>
          <w:szCs w:val="18"/>
        </w:rPr>
      </w:pPr>
    </w:p>
    <w:p w14:paraId="721BD357" w14:textId="77777777" w:rsidR="00840651" w:rsidRPr="009D0768" w:rsidRDefault="00840651" w:rsidP="00840651">
      <w:r>
        <w:rPr>
          <w:shd w:val="clear" w:color="auto" w:fill="00FF00"/>
        </w:rPr>
        <w:lastRenderedPageBreak/>
        <w:t>Large portion of Marriot’s cost is the reimbursed expenses which is directly related to reimbursed revenue. Management and franchise related operating expenses will have be derived as a % of revenue.</w:t>
      </w:r>
    </w:p>
    <w:p w14:paraId="3087A738" w14:textId="77777777" w:rsidR="00840651" w:rsidRPr="000D0728" w:rsidRDefault="00840651" w:rsidP="00840651">
      <w:pPr>
        <w:pStyle w:val="Default"/>
        <w:spacing w:after="0" w:line="240" w:lineRule="auto"/>
        <w:rPr>
          <w:rFonts w:ascii="Times New Roman" w:eastAsia="Times New Roman" w:hAnsi="Times New Roman" w:cs="Times New Roman"/>
          <w:sz w:val="24"/>
          <w:szCs w:val="24"/>
        </w:rPr>
      </w:pPr>
    </w:p>
    <w:p w14:paraId="5F26D780" w14:textId="77777777" w:rsidR="00840651" w:rsidRDefault="00840651">
      <w:pPr>
        <w:spacing w:line="346" w:lineRule="auto"/>
        <w:ind w:right="40" w:firstLine="299"/>
        <w:jc w:val="both"/>
        <w:rPr>
          <w:rFonts w:ascii="Arial" w:eastAsia="Arial" w:hAnsi="Arial" w:cs="Arial"/>
          <w:sz w:val="18"/>
          <w:szCs w:val="18"/>
        </w:rPr>
      </w:pPr>
    </w:p>
    <w:p w14:paraId="70262044" w14:textId="77777777" w:rsidR="00171FFE" w:rsidRDefault="00171FFE">
      <w:pPr>
        <w:spacing w:line="300" w:lineRule="exact"/>
        <w:rPr>
          <w:sz w:val="20"/>
          <w:szCs w:val="20"/>
        </w:rPr>
      </w:pPr>
    </w:p>
    <w:p w14:paraId="01B0B795" w14:textId="77777777" w:rsidR="00171FFE" w:rsidRDefault="00840651">
      <w:pPr>
        <w:rPr>
          <w:sz w:val="20"/>
          <w:szCs w:val="20"/>
        </w:rPr>
      </w:pPr>
      <w:r>
        <w:rPr>
          <w:rFonts w:ascii="Arial" w:eastAsia="Arial" w:hAnsi="Arial" w:cs="Arial"/>
          <w:b/>
          <w:bCs/>
        </w:rPr>
        <w:t>Company Performance and Peer Comparison</w:t>
      </w:r>
    </w:p>
    <w:p w14:paraId="737F91BD" w14:textId="77777777" w:rsidR="00171FFE" w:rsidRDefault="00171FFE">
      <w:pPr>
        <w:spacing w:line="214" w:lineRule="exact"/>
        <w:rPr>
          <w:sz w:val="20"/>
          <w:szCs w:val="20"/>
        </w:rPr>
      </w:pPr>
    </w:p>
    <w:p w14:paraId="0006EBDD" w14:textId="77777777" w:rsidR="00171FFE" w:rsidRDefault="00840651">
      <w:pPr>
        <w:spacing w:line="346" w:lineRule="auto"/>
        <w:ind w:right="40"/>
        <w:jc w:val="both"/>
        <w:rPr>
          <w:rFonts w:ascii="Arial" w:eastAsia="Arial" w:hAnsi="Arial" w:cs="Arial"/>
          <w:sz w:val="18"/>
          <w:szCs w:val="18"/>
        </w:rPr>
      </w:pPr>
      <w:r>
        <w:rPr>
          <w:rFonts w:ascii="Arial" w:eastAsia="Arial" w:hAnsi="Arial" w:cs="Arial"/>
          <w:sz w:val="18"/>
          <w:szCs w:val="18"/>
        </w:rPr>
        <w:t>Using net income (or net profit) as a metric to gauge performance, it can be seen in Figure</w:t>
      </w:r>
      <w:r>
        <w:rPr>
          <w:rFonts w:ascii="Arial" w:eastAsia="Arial" w:hAnsi="Arial" w:cs="Arial"/>
          <w:color w:val="0000FF"/>
          <w:sz w:val="18"/>
          <w:szCs w:val="18"/>
        </w:rPr>
        <w:t xml:space="preserve"> </w:t>
      </w:r>
      <w:hyperlink w:anchor="page2">
        <w:r>
          <w:rPr>
            <w:rFonts w:ascii="Arial" w:eastAsia="Arial" w:hAnsi="Arial" w:cs="Arial"/>
            <w:color w:val="0000FF"/>
            <w:sz w:val="18"/>
            <w:szCs w:val="18"/>
          </w:rPr>
          <w:t>4</w:t>
        </w:r>
        <w:r>
          <w:rPr>
            <w:rFonts w:ascii="Arial" w:eastAsia="Arial" w:hAnsi="Arial" w:cs="Arial"/>
            <w:sz w:val="18"/>
            <w:szCs w:val="18"/>
          </w:rPr>
          <w:t xml:space="preserve"> </w:t>
        </w:r>
      </w:hyperlink>
      <w:r>
        <w:rPr>
          <w:rFonts w:ascii="Arial" w:eastAsia="Arial" w:hAnsi="Arial" w:cs="Arial"/>
          <w:sz w:val="18"/>
          <w:szCs w:val="18"/>
        </w:rPr>
        <w:t>that all of the peers were performing relatively similarly prior to the pandemic in 2020, with Marriott Inc earning the largest profits. Hilton and Hyatt both struggled relative to Marriott in the post-pandemic recovery period, which saw a str</w:t>
      </w:r>
      <w:r>
        <w:rPr>
          <w:rFonts w:ascii="Arial" w:eastAsia="Arial" w:hAnsi="Arial" w:cs="Arial"/>
          <w:sz w:val="18"/>
          <w:szCs w:val="18"/>
        </w:rPr>
        <w:t>ong recovery. It was to be expected that the hospitality sector would suffer during the pandemic due to lower tourist numbers and lockdown orders.</w:t>
      </w:r>
    </w:p>
    <w:p w14:paraId="24932C91" w14:textId="77777777" w:rsidR="00171FFE" w:rsidRDefault="00171FFE">
      <w:pPr>
        <w:sectPr w:rsidR="00171FFE">
          <w:pgSz w:w="11900" w:h="16877"/>
          <w:pgMar w:top="460" w:right="526" w:bottom="0" w:left="560" w:header="0" w:footer="0" w:gutter="0"/>
          <w:cols w:space="720" w:equalWidth="0">
            <w:col w:w="10820"/>
          </w:cols>
        </w:sectPr>
      </w:pPr>
    </w:p>
    <w:p w14:paraId="3D2181C1" w14:textId="77777777" w:rsidR="00171FFE" w:rsidRDefault="00171FFE">
      <w:pPr>
        <w:spacing w:line="200" w:lineRule="exact"/>
        <w:rPr>
          <w:sz w:val="20"/>
          <w:szCs w:val="20"/>
        </w:rPr>
      </w:pPr>
    </w:p>
    <w:p w14:paraId="497BB0BD" w14:textId="77777777" w:rsidR="00171FFE" w:rsidRDefault="00171FFE">
      <w:pPr>
        <w:spacing w:line="395" w:lineRule="exact"/>
        <w:rPr>
          <w:sz w:val="20"/>
          <w:szCs w:val="20"/>
        </w:rPr>
      </w:pPr>
    </w:p>
    <w:p w14:paraId="29382485" w14:textId="77777777" w:rsidR="00171FFE" w:rsidRDefault="00840651">
      <w:pPr>
        <w:ind w:left="10680"/>
        <w:rPr>
          <w:sz w:val="20"/>
          <w:szCs w:val="20"/>
        </w:rPr>
      </w:pPr>
      <w:r>
        <w:rPr>
          <w:rFonts w:ascii="Arial" w:eastAsia="Arial" w:hAnsi="Arial" w:cs="Arial"/>
          <w:sz w:val="17"/>
          <w:szCs w:val="17"/>
        </w:rPr>
        <w:t>2</w:t>
      </w:r>
    </w:p>
    <w:p w14:paraId="69DDBE55" w14:textId="77777777" w:rsidR="00171FFE" w:rsidRDefault="00171FFE">
      <w:pPr>
        <w:sectPr w:rsidR="00171FFE">
          <w:type w:val="continuous"/>
          <w:pgSz w:w="11900" w:h="16877"/>
          <w:pgMar w:top="460" w:right="526" w:bottom="0" w:left="560" w:header="0" w:footer="0" w:gutter="0"/>
          <w:cols w:space="720" w:equalWidth="0">
            <w:col w:w="10820"/>
          </w:cols>
        </w:sectPr>
      </w:pPr>
    </w:p>
    <w:p w14:paraId="7ADBAFAC" w14:textId="77777777" w:rsidR="00171FFE" w:rsidRDefault="00171FFE">
      <w:pPr>
        <w:spacing w:line="40" w:lineRule="exact"/>
        <w:rPr>
          <w:sz w:val="20"/>
          <w:szCs w:val="20"/>
        </w:rPr>
      </w:pPr>
      <w:bookmarkStart w:id="4" w:name="page3"/>
      <w:bookmarkEnd w:id="4"/>
    </w:p>
    <w:p w14:paraId="58EF4FCC" w14:textId="77777777" w:rsidR="00171FFE" w:rsidRDefault="00840651">
      <w:pPr>
        <w:tabs>
          <w:tab w:val="left" w:pos="9160"/>
        </w:tabs>
        <w:rPr>
          <w:sz w:val="20"/>
          <w:szCs w:val="20"/>
        </w:rPr>
      </w:pPr>
      <w:r>
        <w:rPr>
          <w:rFonts w:ascii="Arial" w:eastAsia="Arial" w:hAnsi="Arial" w:cs="Arial"/>
          <w:sz w:val="18"/>
          <w:szCs w:val="18"/>
        </w:rPr>
        <w:t>Revenue Driver and Cost Driver Analysis</w:t>
      </w:r>
      <w:r>
        <w:rPr>
          <w:sz w:val="20"/>
          <w:szCs w:val="20"/>
        </w:rPr>
        <w:tab/>
      </w:r>
      <w:r>
        <w:rPr>
          <w:rFonts w:ascii="Arial" w:eastAsia="Arial" w:hAnsi="Arial" w:cs="Arial"/>
          <w:sz w:val="18"/>
          <w:szCs w:val="18"/>
        </w:rPr>
        <w:t>Sidharth Nambiath</w:t>
      </w:r>
    </w:p>
    <w:p w14:paraId="6FD517C1" w14:textId="77777777" w:rsidR="00171FFE" w:rsidRDefault="00840651">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4320FCA3" wp14:editId="6388C38B">
                <wp:simplePos x="0" y="0"/>
                <wp:positionH relativeFrom="column">
                  <wp:posOffset>3810</wp:posOffset>
                </wp:positionH>
                <wp:positionV relativeFrom="paragraph">
                  <wp:posOffset>19685</wp:posOffset>
                </wp:positionV>
                <wp:extent cx="684022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7C00D301" id="Shape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" o:allowincell="f" filled="t" strokeweight=".14039mm">
                <v:stroke joinstyle="miter"/>
                <o:lock v:ext="edit" shapetype="f"/>
              </v:line>
            </w:pict>
          </mc:Fallback>
        </mc:AlternateContent>
      </w:r>
      <w:r>
        <w:rPr>
          <w:noProof/>
          <w:sz w:val="20"/>
          <w:szCs w:val="20"/>
        </w:rPr>
        <w:drawing>
          <wp:anchor distT="0" distB="0" distL="114300" distR="114300" simplePos="0" relativeHeight="251659264" behindDoc="1" locked="0" layoutInCell="0" allowOverlap="1" wp14:anchorId="10C297FF" wp14:editId="144DC5B7">
            <wp:simplePos x="0" y="0"/>
            <wp:positionH relativeFrom="column">
              <wp:posOffset>1885315</wp:posOffset>
            </wp:positionH>
            <wp:positionV relativeFrom="paragraph">
              <wp:posOffset>334010</wp:posOffset>
            </wp:positionV>
            <wp:extent cx="3077845" cy="20516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3077845" cy="2051685"/>
                    </a:xfrm>
                    <a:prstGeom prst="rect">
                      <a:avLst/>
                    </a:prstGeom>
                    <a:noFill/>
                  </pic:spPr>
                </pic:pic>
              </a:graphicData>
            </a:graphic>
          </wp:anchor>
        </w:drawing>
      </w:r>
    </w:p>
    <w:p w14:paraId="5CFD2E5D" w14:textId="77777777" w:rsidR="00171FFE" w:rsidRDefault="00171FFE">
      <w:pPr>
        <w:spacing w:line="200" w:lineRule="exact"/>
        <w:rPr>
          <w:sz w:val="20"/>
          <w:szCs w:val="20"/>
        </w:rPr>
      </w:pPr>
    </w:p>
    <w:p w14:paraId="77E88B4F" w14:textId="77777777" w:rsidR="00171FFE" w:rsidRDefault="00171FFE">
      <w:pPr>
        <w:spacing w:line="200" w:lineRule="exact"/>
        <w:rPr>
          <w:sz w:val="20"/>
          <w:szCs w:val="20"/>
        </w:rPr>
      </w:pPr>
    </w:p>
    <w:p w14:paraId="2F355AA0" w14:textId="77777777" w:rsidR="00171FFE" w:rsidRDefault="00171FFE">
      <w:pPr>
        <w:spacing w:line="200" w:lineRule="exact"/>
        <w:rPr>
          <w:sz w:val="20"/>
          <w:szCs w:val="20"/>
        </w:rPr>
      </w:pPr>
    </w:p>
    <w:p w14:paraId="2CE26898" w14:textId="77777777" w:rsidR="00171FFE" w:rsidRDefault="00171FFE">
      <w:pPr>
        <w:spacing w:line="200" w:lineRule="exact"/>
        <w:rPr>
          <w:sz w:val="20"/>
          <w:szCs w:val="20"/>
        </w:rPr>
      </w:pPr>
    </w:p>
    <w:p w14:paraId="04D3591A" w14:textId="77777777" w:rsidR="00171FFE" w:rsidRDefault="00171FFE">
      <w:pPr>
        <w:spacing w:line="200" w:lineRule="exact"/>
        <w:rPr>
          <w:sz w:val="20"/>
          <w:szCs w:val="20"/>
        </w:rPr>
      </w:pPr>
    </w:p>
    <w:p w14:paraId="3B0DF1AB" w14:textId="77777777" w:rsidR="00171FFE" w:rsidRDefault="00171FFE">
      <w:pPr>
        <w:spacing w:line="200" w:lineRule="exact"/>
        <w:rPr>
          <w:sz w:val="20"/>
          <w:szCs w:val="20"/>
        </w:rPr>
      </w:pPr>
    </w:p>
    <w:p w14:paraId="20FD01F1" w14:textId="77777777" w:rsidR="00171FFE" w:rsidRDefault="00171FFE">
      <w:pPr>
        <w:spacing w:line="200" w:lineRule="exact"/>
        <w:rPr>
          <w:sz w:val="20"/>
          <w:szCs w:val="20"/>
        </w:rPr>
      </w:pPr>
    </w:p>
    <w:p w14:paraId="254045B5" w14:textId="77777777" w:rsidR="00171FFE" w:rsidRDefault="00171FFE">
      <w:pPr>
        <w:spacing w:line="200" w:lineRule="exact"/>
        <w:rPr>
          <w:sz w:val="20"/>
          <w:szCs w:val="20"/>
        </w:rPr>
      </w:pPr>
    </w:p>
    <w:p w14:paraId="2DBEEB59" w14:textId="77777777" w:rsidR="00171FFE" w:rsidRDefault="00171FFE">
      <w:pPr>
        <w:spacing w:line="200" w:lineRule="exact"/>
        <w:rPr>
          <w:sz w:val="20"/>
          <w:szCs w:val="20"/>
        </w:rPr>
      </w:pPr>
    </w:p>
    <w:p w14:paraId="105790D3" w14:textId="77777777" w:rsidR="00171FFE" w:rsidRDefault="00171FFE">
      <w:pPr>
        <w:spacing w:line="200" w:lineRule="exact"/>
        <w:rPr>
          <w:sz w:val="20"/>
          <w:szCs w:val="20"/>
        </w:rPr>
      </w:pPr>
    </w:p>
    <w:p w14:paraId="0A5B99D1" w14:textId="77777777" w:rsidR="00171FFE" w:rsidRDefault="00171FFE">
      <w:pPr>
        <w:spacing w:line="200" w:lineRule="exact"/>
        <w:rPr>
          <w:sz w:val="20"/>
          <w:szCs w:val="20"/>
        </w:rPr>
      </w:pPr>
    </w:p>
    <w:p w14:paraId="77288C03" w14:textId="77777777" w:rsidR="00171FFE" w:rsidRDefault="00171FFE">
      <w:pPr>
        <w:spacing w:line="200" w:lineRule="exact"/>
        <w:rPr>
          <w:sz w:val="20"/>
          <w:szCs w:val="20"/>
        </w:rPr>
      </w:pPr>
    </w:p>
    <w:p w14:paraId="69904BEB" w14:textId="77777777" w:rsidR="00171FFE" w:rsidRDefault="00171FFE">
      <w:pPr>
        <w:spacing w:line="200" w:lineRule="exact"/>
        <w:rPr>
          <w:sz w:val="20"/>
          <w:szCs w:val="20"/>
        </w:rPr>
      </w:pPr>
    </w:p>
    <w:p w14:paraId="5FBD67E3" w14:textId="77777777" w:rsidR="00171FFE" w:rsidRDefault="00171FFE">
      <w:pPr>
        <w:spacing w:line="200" w:lineRule="exact"/>
        <w:rPr>
          <w:sz w:val="20"/>
          <w:szCs w:val="20"/>
        </w:rPr>
      </w:pPr>
    </w:p>
    <w:p w14:paraId="0047506D" w14:textId="77777777" w:rsidR="00171FFE" w:rsidRDefault="00171FFE">
      <w:pPr>
        <w:spacing w:line="200" w:lineRule="exact"/>
        <w:rPr>
          <w:sz w:val="20"/>
          <w:szCs w:val="20"/>
        </w:rPr>
      </w:pPr>
    </w:p>
    <w:p w14:paraId="4AE51AB9" w14:textId="77777777" w:rsidR="00171FFE" w:rsidRDefault="00171FFE">
      <w:pPr>
        <w:spacing w:line="200" w:lineRule="exact"/>
        <w:rPr>
          <w:sz w:val="20"/>
          <w:szCs w:val="20"/>
        </w:rPr>
      </w:pPr>
    </w:p>
    <w:p w14:paraId="523EFCBB" w14:textId="77777777" w:rsidR="00171FFE" w:rsidRDefault="00171FFE">
      <w:pPr>
        <w:spacing w:line="200" w:lineRule="exact"/>
        <w:rPr>
          <w:sz w:val="20"/>
          <w:szCs w:val="20"/>
        </w:rPr>
      </w:pPr>
    </w:p>
    <w:p w14:paraId="55726BC6" w14:textId="77777777" w:rsidR="00171FFE" w:rsidRDefault="00171FFE">
      <w:pPr>
        <w:spacing w:line="200" w:lineRule="exact"/>
        <w:rPr>
          <w:sz w:val="20"/>
          <w:szCs w:val="20"/>
        </w:rPr>
      </w:pPr>
    </w:p>
    <w:p w14:paraId="219D5C9B" w14:textId="77777777" w:rsidR="00171FFE" w:rsidRDefault="00171FFE">
      <w:pPr>
        <w:spacing w:line="341" w:lineRule="exact"/>
        <w:rPr>
          <w:sz w:val="20"/>
          <w:szCs w:val="20"/>
        </w:rPr>
      </w:pPr>
    </w:p>
    <w:p w14:paraId="2CF65956" w14:textId="77777777" w:rsidR="00171FFE" w:rsidRDefault="00840651">
      <w:pPr>
        <w:ind w:right="20"/>
        <w:jc w:val="center"/>
        <w:rPr>
          <w:sz w:val="20"/>
          <w:szCs w:val="20"/>
        </w:rPr>
      </w:pPr>
      <w:r>
        <w:rPr>
          <w:rFonts w:ascii="Arial" w:eastAsia="Arial" w:hAnsi="Arial" w:cs="Arial"/>
          <w:b/>
          <w:bCs/>
          <w:sz w:val="16"/>
          <w:szCs w:val="16"/>
        </w:rPr>
        <w:t>Figure 5:</w:t>
      </w:r>
      <w:r>
        <w:rPr>
          <w:rFonts w:ascii="Arial" w:eastAsia="Arial" w:hAnsi="Arial" w:cs="Arial"/>
          <w:sz w:val="16"/>
          <w:szCs w:val="16"/>
        </w:rPr>
        <w:t xml:space="preserve"> The number of employees at Johnson &amp; Johnson over time compared to the total revenue over the same period.</w:t>
      </w:r>
    </w:p>
    <w:p w14:paraId="01CE0679" w14:textId="77777777" w:rsidR="00171FFE" w:rsidRDefault="00171FFE">
      <w:pPr>
        <w:spacing w:line="389" w:lineRule="exact"/>
        <w:rPr>
          <w:sz w:val="20"/>
          <w:szCs w:val="20"/>
        </w:rPr>
      </w:pPr>
    </w:p>
    <w:p w14:paraId="57DAF558" w14:textId="77777777" w:rsidR="00171FFE" w:rsidRDefault="00840651">
      <w:pPr>
        <w:rPr>
          <w:sz w:val="20"/>
          <w:szCs w:val="20"/>
        </w:rPr>
      </w:pPr>
      <w:r>
        <w:rPr>
          <w:rFonts w:ascii="Arial" w:eastAsia="Arial" w:hAnsi="Arial" w:cs="Arial"/>
          <w:b/>
          <w:bCs/>
          <w:sz w:val="26"/>
          <w:szCs w:val="26"/>
        </w:rPr>
        <w:t>Johnson &amp; Johnson</w:t>
      </w:r>
    </w:p>
    <w:p w14:paraId="06032351" w14:textId="77777777" w:rsidR="00171FFE" w:rsidRDefault="00171FFE">
      <w:pPr>
        <w:spacing w:line="292" w:lineRule="exact"/>
        <w:rPr>
          <w:sz w:val="20"/>
          <w:szCs w:val="20"/>
        </w:rPr>
      </w:pPr>
    </w:p>
    <w:p w14:paraId="416E8596" w14:textId="77777777" w:rsidR="00171FFE" w:rsidRDefault="00840651">
      <w:pPr>
        <w:rPr>
          <w:sz w:val="20"/>
          <w:szCs w:val="20"/>
        </w:rPr>
      </w:pPr>
      <w:r>
        <w:rPr>
          <w:rFonts w:ascii="Arial" w:eastAsia="Arial" w:hAnsi="Arial" w:cs="Arial"/>
          <w:b/>
          <w:bCs/>
        </w:rPr>
        <w:t>Effect of varying price and volume on revenue</w:t>
      </w:r>
    </w:p>
    <w:p w14:paraId="480796F2" w14:textId="77777777" w:rsidR="00171FFE" w:rsidRDefault="00171FFE">
      <w:pPr>
        <w:spacing w:line="375" w:lineRule="exact"/>
        <w:rPr>
          <w:sz w:val="20"/>
          <w:szCs w:val="20"/>
        </w:rPr>
      </w:pPr>
    </w:p>
    <w:p w14:paraId="66369861" w14:textId="77777777" w:rsidR="00171FFE" w:rsidRDefault="00840651">
      <w:pPr>
        <w:ind w:right="20"/>
        <w:jc w:val="center"/>
        <w:rPr>
          <w:sz w:val="20"/>
          <w:szCs w:val="20"/>
        </w:rPr>
      </w:pPr>
      <w:r>
        <w:rPr>
          <w:rFonts w:ascii="Arial" w:eastAsia="Arial" w:hAnsi="Arial" w:cs="Arial"/>
          <w:b/>
          <w:bCs/>
          <w:sz w:val="16"/>
          <w:szCs w:val="16"/>
        </w:rPr>
        <w:t>Table 1:</w:t>
      </w:r>
      <w:r>
        <w:rPr>
          <w:rFonts w:ascii="Arial" w:eastAsia="Arial" w:hAnsi="Arial" w:cs="Arial"/>
          <w:sz w:val="16"/>
          <w:szCs w:val="16"/>
        </w:rPr>
        <w:t xml:space="preserve"> The impact on sales due to changes in volume and price.</w:t>
      </w:r>
    </w:p>
    <w:p w14:paraId="5780B29B" w14:textId="77777777" w:rsidR="00171FFE" w:rsidRDefault="00171FFE">
      <w:pPr>
        <w:spacing w:line="210" w:lineRule="exact"/>
        <w:rPr>
          <w:sz w:val="20"/>
          <w:szCs w:val="20"/>
        </w:rPr>
      </w:pPr>
    </w:p>
    <w:tbl>
      <w:tblPr>
        <w:tblW w:w="0" w:type="auto"/>
        <w:tblInd w:w="3160" w:type="dxa"/>
        <w:tblLayout w:type="fixed"/>
        <w:tblCellMar>
          <w:left w:w="0" w:type="dxa"/>
          <w:right w:w="0" w:type="dxa"/>
        </w:tblCellMar>
        <w:tblLook w:val="04A0" w:firstRow="1" w:lastRow="0" w:firstColumn="1" w:lastColumn="0" w:noHBand="0" w:noVBand="1"/>
      </w:tblPr>
      <w:tblGrid>
        <w:gridCol w:w="40"/>
        <w:gridCol w:w="3020"/>
        <w:gridCol w:w="620"/>
        <w:gridCol w:w="800"/>
      </w:tblGrid>
      <w:tr w:rsidR="00171FFE" w14:paraId="089AB109" w14:textId="77777777">
        <w:trPr>
          <w:trHeight w:val="219"/>
        </w:trPr>
        <w:tc>
          <w:tcPr>
            <w:tcW w:w="40" w:type="dxa"/>
            <w:tcBorders>
              <w:top w:val="single" w:sz="8" w:space="0" w:color="auto"/>
              <w:right w:val="single" w:sz="8" w:space="0" w:color="auto"/>
            </w:tcBorders>
            <w:shd w:val="clear" w:color="auto" w:fill="000000"/>
            <w:vAlign w:val="bottom"/>
          </w:tcPr>
          <w:p w14:paraId="7F50B753" w14:textId="77777777" w:rsidR="00171FFE" w:rsidRDefault="00171FFE">
            <w:pPr>
              <w:rPr>
                <w:sz w:val="19"/>
                <w:szCs w:val="19"/>
              </w:rPr>
            </w:pPr>
          </w:p>
        </w:tc>
        <w:tc>
          <w:tcPr>
            <w:tcW w:w="3020" w:type="dxa"/>
            <w:tcBorders>
              <w:top w:val="single" w:sz="8" w:space="0" w:color="auto"/>
            </w:tcBorders>
            <w:vAlign w:val="bottom"/>
          </w:tcPr>
          <w:p w14:paraId="5695F53E" w14:textId="77777777" w:rsidR="00171FFE" w:rsidRDefault="00840651">
            <w:pPr>
              <w:jc w:val="center"/>
              <w:rPr>
                <w:sz w:val="20"/>
                <w:szCs w:val="20"/>
              </w:rPr>
            </w:pPr>
            <w:r>
              <w:rPr>
                <w:rFonts w:ascii="Arial" w:eastAsia="Arial" w:hAnsi="Arial" w:cs="Arial"/>
                <w:sz w:val="18"/>
                <w:szCs w:val="18"/>
              </w:rPr>
              <w:t>Sales Increase/(Decrease) Due to:</w:t>
            </w:r>
          </w:p>
        </w:tc>
        <w:tc>
          <w:tcPr>
            <w:tcW w:w="620" w:type="dxa"/>
            <w:tcBorders>
              <w:top w:val="single" w:sz="8" w:space="0" w:color="auto"/>
            </w:tcBorders>
            <w:vAlign w:val="bottom"/>
          </w:tcPr>
          <w:p w14:paraId="51EE42BC" w14:textId="77777777" w:rsidR="00171FFE" w:rsidRDefault="00840651">
            <w:pPr>
              <w:jc w:val="center"/>
              <w:rPr>
                <w:sz w:val="20"/>
                <w:szCs w:val="20"/>
              </w:rPr>
            </w:pPr>
            <w:r>
              <w:rPr>
                <w:rFonts w:ascii="Arial" w:eastAsia="Arial" w:hAnsi="Arial" w:cs="Arial"/>
                <w:w w:val="94"/>
                <w:sz w:val="18"/>
                <w:szCs w:val="18"/>
              </w:rPr>
              <w:t>2022</w:t>
            </w:r>
          </w:p>
        </w:tc>
        <w:tc>
          <w:tcPr>
            <w:tcW w:w="800" w:type="dxa"/>
            <w:tcBorders>
              <w:top w:val="single" w:sz="8" w:space="0" w:color="auto"/>
              <w:right w:val="single" w:sz="8" w:space="0" w:color="auto"/>
            </w:tcBorders>
            <w:vAlign w:val="bottom"/>
          </w:tcPr>
          <w:p w14:paraId="3C82FFC3" w14:textId="77777777" w:rsidR="00171FFE" w:rsidRDefault="00840651">
            <w:pPr>
              <w:jc w:val="center"/>
              <w:rPr>
                <w:sz w:val="20"/>
                <w:szCs w:val="20"/>
              </w:rPr>
            </w:pPr>
            <w:r>
              <w:rPr>
                <w:rFonts w:ascii="Arial" w:eastAsia="Arial" w:hAnsi="Arial" w:cs="Arial"/>
                <w:w w:val="99"/>
                <w:sz w:val="18"/>
                <w:szCs w:val="18"/>
              </w:rPr>
              <w:t>2021</w:t>
            </w:r>
          </w:p>
        </w:tc>
      </w:tr>
      <w:tr w:rsidR="00171FFE" w14:paraId="1381BAF8" w14:textId="77777777">
        <w:trPr>
          <w:trHeight w:val="72"/>
        </w:trPr>
        <w:tc>
          <w:tcPr>
            <w:tcW w:w="40" w:type="dxa"/>
            <w:tcBorders>
              <w:bottom w:val="single" w:sz="8" w:space="0" w:color="auto"/>
              <w:right w:val="single" w:sz="8" w:space="0" w:color="auto"/>
            </w:tcBorders>
            <w:shd w:val="clear" w:color="auto" w:fill="000000"/>
            <w:vAlign w:val="bottom"/>
          </w:tcPr>
          <w:p w14:paraId="31866DE7" w14:textId="77777777" w:rsidR="00171FFE" w:rsidRDefault="00171FFE">
            <w:pPr>
              <w:rPr>
                <w:sz w:val="6"/>
                <w:szCs w:val="6"/>
              </w:rPr>
            </w:pPr>
          </w:p>
        </w:tc>
        <w:tc>
          <w:tcPr>
            <w:tcW w:w="3020" w:type="dxa"/>
            <w:tcBorders>
              <w:bottom w:val="single" w:sz="8" w:space="0" w:color="auto"/>
            </w:tcBorders>
            <w:vAlign w:val="bottom"/>
          </w:tcPr>
          <w:p w14:paraId="0D330346" w14:textId="77777777" w:rsidR="00171FFE" w:rsidRDefault="00171FFE">
            <w:pPr>
              <w:rPr>
                <w:sz w:val="6"/>
                <w:szCs w:val="6"/>
              </w:rPr>
            </w:pPr>
          </w:p>
        </w:tc>
        <w:tc>
          <w:tcPr>
            <w:tcW w:w="620" w:type="dxa"/>
            <w:tcBorders>
              <w:bottom w:val="single" w:sz="8" w:space="0" w:color="auto"/>
            </w:tcBorders>
            <w:vAlign w:val="bottom"/>
          </w:tcPr>
          <w:p w14:paraId="79114B6D" w14:textId="77777777" w:rsidR="00171FFE" w:rsidRDefault="00171FFE">
            <w:pPr>
              <w:rPr>
                <w:sz w:val="6"/>
                <w:szCs w:val="6"/>
              </w:rPr>
            </w:pPr>
          </w:p>
        </w:tc>
        <w:tc>
          <w:tcPr>
            <w:tcW w:w="800" w:type="dxa"/>
            <w:tcBorders>
              <w:bottom w:val="single" w:sz="8" w:space="0" w:color="auto"/>
              <w:right w:val="single" w:sz="8" w:space="0" w:color="auto"/>
            </w:tcBorders>
            <w:vAlign w:val="bottom"/>
          </w:tcPr>
          <w:p w14:paraId="27877AE0" w14:textId="77777777" w:rsidR="00171FFE" w:rsidRDefault="00171FFE">
            <w:pPr>
              <w:rPr>
                <w:sz w:val="6"/>
                <w:szCs w:val="6"/>
              </w:rPr>
            </w:pPr>
          </w:p>
        </w:tc>
      </w:tr>
      <w:tr w:rsidR="00171FFE" w14:paraId="3819179F" w14:textId="77777777">
        <w:trPr>
          <w:trHeight w:val="20"/>
        </w:trPr>
        <w:tc>
          <w:tcPr>
            <w:tcW w:w="40" w:type="dxa"/>
            <w:tcBorders>
              <w:bottom w:val="single" w:sz="8" w:space="0" w:color="auto"/>
            </w:tcBorders>
            <w:vAlign w:val="bottom"/>
          </w:tcPr>
          <w:p w14:paraId="72EE7C88" w14:textId="77777777" w:rsidR="00171FFE" w:rsidRDefault="00171FFE">
            <w:pPr>
              <w:spacing w:line="20" w:lineRule="exact"/>
              <w:rPr>
                <w:sz w:val="1"/>
                <w:szCs w:val="1"/>
              </w:rPr>
            </w:pPr>
          </w:p>
        </w:tc>
        <w:tc>
          <w:tcPr>
            <w:tcW w:w="3020" w:type="dxa"/>
            <w:tcBorders>
              <w:bottom w:val="single" w:sz="8" w:space="0" w:color="auto"/>
            </w:tcBorders>
            <w:vAlign w:val="bottom"/>
          </w:tcPr>
          <w:p w14:paraId="422C4F56" w14:textId="77777777" w:rsidR="00171FFE" w:rsidRDefault="00171FFE">
            <w:pPr>
              <w:spacing w:line="20" w:lineRule="exact"/>
              <w:rPr>
                <w:sz w:val="1"/>
                <w:szCs w:val="1"/>
              </w:rPr>
            </w:pPr>
          </w:p>
        </w:tc>
        <w:tc>
          <w:tcPr>
            <w:tcW w:w="620" w:type="dxa"/>
            <w:tcBorders>
              <w:bottom w:val="single" w:sz="8" w:space="0" w:color="auto"/>
            </w:tcBorders>
            <w:vAlign w:val="bottom"/>
          </w:tcPr>
          <w:p w14:paraId="38EC7FAB" w14:textId="77777777" w:rsidR="00171FFE" w:rsidRDefault="00171FFE">
            <w:pPr>
              <w:spacing w:line="20" w:lineRule="exact"/>
              <w:rPr>
                <w:sz w:val="1"/>
                <w:szCs w:val="1"/>
              </w:rPr>
            </w:pPr>
          </w:p>
        </w:tc>
        <w:tc>
          <w:tcPr>
            <w:tcW w:w="800" w:type="dxa"/>
            <w:tcBorders>
              <w:bottom w:val="single" w:sz="8" w:space="0" w:color="auto"/>
            </w:tcBorders>
            <w:vAlign w:val="bottom"/>
          </w:tcPr>
          <w:p w14:paraId="63EA8C66" w14:textId="77777777" w:rsidR="00171FFE" w:rsidRDefault="00171FFE">
            <w:pPr>
              <w:spacing w:line="20" w:lineRule="exact"/>
              <w:rPr>
                <w:sz w:val="1"/>
                <w:szCs w:val="1"/>
              </w:rPr>
            </w:pPr>
          </w:p>
        </w:tc>
      </w:tr>
      <w:tr w:rsidR="00171FFE" w14:paraId="60285A22" w14:textId="77777777">
        <w:trPr>
          <w:trHeight w:val="199"/>
        </w:trPr>
        <w:tc>
          <w:tcPr>
            <w:tcW w:w="40" w:type="dxa"/>
            <w:tcBorders>
              <w:right w:val="single" w:sz="8" w:space="0" w:color="auto"/>
            </w:tcBorders>
            <w:shd w:val="clear" w:color="auto" w:fill="000000"/>
            <w:vAlign w:val="bottom"/>
          </w:tcPr>
          <w:p w14:paraId="35ABFE30" w14:textId="77777777" w:rsidR="00171FFE" w:rsidRDefault="00171FFE">
            <w:pPr>
              <w:rPr>
                <w:sz w:val="17"/>
                <w:szCs w:val="17"/>
              </w:rPr>
            </w:pPr>
          </w:p>
        </w:tc>
        <w:tc>
          <w:tcPr>
            <w:tcW w:w="3020" w:type="dxa"/>
            <w:vAlign w:val="bottom"/>
          </w:tcPr>
          <w:p w14:paraId="22433F98" w14:textId="77777777" w:rsidR="00171FFE" w:rsidRDefault="00840651">
            <w:pPr>
              <w:spacing w:line="199" w:lineRule="exact"/>
              <w:jc w:val="center"/>
              <w:rPr>
                <w:sz w:val="20"/>
                <w:szCs w:val="20"/>
              </w:rPr>
            </w:pPr>
            <w:r>
              <w:rPr>
                <w:rFonts w:ascii="Arial" w:eastAsia="Arial" w:hAnsi="Arial" w:cs="Arial"/>
                <w:sz w:val="18"/>
                <w:szCs w:val="18"/>
              </w:rPr>
              <w:t>Volume</w:t>
            </w:r>
          </w:p>
        </w:tc>
        <w:tc>
          <w:tcPr>
            <w:tcW w:w="620" w:type="dxa"/>
            <w:vAlign w:val="bottom"/>
          </w:tcPr>
          <w:p w14:paraId="08EB80FD" w14:textId="77777777" w:rsidR="00171FFE" w:rsidRDefault="00840651">
            <w:pPr>
              <w:spacing w:line="199" w:lineRule="exact"/>
              <w:jc w:val="center"/>
              <w:rPr>
                <w:sz w:val="20"/>
                <w:szCs w:val="20"/>
              </w:rPr>
            </w:pPr>
            <w:r>
              <w:rPr>
                <w:rFonts w:ascii="Arial" w:eastAsia="Arial" w:hAnsi="Arial" w:cs="Arial"/>
                <w:w w:val="97"/>
                <w:sz w:val="18"/>
                <w:szCs w:val="18"/>
              </w:rPr>
              <w:t>6.9%</w:t>
            </w:r>
          </w:p>
        </w:tc>
        <w:tc>
          <w:tcPr>
            <w:tcW w:w="800" w:type="dxa"/>
            <w:tcBorders>
              <w:right w:val="single" w:sz="8" w:space="0" w:color="auto"/>
            </w:tcBorders>
            <w:vAlign w:val="bottom"/>
          </w:tcPr>
          <w:p w14:paraId="4DC02A6C" w14:textId="77777777" w:rsidR="00171FFE" w:rsidRDefault="00840651">
            <w:pPr>
              <w:spacing w:line="199" w:lineRule="exact"/>
              <w:jc w:val="center"/>
              <w:rPr>
                <w:sz w:val="20"/>
                <w:szCs w:val="20"/>
              </w:rPr>
            </w:pPr>
            <w:r>
              <w:rPr>
                <w:rFonts w:ascii="Arial" w:eastAsia="Arial" w:hAnsi="Arial" w:cs="Arial"/>
                <w:w w:val="97"/>
                <w:sz w:val="18"/>
                <w:szCs w:val="18"/>
              </w:rPr>
              <w:t>12.9%</w:t>
            </w:r>
          </w:p>
        </w:tc>
      </w:tr>
      <w:tr w:rsidR="00171FFE" w14:paraId="2BFFF1CA" w14:textId="77777777">
        <w:trPr>
          <w:trHeight w:val="239"/>
        </w:trPr>
        <w:tc>
          <w:tcPr>
            <w:tcW w:w="40" w:type="dxa"/>
            <w:tcBorders>
              <w:right w:val="single" w:sz="8" w:space="0" w:color="auto"/>
            </w:tcBorders>
            <w:shd w:val="clear" w:color="auto" w:fill="000000"/>
            <w:vAlign w:val="bottom"/>
          </w:tcPr>
          <w:p w14:paraId="0716AF95" w14:textId="77777777" w:rsidR="00171FFE" w:rsidRDefault="00171FFE">
            <w:pPr>
              <w:rPr>
                <w:sz w:val="20"/>
                <w:szCs w:val="20"/>
              </w:rPr>
            </w:pPr>
          </w:p>
        </w:tc>
        <w:tc>
          <w:tcPr>
            <w:tcW w:w="3020" w:type="dxa"/>
            <w:vAlign w:val="bottom"/>
          </w:tcPr>
          <w:p w14:paraId="0C5AA9D2" w14:textId="77777777" w:rsidR="00171FFE" w:rsidRDefault="00840651">
            <w:pPr>
              <w:jc w:val="center"/>
              <w:rPr>
                <w:sz w:val="20"/>
                <w:szCs w:val="20"/>
              </w:rPr>
            </w:pPr>
            <w:r>
              <w:rPr>
                <w:rFonts w:ascii="Arial" w:eastAsia="Arial" w:hAnsi="Arial" w:cs="Arial"/>
                <w:sz w:val="18"/>
                <w:szCs w:val="18"/>
              </w:rPr>
              <w:t>Price</w:t>
            </w:r>
          </w:p>
        </w:tc>
        <w:tc>
          <w:tcPr>
            <w:tcW w:w="620" w:type="dxa"/>
            <w:vAlign w:val="bottom"/>
          </w:tcPr>
          <w:p w14:paraId="0D3183BB" w14:textId="77777777" w:rsidR="00171FFE" w:rsidRDefault="00840651">
            <w:pPr>
              <w:jc w:val="center"/>
              <w:rPr>
                <w:sz w:val="20"/>
                <w:szCs w:val="20"/>
              </w:rPr>
            </w:pPr>
            <w:r>
              <w:rPr>
                <w:rFonts w:ascii="Arial" w:eastAsia="Arial" w:hAnsi="Arial" w:cs="Arial"/>
                <w:sz w:val="18"/>
                <w:szCs w:val="18"/>
              </w:rPr>
              <w:t>(0.8)</w:t>
            </w:r>
          </w:p>
        </w:tc>
        <w:tc>
          <w:tcPr>
            <w:tcW w:w="800" w:type="dxa"/>
            <w:tcBorders>
              <w:right w:val="single" w:sz="8" w:space="0" w:color="auto"/>
            </w:tcBorders>
            <w:vAlign w:val="bottom"/>
          </w:tcPr>
          <w:p w14:paraId="3F975761" w14:textId="77777777" w:rsidR="00171FFE" w:rsidRDefault="00840651">
            <w:pPr>
              <w:jc w:val="center"/>
              <w:rPr>
                <w:sz w:val="20"/>
                <w:szCs w:val="20"/>
              </w:rPr>
            </w:pPr>
            <w:r>
              <w:rPr>
                <w:rFonts w:ascii="Arial" w:eastAsia="Arial" w:hAnsi="Arial" w:cs="Arial"/>
                <w:w w:val="97"/>
                <w:sz w:val="18"/>
                <w:szCs w:val="18"/>
              </w:rPr>
              <w:t>(0.7)</w:t>
            </w:r>
          </w:p>
        </w:tc>
      </w:tr>
      <w:tr w:rsidR="00171FFE" w14:paraId="7C0600F0" w14:textId="77777777">
        <w:trPr>
          <w:trHeight w:val="28"/>
        </w:trPr>
        <w:tc>
          <w:tcPr>
            <w:tcW w:w="40" w:type="dxa"/>
            <w:tcBorders>
              <w:bottom w:val="single" w:sz="8" w:space="0" w:color="auto"/>
              <w:right w:val="single" w:sz="8" w:space="0" w:color="auto"/>
            </w:tcBorders>
            <w:shd w:val="clear" w:color="auto" w:fill="000000"/>
            <w:vAlign w:val="bottom"/>
          </w:tcPr>
          <w:p w14:paraId="14EBAC26" w14:textId="77777777" w:rsidR="00171FFE" w:rsidRDefault="00171FFE">
            <w:pPr>
              <w:rPr>
                <w:sz w:val="2"/>
                <w:szCs w:val="2"/>
              </w:rPr>
            </w:pPr>
          </w:p>
        </w:tc>
        <w:tc>
          <w:tcPr>
            <w:tcW w:w="3020" w:type="dxa"/>
            <w:tcBorders>
              <w:bottom w:val="single" w:sz="8" w:space="0" w:color="auto"/>
            </w:tcBorders>
            <w:vAlign w:val="bottom"/>
          </w:tcPr>
          <w:p w14:paraId="3037F882" w14:textId="77777777" w:rsidR="00171FFE" w:rsidRDefault="00171FFE">
            <w:pPr>
              <w:rPr>
                <w:sz w:val="2"/>
                <w:szCs w:val="2"/>
              </w:rPr>
            </w:pPr>
          </w:p>
        </w:tc>
        <w:tc>
          <w:tcPr>
            <w:tcW w:w="620" w:type="dxa"/>
            <w:tcBorders>
              <w:bottom w:val="single" w:sz="8" w:space="0" w:color="auto"/>
            </w:tcBorders>
            <w:vAlign w:val="bottom"/>
          </w:tcPr>
          <w:p w14:paraId="6E4570BC" w14:textId="77777777" w:rsidR="00171FFE" w:rsidRDefault="00171FFE">
            <w:pPr>
              <w:rPr>
                <w:sz w:val="2"/>
                <w:szCs w:val="2"/>
              </w:rPr>
            </w:pPr>
          </w:p>
        </w:tc>
        <w:tc>
          <w:tcPr>
            <w:tcW w:w="800" w:type="dxa"/>
            <w:tcBorders>
              <w:bottom w:val="single" w:sz="8" w:space="0" w:color="auto"/>
              <w:right w:val="single" w:sz="8" w:space="0" w:color="auto"/>
            </w:tcBorders>
            <w:vAlign w:val="bottom"/>
          </w:tcPr>
          <w:p w14:paraId="7902D082" w14:textId="77777777" w:rsidR="00171FFE" w:rsidRDefault="00171FFE">
            <w:pPr>
              <w:rPr>
                <w:sz w:val="2"/>
                <w:szCs w:val="2"/>
              </w:rPr>
            </w:pPr>
          </w:p>
        </w:tc>
      </w:tr>
    </w:tbl>
    <w:p w14:paraId="0D5EDED1" w14:textId="77777777" w:rsidR="00171FFE" w:rsidRDefault="00171FFE">
      <w:pPr>
        <w:spacing w:line="321" w:lineRule="exact"/>
        <w:rPr>
          <w:sz w:val="20"/>
          <w:szCs w:val="20"/>
        </w:rPr>
      </w:pPr>
    </w:p>
    <w:p w14:paraId="0B96B37F" w14:textId="77777777" w:rsidR="00171FFE" w:rsidRDefault="00840651">
      <w:pPr>
        <w:spacing w:line="346" w:lineRule="auto"/>
        <w:ind w:right="20" w:firstLine="299"/>
        <w:jc w:val="both"/>
        <w:rPr>
          <w:rFonts w:ascii="Arial" w:eastAsia="Arial" w:hAnsi="Arial" w:cs="Arial"/>
          <w:sz w:val="18"/>
          <w:szCs w:val="18"/>
        </w:rPr>
      </w:pPr>
      <w:r>
        <w:rPr>
          <w:rFonts w:ascii="Arial" w:eastAsia="Arial" w:hAnsi="Arial" w:cs="Arial"/>
          <w:sz w:val="18"/>
          <w:szCs w:val="18"/>
        </w:rPr>
        <w:t>In Table</w:t>
      </w:r>
      <w:r>
        <w:rPr>
          <w:rFonts w:ascii="Arial" w:eastAsia="Arial" w:hAnsi="Arial" w:cs="Arial"/>
          <w:color w:val="0000FF"/>
          <w:sz w:val="18"/>
          <w:szCs w:val="18"/>
        </w:rPr>
        <w:t xml:space="preserve"> </w:t>
      </w:r>
      <w:hyperlink w:anchor="page3">
        <w:r>
          <w:rPr>
            <w:rFonts w:ascii="Arial" w:eastAsia="Arial" w:hAnsi="Arial" w:cs="Arial"/>
            <w:color w:val="0000FF"/>
            <w:sz w:val="18"/>
            <w:szCs w:val="18"/>
          </w:rPr>
          <w:t>1</w:t>
        </w:r>
      </w:hyperlink>
      <w:r>
        <w:rPr>
          <w:rFonts w:ascii="Arial" w:eastAsia="Arial" w:hAnsi="Arial" w:cs="Arial"/>
          <w:sz w:val="18"/>
          <w:szCs w:val="18"/>
        </w:rPr>
        <w:t xml:space="preserve">, taken from the 2022 Johnson &amp; Johnson SEC Filing 10-K </w:t>
      </w:r>
      <w:r>
        <w:rPr>
          <w:rFonts w:ascii="Arial" w:eastAsia="Arial" w:hAnsi="Arial" w:cs="Arial"/>
          <w:sz w:val="18"/>
          <w:szCs w:val="18"/>
        </w:rPr>
        <w:t>annual report [</w:t>
      </w:r>
      <w:hyperlink w:anchor="page5">
        <w:r>
          <w:rPr>
            <w:rFonts w:ascii="Arial" w:eastAsia="Arial" w:hAnsi="Arial" w:cs="Arial"/>
            <w:color w:val="0000FF"/>
            <w:sz w:val="18"/>
            <w:szCs w:val="18"/>
          </w:rPr>
          <w:t>2</w:t>
        </w:r>
      </w:hyperlink>
      <w:r>
        <w:rPr>
          <w:rFonts w:ascii="Arial" w:eastAsia="Arial" w:hAnsi="Arial" w:cs="Arial"/>
          <w:sz w:val="18"/>
          <w:szCs w:val="18"/>
        </w:rPr>
        <w:t>], it can be seen that changes in volume led to positive changes in sales revenue, whereas changes in price led to negative changes in sales revenue.</w:t>
      </w:r>
    </w:p>
    <w:p w14:paraId="2F70D220" w14:textId="77777777" w:rsidR="00840651" w:rsidRDefault="00840651">
      <w:pPr>
        <w:spacing w:line="346" w:lineRule="auto"/>
        <w:ind w:right="20" w:firstLine="299"/>
        <w:jc w:val="both"/>
        <w:rPr>
          <w:rFonts w:ascii="Arial" w:eastAsia="Arial" w:hAnsi="Arial" w:cs="Arial"/>
          <w:sz w:val="18"/>
          <w:szCs w:val="18"/>
        </w:rPr>
      </w:pPr>
    </w:p>
    <w:p w14:paraId="1639D7F0" w14:textId="77777777" w:rsidR="00840651" w:rsidRDefault="00840651" w:rsidP="00840651">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 xml:space="preserve">Surgery, </w:t>
      </w:r>
      <w:proofErr w:type="spellStart"/>
      <w:r w:rsidRPr="0056541D">
        <w:rPr>
          <w:highlight w:val="green"/>
        </w:rPr>
        <w:t>Orthopaedics</w:t>
      </w:r>
      <w:proofErr w:type="spellEnd"/>
      <w:r w:rsidRPr="0056541D">
        <w:rPr>
          <w:highlight w:val="green"/>
        </w:rPr>
        <w:t xml:space="preserve"> and Intervention solutions. All of these lines have US &amp; International sales. US revenue can be driven by annual growth rates, international revenue growth has two components, organic growth and currency impact</w:t>
      </w:r>
      <w:r>
        <w:t>.</w:t>
      </w:r>
    </w:p>
    <w:p w14:paraId="441DE283" w14:textId="77777777" w:rsidR="00840651" w:rsidRDefault="00840651" w:rsidP="00840651">
      <w:pPr>
        <w:pStyle w:val="Default"/>
        <w:spacing w:after="240" w:line="240" w:lineRule="auto"/>
        <w:rPr>
          <w:rFonts w:ascii="Times New Roman" w:eastAsia="Times New Roman" w:hAnsi="Times New Roman" w:cs="Times New Roman"/>
          <w:sz w:val="24"/>
          <w:szCs w:val="24"/>
        </w:rPr>
      </w:pPr>
    </w:p>
    <w:p w14:paraId="49878AA4" w14:textId="77777777" w:rsidR="00840651" w:rsidRPr="00556097" w:rsidRDefault="00840651" w:rsidP="00840651">
      <w:pPr>
        <w:rPr>
          <w:highlight w:val="green"/>
          <w:u w:val="single"/>
        </w:rPr>
      </w:pPr>
      <w:r w:rsidRPr="00556097">
        <w:rPr>
          <w:highlight w:val="green"/>
          <w:u w:val="single"/>
        </w:rPr>
        <w:t>Cost Drivers</w:t>
      </w:r>
      <w:r>
        <w:rPr>
          <w:highlight w:val="green"/>
          <w:u w:val="single"/>
        </w:rPr>
        <w:t xml:space="preserve"> – as % of revenue (trend analysis)</w:t>
      </w:r>
    </w:p>
    <w:p w14:paraId="6FDE8141" w14:textId="77777777" w:rsidR="00840651" w:rsidRPr="00556097" w:rsidRDefault="00840651" w:rsidP="00840651">
      <w:pPr>
        <w:pStyle w:val="ListParagraph"/>
        <w:numPr>
          <w:ilvl w:val="0"/>
          <w:numId w:val="5"/>
        </w:numPr>
        <w:spacing w:after="160" w:line="259" w:lineRule="auto"/>
        <w:rPr>
          <w:highlight w:val="green"/>
          <w:u w:val="single"/>
        </w:rPr>
      </w:pPr>
      <w:r w:rsidRPr="00556097">
        <w:rPr>
          <w:highlight w:val="green"/>
        </w:rPr>
        <w:t>Selling, Marketing and Administrative Expenses</w:t>
      </w:r>
    </w:p>
    <w:p w14:paraId="461185FC" w14:textId="77777777" w:rsidR="00840651" w:rsidRPr="00556097" w:rsidRDefault="00840651" w:rsidP="00840651">
      <w:pPr>
        <w:pStyle w:val="ListParagraph"/>
        <w:numPr>
          <w:ilvl w:val="0"/>
          <w:numId w:val="5"/>
        </w:numPr>
        <w:spacing w:after="160" w:line="259" w:lineRule="auto"/>
        <w:rPr>
          <w:highlight w:val="green"/>
          <w:u w:val="single"/>
        </w:rPr>
      </w:pPr>
      <w:r w:rsidRPr="00556097">
        <w:rPr>
          <w:highlight w:val="green"/>
        </w:rPr>
        <w:t>Research and Development Expenses</w:t>
      </w:r>
    </w:p>
    <w:p w14:paraId="294DF9A0" w14:textId="77777777" w:rsidR="00840651" w:rsidRPr="00E10FB1" w:rsidRDefault="00840651" w:rsidP="00840651">
      <w:pPr>
        <w:pStyle w:val="ListParagraph"/>
        <w:numPr>
          <w:ilvl w:val="0"/>
          <w:numId w:val="5"/>
        </w:numPr>
        <w:spacing w:after="160" w:line="259" w:lineRule="auto"/>
        <w:rPr>
          <w:highlight w:val="green"/>
          <w:u w:val="single"/>
        </w:rPr>
      </w:pPr>
      <w:r w:rsidRPr="00556097">
        <w:rPr>
          <w:highlight w:val="green"/>
        </w:rPr>
        <w:t>In-process research and development</w:t>
      </w:r>
    </w:p>
    <w:p w14:paraId="2F6E4A3D" w14:textId="77777777" w:rsidR="00840651" w:rsidRPr="00E10FB1" w:rsidRDefault="00840651" w:rsidP="00840651">
      <w:pPr>
        <w:pStyle w:val="ListParagraph"/>
        <w:numPr>
          <w:ilvl w:val="0"/>
          <w:numId w:val="5"/>
        </w:numPr>
        <w:spacing w:after="160" w:line="259" w:lineRule="auto"/>
        <w:rPr>
          <w:highlight w:val="green"/>
          <w:u w:val="single"/>
        </w:rPr>
      </w:pPr>
      <w:r w:rsidRPr="00E10FB1">
        <w:rPr>
          <w:highlight w:val="green"/>
        </w:rPr>
        <w:t>Cost of products sold</w:t>
      </w:r>
    </w:p>
    <w:p w14:paraId="3522DB34" w14:textId="77777777" w:rsidR="00840651" w:rsidRPr="00A70A3A" w:rsidRDefault="00840651" w:rsidP="00840651">
      <w:pPr>
        <w:jc w:val="both"/>
        <w:rPr>
          <w:rFonts w:ascii="Calibri" w:hAnsi="Calibri" w:cs="Calibri"/>
        </w:rPr>
      </w:pPr>
    </w:p>
    <w:p w14:paraId="154039F4" w14:textId="77777777" w:rsidR="00840651" w:rsidRDefault="00840651">
      <w:pPr>
        <w:spacing w:line="346" w:lineRule="auto"/>
        <w:ind w:right="20" w:firstLine="299"/>
        <w:jc w:val="both"/>
        <w:rPr>
          <w:rFonts w:ascii="Arial" w:eastAsia="Arial" w:hAnsi="Arial" w:cs="Arial"/>
          <w:sz w:val="18"/>
          <w:szCs w:val="18"/>
        </w:rPr>
      </w:pPr>
      <w:bookmarkStart w:id="5" w:name="_GoBack"/>
      <w:bookmarkEnd w:id="5"/>
    </w:p>
    <w:p w14:paraId="5BFBF3DF" w14:textId="77777777" w:rsidR="00171FFE" w:rsidRDefault="00171FFE">
      <w:pPr>
        <w:spacing w:line="299" w:lineRule="exact"/>
        <w:rPr>
          <w:sz w:val="20"/>
          <w:szCs w:val="20"/>
        </w:rPr>
      </w:pPr>
    </w:p>
    <w:p w14:paraId="6BC78E9F" w14:textId="77777777" w:rsidR="00171FFE" w:rsidRDefault="00840651">
      <w:pPr>
        <w:rPr>
          <w:sz w:val="20"/>
          <w:szCs w:val="20"/>
        </w:rPr>
      </w:pPr>
      <w:r>
        <w:rPr>
          <w:rFonts w:ascii="Arial" w:eastAsia="Arial" w:hAnsi="Arial" w:cs="Arial"/>
          <w:b/>
          <w:bCs/>
        </w:rPr>
        <w:t>Cost Drivers</w:t>
      </w:r>
    </w:p>
    <w:p w14:paraId="61B75715" w14:textId="77777777" w:rsidR="00171FFE" w:rsidRDefault="00171FFE">
      <w:pPr>
        <w:spacing w:line="214" w:lineRule="exact"/>
        <w:rPr>
          <w:sz w:val="20"/>
          <w:szCs w:val="20"/>
        </w:rPr>
      </w:pPr>
    </w:p>
    <w:p w14:paraId="51949B11" w14:textId="77777777" w:rsidR="00171FFE" w:rsidRDefault="00840651">
      <w:pPr>
        <w:spacing w:line="346" w:lineRule="auto"/>
        <w:ind w:right="20"/>
        <w:jc w:val="both"/>
        <w:rPr>
          <w:rFonts w:ascii="Arial" w:eastAsia="Arial" w:hAnsi="Arial" w:cs="Arial"/>
          <w:sz w:val="18"/>
          <w:szCs w:val="18"/>
        </w:rPr>
      </w:pPr>
      <w:r>
        <w:rPr>
          <w:rFonts w:ascii="Arial" w:eastAsia="Arial" w:hAnsi="Arial" w:cs="Arial"/>
          <w:sz w:val="18"/>
          <w:szCs w:val="18"/>
        </w:rPr>
        <w:t>For Johnson &amp; Johnson, the cost drivers are bro</w:t>
      </w:r>
      <w:r>
        <w:rPr>
          <w:rFonts w:ascii="Arial" w:eastAsia="Arial" w:hAnsi="Arial" w:cs="Arial"/>
          <w:sz w:val="18"/>
          <w:szCs w:val="18"/>
        </w:rPr>
        <w:t>adly the same as for Mariott Inc. It can be seen in Figure</w:t>
      </w:r>
      <w:r>
        <w:rPr>
          <w:rFonts w:ascii="Arial" w:eastAsia="Arial" w:hAnsi="Arial" w:cs="Arial"/>
          <w:color w:val="0000FF"/>
          <w:sz w:val="18"/>
          <w:szCs w:val="18"/>
        </w:rPr>
        <w:t xml:space="preserve"> </w:t>
      </w:r>
      <w:hyperlink w:anchor="page3">
        <w:r>
          <w:rPr>
            <w:rFonts w:ascii="Arial" w:eastAsia="Arial" w:hAnsi="Arial" w:cs="Arial"/>
            <w:color w:val="0000FF"/>
            <w:sz w:val="18"/>
            <w:szCs w:val="18"/>
          </w:rPr>
          <w:t>5</w:t>
        </w:r>
        <w:r>
          <w:rPr>
            <w:rFonts w:ascii="Arial" w:eastAsia="Arial" w:hAnsi="Arial" w:cs="Arial"/>
            <w:sz w:val="18"/>
            <w:szCs w:val="18"/>
          </w:rPr>
          <w:t xml:space="preserve"> </w:t>
        </w:r>
      </w:hyperlink>
      <w:r>
        <w:rPr>
          <w:rFonts w:ascii="Arial" w:eastAsia="Arial" w:hAnsi="Arial" w:cs="Arial"/>
          <w:sz w:val="18"/>
          <w:szCs w:val="18"/>
        </w:rPr>
        <w:t>that in spite of increased costs as new employees are hired, total revenue continues to climb. Additionally, by considering the operating expenses [</w:t>
      </w:r>
      <w:hyperlink w:anchor="page5">
        <w:r>
          <w:rPr>
            <w:rFonts w:ascii="Arial" w:eastAsia="Arial" w:hAnsi="Arial" w:cs="Arial"/>
            <w:color w:val="0000FF"/>
            <w:sz w:val="18"/>
            <w:szCs w:val="18"/>
          </w:rPr>
          <w:t>3</w:t>
        </w:r>
      </w:hyperlink>
      <w:r>
        <w:rPr>
          <w:rFonts w:ascii="Arial" w:eastAsia="Arial" w:hAnsi="Arial" w:cs="Arial"/>
          <w:sz w:val="18"/>
          <w:szCs w:val="18"/>
        </w:rPr>
        <w:t>], it can be seen in Figure</w:t>
      </w:r>
      <w:r>
        <w:rPr>
          <w:rFonts w:ascii="Arial" w:eastAsia="Arial" w:hAnsi="Arial" w:cs="Arial"/>
          <w:color w:val="0000FF"/>
          <w:sz w:val="18"/>
          <w:szCs w:val="18"/>
        </w:rPr>
        <w:t xml:space="preserve"> </w:t>
      </w:r>
      <w:hyperlink w:anchor="page3">
        <w:r>
          <w:rPr>
            <w:rFonts w:ascii="Arial" w:eastAsia="Arial" w:hAnsi="Arial" w:cs="Arial"/>
            <w:color w:val="0000FF"/>
            <w:sz w:val="18"/>
            <w:szCs w:val="18"/>
          </w:rPr>
          <w:t>6a</w:t>
        </w:r>
        <w:r>
          <w:rPr>
            <w:rFonts w:ascii="Arial" w:eastAsia="Arial" w:hAnsi="Arial" w:cs="Arial"/>
            <w:sz w:val="18"/>
            <w:szCs w:val="18"/>
          </w:rPr>
          <w:t xml:space="preserve"> </w:t>
        </w:r>
      </w:hyperlink>
      <w:r>
        <w:rPr>
          <w:rFonts w:ascii="Arial" w:eastAsia="Arial" w:hAnsi="Arial" w:cs="Arial"/>
          <w:sz w:val="18"/>
          <w:szCs w:val="18"/>
        </w:rPr>
        <w:t>that it follows the annual revenue almost perfectly. In fact, by plotting them against eachother and calculating the correlation coefficient, it can be seen in Figure</w:t>
      </w:r>
      <w:r>
        <w:rPr>
          <w:rFonts w:ascii="Arial" w:eastAsia="Arial" w:hAnsi="Arial" w:cs="Arial"/>
          <w:color w:val="0000FF"/>
          <w:sz w:val="18"/>
          <w:szCs w:val="18"/>
        </w:rPr>
        <w:t xml:space="preserve"> </w:t>
      </w:r>
      <w:hyperlink w:anchor="page3">
        <w:r>
          <w:rPr>
            <w:rFonts w:ascii="Arial" w:eastAsia="Arial" w:hAnsi="Arial" w:cs="Arial"/>
            <w:color w:val="0000FF"/>
            <w:sz w:val="18"/>
            <w:szCs w:val="18"/>
          </w:rPr>
          <w:t>6b</w:t>
        </w:r>
        <w:r>
          <w:rPr>
            <w:rFonts w:ascii="Arial" w:eastAsia="Arial" w:hAnsi="Arial" w:cs="Arial"/>
            <w:sz w:val="18"/>
            <w:szCs w:val="18"/>
          </w:rPr>
          <w:t xml:space="preserve"> </w:t>
        </w:r>
      </w:hyperlink>
      <w:r>
        <w:rPr>
          <w:rFonts w:ascii="Arial" w:eastAsia="Arial" w:hAnsi="Arial" w:cs="Arial"/>
          <w:sz w:val="18"/>
          <w:szCs w:val="18"/>
        </w:rPr>
        <w:t>that there is very strong positive correlation between the two.</w:t>
      </w:r>
    </w:p>
    <w:p w14:paraId="4D0DBE3B" w14:textId="77777777" w:rsidR="00171FFE" w:rsidRDefault="00840651">
      <w:pPr>
        <w:spacing w:line="20" w:lineRule="exact"/>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60288" behindDoc="1" locked="0" layoutInCell="0" allowOverlap="1" wp14:anchorId="06A6BA2D" wp14:editId="454108C5">
            <wp:simplePos x="0" y="0"/>
            <wp:positionH relativeFrom="column">
              <wp:posOffset>4445</wp:posOffset>
            </wp:positionH>
            <wp:positionV relativeFrom="paragraph">
              <wp:posOffset>107950</wp:posOffset>
            </wp:positionV>
            <wp:extent cx="6840220" cy="2172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blip>
                    <a:srcRect/>
                    <a:stretch>
                      <a:fillRect/>
                    </a:stretch>
                  </pic:blipFill>
                  <pic:spPr bwMode="auto">
                    <a:xfrm>
                      <a:off x="0" y="0"/>
                      <a:ext cx="6840220" cy="2172335"/>
                    </a:xfrm>
                    <a:prstGeom prst="rect">
                      <a:avLst/>
                    </a:prstGeom>
                    <a:noFill/>
                  </pic:spPr>
                </pic:pic>
              </a:graphicData>
            </a:graphic>
          </wp:anchor>
        </w:drawing>
      </w:r>
    </w:p>
    <w:p w14:paraId="2347BC38" w14:textId="77777777" w:rsidR="00171FFE" w:rsidRDefault="00171FFE">
      <w:pPr>
        <w:sectPr w:rsidR="00171FFE">
          <w:pgSz w:w="11900" w:h="16877"/>
          <w:pgMar w:top="460" w:right="546" w:bottom="0" w:left="560" w:header="0" w:footer="0" w:gutter="0"/>
          <w:cols w:space="720" w:equalWidth="0">
            <w:col w:w="10800"/>
          </w:cols>
        </w:sectPr>
      </w:pPr>
    </w:p>
    <w:p w14:paraId="120C8192" w14:textId="77777777" w:rsidR="00171FFE" w:rsidRDefault="00171FFE">
      <w:pPr>
        <w:spacing w:line="200" w:lineRule="exact"/>
        <w:rPr>
          <w:rFonts w:ascii="Arial" w:eastAsia="Arial" w:hAnsi="Arial" w:cs="Arial"/>
          <w:sz w:val="18"/>
          <w:szCs w:val="18"/>
        </w:rPr>
      </w:pPr>
    </w:p>
    <w:p w14:paraId="04D36D9F" w14:textId="77777777" w:rsidR="00171FFE" w:rsidRDefault="00171FFE">
      <w:pPr>
        <w:spacing w:line="200" w:lineRule="exact"/>
        <w:rPr>
          <w:rFonts w:ascii="Arial" w:eastAsia="Arial" w:hAnsi="Arial" w:cs="Arial"/>
          <w:sz w:val="18"/>
          <w:szCs w:val="18"/>
        </w:rPr>
      </w:pPr>
    </w:p>
    <w:p w14:paraId="3E212D5A" w14:textId="77777777" w:rsidR="00171FFE" w:rsidRDefault="00171FFE">
      <w:pPr>
        <w:spacing w:line="200" w:lineRule="exact"/>
        <w:rPr>
          <w:rFonts w:ascii="Arial" w:eastAsia="Arial" w:hAnsi="Arial" w:cs="Arial"/>
          <w:sz w:val="18"/>
          <w:szCs w:val="18"/>
        </w:rPr>
      </w:pPr>
    </w:p>
    <w:p w14:paraId="19D59F34" w14:textId="77777777" w:rsidR="00171FFE" w:rsidRDefault="00171FFE">
      <w:pPr>
        <w:spacing w:line="200" w:lineRule="exact"/>
        <w:rPr>
          <w:rFonts w:ascii="Arial" w:eastAsia="Arial" w:hAnsi="Arial" w:cs="Arial"/>
          <w:sz w:val="18"/>
          <w:szCs w:val="18"/>
        </w:rPr>
      </w:pPr>
    </w:p>
    <w:p w14:paraId="334948A3" w14:textId="77777777" w:rsidR="00171FFE" w:rsidRDefault="00171FFE">
      <w:pPr>
        <w:spacing w:line="200" w:lineRule="exact"/>
        <w:rPr>
          <w:rFonts w:ascii="Arial" w:eastAsia="Arial" w:hAnsi="Arial" w:cs="Arial"/>
          <w:sz w:val="18"/>
          <w:szCs w:val="18"/>
        </w:rPr>
      </w:pPr>
    </w:p>
    <w:p w14:paraId="1D745847" w14:textId="77777777" w:rsidR="00171FFE" w:rsidRDefault="00171FFE">
      <w:pPr>
        <w:spacing w:line="200" w:lineRule="exact"/>
        <w:rPr>
          <w:rFonts w:ascii="Arial" w:eastAsia="Arial" w:hAnsi="Arial" w:cs="Arial"/>
          <w:sz w:val="18"/>
          <w:szCs w:val="18"/>
        </w:rPr>
      </w:pPr>
    </w:p>
    <w:p w14:paraId="136B6513" w14:textId="77777777" w:rsidR="00171FFE" w:rsidRDefault="00171FFE">
      <w:pPr>
        <w:spacing w:line="200" w:lineRule="exact"/>
        <w:rPr>
          <w:rFonts w:ascii="Arial" w:eastAsia="Arial" w:hAnsi="Arial" w:cs="Arial"/>
          <w:sz w:val="18"/>
          <w:szCs w:val="18"/>
        </w:rPr>
      </w:pPr>
    </w:p>
    <w:p w14:paraId="1A11561B" w14:textId="77777777" w:rsidR="00171FFE" w:rsidRDefault="00171FFE">
      <w:pPr>
        <w:spacing w:line="200" w:lineRule="exact"/>
        <w:rPr>
          <w:rFonts w:ascii="Arial" w:eastAsia="Arial" w:hAnsi="Arial" w:cs="Arial"/>
          <w:sz w:val="18"/>
          <w:szCs w:val="18"/>
        </w:rPr>
      </w:pPr>
    </w:p>
    <w:p w14:paraId="2621193C" w14:textId="77777777" w:rsidR="00171FFE" w:rsidRDefault="00171FFE">
      <w:pPr>
        <w:spacing w:line="200" w:lineRule="exact"/>
        <w:rPr>
          <w:rFonts w:ascii="Arial" w:eastAsia="Arial" w:hAnsi="Arial" w:cs="Arial"/>
          <w:sz w:val="18"/>
          <w:szCs w:val="18"/>
        </w:rPr>
      </w:pPr>
    </w:p>
    <w:p w14:paraId="5ED1DAF4" w14:textId="77777777" w:rsidR="00171FFE" w:rsidRDefault="00171FFE">
      <w:pPr>
        <w:spacing w:line="200" w:lineRule="exact"/>
        <w:rPr>
          <w:rFonts w:ascii="Arial" w:eastAsia="Arial" w:hAnsi="Arial" w:cs="Arial"/>
          <w:sz w:val="18"/>
          <w:szCs w:val="18"/>
        </w:rPr>
      </w:pPr>
    </w:p>
    <w:p w14:paraId="33C99969" w14:textId="77777777" w:rsidR="00171FFE" w:rsidRDefault="00171FFE">
      <w:pPr>
        <w:spacing w:line="200" w:lineRule="exact"/>
        <w:rPr>
          <w:rFonts w:ascii="Arial" w:eastAsia="Arial" w:hAnsi="Arial" w:cs="Arial"/>
          <w:sz w:val="18"/>
          <w:szCs w:val="18"/>
        </w:rPr>
      </w:pPr>
    </w:p>
    <w:p w14:paraId="580F11A8" w14:textId="77777777" w:rsidR="00171FFE" w:rsidRDefault="00171FFE">
      <w:pPr>
        <w:spacing w:line="200" w:lineRule="exact"/>
        <w:rPr>
          <w:rFonts w:ascii="Arial" w:eastAsia="Arial" w:hAnsi="Arial" w:cs="Arial"/>
          <w:sz w:val="18"/>
          <w:szCs w:val="18"/>
        </w:rPr>
      </w:pPr>
    </w:p>
    <w:p w14:paraId="552542EE" w14:textId="77777777" w:rsidR="00171FFE" w:rsidRDefault="00171FFE">
      <w:pPr>
        <w:spacing w:line="200" w:lineRule="exact"/>
        <w:rPr>
          <w:rFonts w:ascii="Arial" w:eastAsia="Arial" w:hAnsi="Arial" w:cs="Arial"/>
          <w:sz w:val="18"/>
          <w:szCs w:val="18"/>
        </w:rPr>
      </w:pPr>
    </w:p>
    <w:p w14:paraId="118589B1" w14:textId="77777777" w:rsidR="00171FFE" w:rsidRDefault="00171FFE">
      <w:pPr>
        <w:spacing w:line="200" w:lineRule="exact"/>
        <w:rPr>
          <w:rFonts w:ascii="Arial" w:eastAsia="Arial" w:hAnsi="Arial" w:cs="Arial"/>
          <w:sz w:val="18"/>
          <w:szCs w:val="18"/>
        </w:rPr>
      </w:pPr>
    </w:p>
    <w:p w14:paraId="4B000DFD" w14:textId="77777777" w:rsidR="00171FFE" w:rsidRDefault="00171FFE">
      <w:pPr>
        <w:spacing w:line="200" w:lineRule="exact"/>
        <w:rPr>
          <w:rFonts w:ascii="Arial" w:eastAsia="Arial" w:hAnsi="Arial" w:cs="Arial"/>
          <w:sz w:val="18"/>
          <w:szCs w:val="18"/>
        </w:rPr>
      </w:pPr>
    </w:p>
    <w:p w14:paraId="5C256FB6" w14:textId="77777777" w:rsidR="00171FFE" w:rsidRDefault="00171FFE">
      <w:pPr>
        <w:spacing w:line="200" w:lineRule="exact"/>
        <w:rPr>
          <w:rFonts w:ascii="Arial" w:eastAsia="Arial" w:hAnsi="Arial" w:cs="Arial"/>
          <w:sz w:val="18"/>
          <w:szCs w:val="18"/>
        </w:rPr>
      </w:pPr>
    </w:p>
    <w:p w14:paraId="233B79ED" w14:textId="77777777" w:rsidR="00171FFE" w:rsidRDefault="00171FFE">
      <w:pPr>
        <w:spacing w:line="200" w:lineRule="exact"/>
        <w:rPr>
          <w:rFonts w:ascii="Arial" w:eastAsia="Arial" w:hAnsi="Arial" w:cs="Arial"/>
          <w:sz w:val="18"/>
          <w:szCs w:val="18"/>
        </w:rPr>
      </w:pPr>
    </w:p>
    <w:p w14:paraId="3BC146A6" w14:textId="77777777" w:rsidR="00171FFE" w:rsidRDefault="00171FFE">
      <w:pPr>
        <w:spacing w:line="313" w:lineRule="exact"/>
        <w:rPr>
          <w:rFonts w:ascii="Arial" w:eastAsia="Arial" w:hAnsi="Arial" w:cs="Arial"/>
          <w:sz w:val="18"/>
          <w:szCs w:val="18"/>
        </w:rPr>
      </w:pPr>
    </w:p>
    <w:p w14:paraId="00C02813" w14:textId="77777777" w:rsidR="00171FFE" w:rsidRDefault="00840651">
      <w:pPr>
        <w:numPr>
          <w:ilvl w:val="0"/>
          <w:numId w:val="2"/>
        </w:numPr>
        <w:tabs>
          <w:tab w:val="left" w:pos="209"/>
        </w:tabs>
        <w:spacing w:line="254" w:lineRule="auto"/>
        <w:ind w:right="326" w:firstLine="2"/>
        <w:rPr>
          <w:rFonts w:ascii="Arial" w:eastAsia="Arial" w:hAnsi="Arial" w:cs="Arial"/>
          <w:b/>
          <w:bCs/>
          <w:sz w:val="15"/>
          <w:szCs w:val="15"/>
        </w:rPr>
      </w:pPr>
      <w:r>
        <w:rPr>
          <w:rFonts w:ascii="Arial" w:eastAsia="Arial" w:hAnsi="Arial" w:cs="Arial"/>
          <w:sz w:val="15"/>
          <w:szCs w:val="15"/>
        </w:rPr>
        <w:lastRenderedPageBreak/>
        <w:t>The yearly change in Operating Expenses and Annual Revenue for John-son &amp; Johnson between 2010-2022.</w:t>
      </w:r>
    </w:p>
    <w:p w14:paraId="66CE053E" w14:textId="77777777" w:rsidR="00171FFE" w:rsidRDefault="00840651">
      <w:pPr>
        <w:spacing w:line="20" w:lineRule="exact"/>
        <w:rPr>
          <w:rFonts w:ascii="Arial" w:eastAsia="Arial" w:hAnsi="Arial" w:cs="Arial"/>
          <w:sz w:val="18"/>
          <w:szCs w:val="18"/>
        </w:rPr>
      </w:pPr>
      <w:r>
        <w:rPr>
          <w:rFonts w:ascii="Arial" w:eastAsia="Arial" w:hAnsi="Arial" w:cs="Arial"/>
          <w:sz w:val="18"/>
          <w:szCs w:val="18"/>
        </w:rPr>
        <w:br w:type="column"/>
      </w:r>
    </w:p>
    <w:p w14:paraId="08ABF90A" w14:textId="77777777" w:rsidR="00171FFE" w:rsidRDefault="00171FFE">
      <w:pPr>
        <w:spacing w:line="200" w:lineRule="exact"/>
        <w:rPr>
          <w:rFonts w:ascii="Arial" w:eastAsia="Arial" w:hAnsi="Arial" w:cs="Arial"/>
          <w:sz w:val="18"/>
          <w:szCs w:val="18"/>
        </w:rPr>
      </w:pPr>
    </w:p>
    <w:p w14:paraId="487DA795" w14:textId="77777777" w:rsidR="00171FFE" w:rsidRDefault="00171FFE">
      <w:pPr>
        <w:spacing w:line="200" w:lineRule="exact"/>
        <w:rPr>
          <w:rFonts w:ascii="Arial" w:eastAsia="Arial" w:hAnsi="Arial" w:cs="Arial"/>
          <w:sz w:val="18"/>
          <w:szCs w:val="18"/>
        </w:rPr>
      </w:pPr>
    </w:p>
    <w:p w14:paraId="1792ECC0" w14:textId="77777777" w:rsidR="00171FFE" w:rsidRDefault="00171FFE">
      <w:pPr>
        <w:spacing w:line="200" w:lineRule="exact"/>
        <w:rPr>
          <w:rFonts w:ascii="Arial" w:eastAsia="Arial" w:hAnsi="Arial" w:cs="Arial"/>
          <w:sz w:val="18"/>
          <w:szCs w:val="18"/>
        </w:rPr>
      </w:pPr>
    </w:p>
    <w:p w14:paraId="7A91519F" w14:textId="77777777" w:rsidR="00171FFE" w:rsidRDefault="00171FFE">
      <w:pPr>
        <w:spacing w:line="200" w:lineRule="exact"/>
        <w:rPr>
          <w:rFonts w:ascii="Arial" w:eastAsia="Arial" w:hAnsi="Arial" w:cs="Arial"/>
          <w:sz w:val="18"/>
          <w:szCs w:val="18"/>
        </w:rPr>
      </w:pPr>
    </w:p>
    <w:p w14:paraId="33F532BB" w14:textId="77777777" w:rsidR="00171FFE" w:rsidRDefault="00171FFE">
      <w:pPr>
        <w:spacing w:line="200" w:lineRule="exact"/>
        <w:rPr>
          <w:rFonts w:ascii="Arial" w:eastAsia="Arial" w:hAnsi="Arial" w:cs="Arial"/>
          <w:sz w:val="18"/>
          <w:szCs w:val="18"/>
        </w:rPr>
      </w:pPr>
    </w:p>
    <w:p w14:paraId="60A7EE0C" w14:textId="77777777" w:rsidR="00171FFE" w:rsidRDefault="00171FFE">
      <w:pPr>
        <w:spacing w:line="200" w:lineRule="exact"/>
        <w:rPr>
          <w:rFonts w:ascii="Arial" w:eastAsia="Arial" w:hAnsi="Arial" w:cs="Arial"/>
          <w:sz w:val="18"/>
          <w:szCs w:val="18"/>
        </w:rPr>
      </w:pPr>
    </w:p>
    <w:p w14:paraId="25643274" w14:textId="77777777" w:rsidR="00171FFE" w:rsidRDefault="00171FFE">
      <w:pPr>
        <w:spacing w:line="200" w:lineRule="exact"/>
        <w:rPr>
          <w:rFonts w:ascii="Arial" w:eastAsia="Arial" w:hAnsi="Arial" w:cs="Arial"/>
          <w:sz w:val="18"/>
          <w:szCs w:val="18"/>
        </w:rPr>
      </w:pPr>
    </w:p>
    <w:p w14:paraId="0FF05BCB" w14:textId="77777777" w:rsidR="00171FFE" w:rsidRDefault="00171FFE">
      <w:pPr>
        <w:spacing w:line="200" w:lineRule="exact"/>
        <w:rPr>
          <w:rFonts w:ascii="Arial" w:eastAsia="Arial" w:hAnsi="Arial" w:cs="Arial"/>
          <w:sz w:val="18"/>
          <w:szCs w:val="18"/>
        </w:rPr>
      </w:pPr>
    </w:p>
    <w:p w14:paraId="12FE3172" w14:textId="77777777" w:rsidR="00171FFE" w:rsidRDefault="00171FFE">
      <w:pPr>
        <w:spacing w:line="200" w:lineRule="exact"/>
        <w:rPr>
          <w:rFonts w:ascii="Arial" w:eastAsia="Arial" w:hAnsi="Arial" w:cs="Arial"/>
          <w:sz w:val="18"/>
          <w:szCs w:val="18"/>
        </w:rPr>
      </w:pPr>
    </w:p>
    <w:p w14:paraId="3CBBACD2" w14:textId="77777777" w:rsidR="00171FFE" w:rsidRDefault="00171FFE">
      <w:pPr>
        <w:spacing w:line="200" w:lineRule="exact"/>
        <w:rPr>
          <w:rFonts w:ascii="Arial" w:eastAsia="Arial" w:hAnsi="Arial" w:cs="Arial"/>
          <w:sz w:val="18"/>
          <w:szCs w:val="18"/>
        </w:rPr>
      </w:pPr>
    </w:p>
    <w:p w14:paraId="06E1B5EE" w14:textId="77777777" w:rsidR="00171FFE" w:rsidRDefault="00171FFE">
      <w:pPr>
        <w:spacing w:line="200" w:lineRule="exact"/>
        <w:rPr>
          <w:rFonts w:ascii="Arial" w:eastAsia="Arial" w:hAnsi="Arial" w:cs="Arial"/>
          <w:sz w:val="18"/>
          <w:szCs w:val="18"/>
        </w:rPr>
      </w:pPr>
    </w:p>
    <w:p w14:paraId="1C0D236F" w14:textId="77777777" w:rsidR="00171FFE" w:rsidRDefault="00171FFE">
      <w:pPr>
        <w:spacing w:line="200" w:lineRule="exact"/>
        <w:rPr>
          <w:rFonts w:ascii="Arial" w:eastAsia="Arial" w:hAnsi="Arial" w:cs="Arial"/>
          <w:sz w:val="18"/>
          <w:szCs w:val="18"/>
        </w:rPr>
      </w:pPr>
    </w:p>
    <w:p w14:paraId="3F15271A" w14:textId="77777777" w:rsidR="00171FFE" w:rsidRDefault="00171FFE">
      <w:pPr>
        <w:spacing w:line="200" w:lineRule="exact"/>
        <w:rPr>
          <w:rFonts w:ascii="Arial" w:eastAsia="Arial" w:hAnsi="Arial" w:cs="Arial"/>
          <w:sz w:val="18"/>
          <w:szCs w:val="18"/>
        </w:rPr>
      </w:pPr>
    </w:p>
    <w:p w14:paraId="2989D8C1" w14:textId="77777777" w:rsidR="00171FFE" w:rsidRDefault="00171FFE">
      <w:pPr>
        <w:spacing w:line="200" w:lineRule="exact"/>
        <w:rPr>
          <w:rFonts w:ascii="Arial" w:eastAsia="Arial" w:hAnsi="Arial" w:cs="Arial"/>
          <w:sz w:val="18"/>
          <w:szCs w:val="18"/>
        </w:rPr>
      </w:pPr>
    </w:p>
    <w:p w14:paraId="284D2275" w14:textId="77777777" w:rsidR="00171FFE" w:rsidRDefault="00171FFE">
      <w:pPr>
        <w:spacing w:line="200" w:lineRule="exact"/>
        <w:rPr>
          <w:rFonts w:ascii="Arial" w:eastAsia="Arial" w:hAnsi="Arial" w:cs="Arial"/>
          <w:sz w:val="18"/>
          <w:szCs w:val="18"/>
        </w:rPr>
      </w:pPr>
    </w:p>
    <w:p w14:paraId="322F9AC7" w14:textId="77777777" w:rsidR="00171FFE" w:rsidRDefault="00171FFE">
      <w:pPr>
        <w:spacing w:line="200" w:lineRule="exact"/>
        <w:rPr>
          <w:rFonts w:ascii="Arial" w:eastAsia="Arial" w:hAnsi="Arial" w:cs="Arial"/>
          <w:sz w:val="18"/>
          <w:szCs w:val="18"/>
        </w:rPr>
      </w:pPr>
    </w:p>
    <w:p w14:paraId="67518794" w14:textId="77777777" w:rsidR="00171FFE" w:rsidRDefault="00171FFE">
      <w:pPr>
        <w:spacing w:line="304" w:lineRule="exact"/>
        <w:rPr>
          <w:rFonts w:ascii="Arial" w:eastAsia="Arial" w:hAnsi="Arial" w:cs="Arial"/>
          <w:sz w:val="18"/>
          <w:szCs w:val="18"/>
        </w:rPr>
      </w:pPr>
    </w:p>
    <w:p w14:paraId="3DCB16F3" w14:textId="77777777" w:rsidR="00171FFE" w:rsidRDefault="00840651">
      <w:pPr>
        <w:numPr>
          <w:ilvl w:val="0"/>
          <w:numId w:val="3"/>
        </w:numPr>
        <w:tabs>
          <w:tab w:val="left" w:pos="219"/>
        </w:tabs>
        <w:spacing w:line="331" w:lineRule="auto"/>
        <w:ind w:left="-6" w:firstLine="6"/>
        <w:jc w:val="both"/>
        <w:rPr>
          <w:rFonts w:ascii="Arial" w:eastAsia="Arial" w:hAnsi="Arial" w:cs="Arial"/>
          <w:b/>
          <w:bCs/>
          <w:sz w:val="15"/>
          <w:szCs w:val="15"/>
        </w:rPr>
      </w:pPr>
      <w:r>
        <w:rPr>
          <w:rFonts w:ascii="Arial" w:eastAsia="Arial" w:hAnsi="Arial" w:cs="Arial"/>
          <w:sz w:val="15"/>
          <w:szCs w:val="15"/>
        </w:rPr>
        <w:t xml:space="preserve">The correlation between Operating Expenses and Annual Revenue for Johnson &amp; Johnson between 2010-2022. The correlation coefficient, repre-sented by </w:t>
      </w:r>
      <w:r>
        <w:rPr>
          <w:rFonts w:ascii="Arial" w:eastAsia="Arial" w:hAnsi="Arial" w:cs="Arial"/>
          <w:i/>
          <w:iCs/>
          <w:sz w:val="15"/>
          <w:szCs w:val="15"/>
        </w:rPr>
        <w:t>r</w:t>
      </w:r>
      <w:r>
        <w:rPr>
          <w:rFonts w:ascii="Arial" w:eastAsia="Arial" w:hAnsi="Arial" w:cs="Arial"/>
          <w:sz w:val="15"/>
          <w:szCs w:val="15"/>
        </w:rPr>
        <w:t xml:space="preserve"> = 0.97, implies a very strong positive correlation.</w:t>
      </w:r>
    </w:p>
    <w:p w14:paraId="333C4E7B" w14:textId="77777777" w:rsidR="00171FFE" w:rsidRDefault="00171FFE">
      <w:pPr>
        <w:spacing w:line="55" w:lineRule="exact"/>
        <w:rPr>
          <w:rFonts w:ascii="Arial" w:eastAsia="Arial" w:hAnsi="Arial" w:cs="Arial"/>
          <w:sz w:val="18"/>
          <w:szCs w:val="18"/>
        </w:rPr>
      </w:pPr>
    </w:p>
    <w:p w14:paraId="2B9B953C" w14:textId="77777777" w:rsidR="00171FFE" w:rsidRDefault="00171FFE">
      <w:pPr>
        <w:sectPr w:rsidR="00171FFE">
          <w:type w:val="continuous"/>
          <w:pgSz w:w="11900" w:h="16877"/>
          <w:pgMar w:top="460" w:right="546" w:bottom="0" w:left="560" w:header="0" w:footer="0" w:gutter="0"/>
          <w:cols w:num="2" w:space="720" w:equalWidth="0">
            <w:col w:w="5206" w:space="720"/>
            <w:col w:w="4874"/>
          </w:cols>
        </w:sectPr>
      </w:pPr>
    </w:p>
    <w:p w14:paraId="0AB8DC64" w14:textId="77777777" w:rsidR="00171FFE" w:rsidRDefault="00840651">
      <w:pPr>
        <w:jc w:val="center"/>
        <w:rPr>
          <w:sz w:val="20"/>
          <w:szCs w:val="20"/>
        </w:rPr>
      </w:pPr>
      <w:r>
        <w:rPr>
          <w:rFonts w:ascii="Arial" w:eastAsia="Arial" w:hAnsi="Arial" w:cs="Arial"/>
          <w:b/>
          <w:bCs/>
          <w:sz w:val="16"/>
          <w:szCs w:val="16"/>
        </w:rPr>
        <w:t>Figure 6:</w:t>
      </w:r>
      <w:r>
        <w:rPr>
          <w:rFonts w:ascii="Arial" w:eastAsia="Arial" w:hAnsi="Arial" w:cs="Arial"/>
          <w:sz w:val="16"/>
          <w:szCs w:val="16"/>
        </w:rPr>
        <w:t xml:space="preserve"> Pricing Impa</w:t>
      </w:r>
      <w:r>
        <w:rPr>
          <w:rFonts w:ascii="Arial" w:eastAsia="Arial" w:hAnsi="Arial" w:cs="Arial"/>
          <w:sz w:val="16"/>
          <w:szCs w:val="16"/>
        </w:rPr>
        <w:t>ct on Revenue</w:t>
      </w:r>
    </w:p>
    <w:p w14:paraId="70EBA7A4" w14:textId="77777777" w:rsidR="00171FFE" w:rsidRDefault="00171FFE">
      <w:pPr>
        <w:sectPr w:rsidR="00171FFE">
          <w:type w:val="continuous"/>
          <w:pgSz w:w="11900" w:h="16877"/>
          <w:pgMar w:top="460" w:right="546" w:bottom="0" w:left="560" w:header="0" w:footer="0" w:gutter="0"/>
          <w:cols w:space="720" w:equalWidth="0">
            <w:col w:w="10800"/>
          </w:cols>
        </w:sectPr>
      </w:pPr>
    </w:p>
    <w:p w14:paraId="1B8B2B14" w14:textId="77777777" w:rsidR="00171FFE" w:rsidRDefault="00171FFE">
      <w:pPr>
        <w:spacing w:line="200" w:lineRule="exact"/>
        <w:rPr>
          <w:rFonts w:ascii="Arial" w:eastAsia="Arial" w:hAnsi="Arial" w:cs="Arial"/>
          <w:sz w:val="18"/>
          <w:szCs w:val="18"/>
        </w:rPr>
      </w:pPr>
    </w:p>
    <w:p w14:paraId="45005257" w14:textId="77777777" w:rsidR="00171FFE" w:rsidRDefault="00171FFE">
      <w:pPr>
        <w:spacing w:line="200" w:lineRule="exact"/>
        <w:rPr>
          <w:rFonts w:ascii="Arial" w:eastAsia="Arial" w:hAnsi="Arial" w:cs="Arial"/>
          <w:sz w:val="18"/>
          <w:szCs w:val="18"/>
        </w:rPr>
      </w:pPr>
    </w:p>
    <w:p w14:paraId="3863B6A9" w14:textId="77777777" w:rsidR="00171FFE" w:rsidRDefault="00171FFE">
      <w:pPr>
        <w:spacing w:line="200" w:lineRule="exact"/>
        <w:rPr>
          <w:rFonts w:ascii="Arial" w:eastAsia="Arial" w:hAnsi="Arial" w:cs="Arial"/>
          <w:sz w:val="18"/>
          <w:szCs w:val="18"/>
        </w:rPr>
      </w:pPr>
    </w:p>
    <w:p w14:paraId="6463502D" w14:textId="77777777" w:rsidR="00171FFE" w:rsidRDefault="00171FFE">
      <w:pPr>
        <w:spacing w:line="200" w:lineRule="exact"/>
        <w:rPr>
          <w:rFonts w:ascii="Arial" w:eastAsia="Arial" w:hAnsi="Arial" w:cs="Arial"/>
          <w:sz w:val="18"/>
          <w:szCs w:val="18"/>
        </w:rPr>
      </w:pPr>
    </w:p>
    <w:p w14:paraId="5107C5EF" w14:textId="77777777" w:rsidR="00171FFE" w:rsidRDefault="00171FFE">
      <w:pPr>
        <w:spacing w:line="200" w:lineRule="exact"/>
        <w:rPr>
          <w:rFonts w:ascii="Arial" w:eastAsia="Arial" w:hAnsi="Arial" w:cs="Arial"/>
          <w:sz w:val="18"/>
          <w:szCs w:val="18"/>
        </w:rPr>
      </w:pPr>
    </w:p>
    <w:p w14:paraId="324137C5" w14:textId="77777777" w:rsidR="00171FFE" w:rsidRDefault="00171FFE">
      <w:pPr>
        <w:spacing w:line="200" w:lineRule="exact"/>
        <w:rPr>
          <w:rFonts w:ascii="Arial" w:eastAsia="Arial" w:hAnsi="Arial" w:cs="Arial"/>
          <w:sz w:val="18"/>
          <w:szCs w:val="18"/>
        </w:rPr>
      </w:pPr>
    </w:p>
    <w:p w14:paraId="0B054128" w14:textId="77777777" w:rsidR="00171FFE" w:rsidRDefault="00171FFE">
      <w:pPr>
        <w:spacing w:line="268" w:lineRule="exact"/>
        <w:rPr>
          <w:rFonts w:ascii="Arial" w:eastAsia="Arial" w:hAnsi="Arial" w:cs="Arial"/>
          <w:sz w:val="18"/>
          <w:szCs w:val="18"/>
        </w:rPr>
      </w:pPr>
    </w:p>
    <w:p w14:paraId="63A16509" w14:textId="77777777" w:rsidR="00171FFE" w:rsidRDefault="00840651">
      <w:pPr>
        <w:ind w:left="10680"/>
        <w:rPr>
          <w:sz w:val="20"/>
          <w:szCs w:val="20"/>
        </w:rPr>
      </w:pPr>
      <w:r>
        <w:rPr>
          <w:rFonts w:ascii="Arial" w:eastAsia="Arial" w:hAnsi="Arial" w:cs="Arial"/>
          <w:sz w:val="17"/>
          <w:szCs w:val="17"/>
        </w:rPr>
        <w:t>3</w:t>
      </w:r>
    </w:p>
    <w:p w14:paraId="41ADEB60" w14:textId="77777777" w:rsidR="00171FFE" w:rsidRDefault="00171FFE">
      <w:pPr>
        <w:sectPr w:rsidR="00171FFE">
          <w:type w:val="continuous"/>
          <w:pgSz w:w="11900" w:h="16877"/>
          <w:pgMar w:top="460" w:right="546" w:bottom="0" w:left="560" w:header="0" w:footer="0" w:gutter="0"/>
          <w:cols w:space="720" w:equalWidth="0">
            <w:col w:w="10800"/>
          </w:cols>
        </w:sectPr>
      </w:pPr>
    </w:p>
    <w:p w14:paraId="482BAB4D" w14:textId="77777777" w:rsidR="00171FFE" w:rsidRDefault="00171FFE">
      <w:pPr>
        <w:spacing w:line="40" w:lineRule="exact"/>
        <w:rPr>
          <w:sz w:val="20"/>
          <w:szCs w:val="20"/>
        </w:rPr>
      </w:pPr>
      <w:bookmarkStart w:id="6" w:name="page4"/>
      <w:bookmarkEnd w:id="6"/>
    </w:p>
    <w:p w14:paraId="4E577241" w14:textId="77777777" w:rsidR="00171FFE" w:rsidRDefault="00840651">
      <w:pPr>
        <w:tabs>
          <w:tab w:val="left" w:pos="9160"/>
        </w:tabs>
        <w:rPr>
          <w:sz w:val="20"/>
          <w:szCs w:val="20"/>
        </w:rPr>
      </w:pPr>
      <w:r>
        <w:rPr>
          <w:rFonts w:ascii="Arial" w:eastAsia="Arial" w:hAnsi="Arial" w:cs="Arial"/>
          <w:sz w:val="18"/>
          <w:szCs w:val="18"/>
        </w:rPr>
        <w:t>Revenue Driver and Cost Driver Analysis</w:t>
      </w:r>
      <w:r>
        <w:rPr>
          <w:sz w:val="20"/>
          <w:szCs w:val="20"/>
        </w:rPr>
        <w:tab/>
      </w:r>
      <w:r>
        <w:rPr>
          <w:rFonts w:ascii="Arial" w:eastAsia="Arial" w:hAnsi="Arial" w:cs="Arial"/>
          <w:sz w:val="18"/>
          <w:szCs w:val="18"/>
        </w:rPr>
        <w:t>Sidharth Nambiath</w:t>
      </w:r>
    </w:p>
    <w:p w14:paraId="0BC6F3D2" w14:textId="77777777" w:rsidR="00171FFE" w:rsidRDefault="00840651">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14:anchorId="6AFA3EC9" wp14:editId="1D47A154">
                <wp:simplePos x="0" y="0"/>
                <wp:positionH relativeFrom="column">
                  <wp:posOffset>3810</wp:posOffset>
                </wp:positionH>
                <wp:positionV relativeFrom="paragraph">
                  <wp:posOffset>19685</wp:posOffset>
                </wp:positionV>
                <wp:extent cx="684022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w:pict>
              <v:line w14:anchorId="1AFF652B" id="Shape 1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" o:allowincell="f" filled="t" strokeweight=".14039mm">
                <v:stroke joinstyle="miter"/>
                <o:lock v:ext="edit" shapetype="f"/>
              </v:line>
            </w:pict>
          </mc:Fallback>
        </mc:AlternateContent>
      </w:r>
    </w:p>
    <w:p w14:paraId="6A846859" w14:textId="77777777" w:rsidR="00171FFE" w:rsidRDefault="00171FFE">
      <w:pPr>
        <w:spacing w:line="200" w:lineRule="exact"/>
        <w:rPr>
          <w:sz w:val="20"/>
          <w:szCs w:val="20"/>
        </w:rPr>
      </w:pPr>
    </w:p>
    <w:p w14:paraId="74A40CD9" w14:textId="77777777" w:rsidR="00171FFE" w:rsidRDefault="00171FFE">
      <w:pPr>
        <w:spacing w:line="306" w:lineRule="exact"/>
        <w:rPr>
          <w:sz w:val="20"/>
          <w:szCs w:val="20"/>
        </w:rPr>
      </w:pPr>
    </w:p>
    <w:p w14:paraId="548DDDF6" w14:textId="77777777" w:rsidR="00171FFE" w:rsidRDefault="00840651">
      <w:pPr>
        <w:jc w:val="center"/>
        <w:rPr>
          <w:sz w:val="20"/>
          <w:szCs w:val="20"/>
        </w:rPr>
      </w:pPr>
      <w:r>
        <w:rPr>
          <w:rFonts w:ascii="Arial" w:eastAsia="Arial" w:hAnsi="Arial" w:cs="Arial"/>
          <w:sz w:val="18"/>
          <w:szCs w:val="18"/>
        </w:rPr>
        <w:t xml:space="preserve">H </w:t>
      </w:r>
      <w:r>
        <w:rPr>
          <w:noProof/>
          <w:sz w:val="1"/>
          <w:szCs w:val="1"/>
        </w:rPr>
        <w:drawing>
          <wp:inline distT="0" distB="0" distL="0" distR="0" wp14:anchorId="6004D42D" wp14:editId="344CB92F">
            <wp:extent cx="3077845" cy="20516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blip>
                    <a:srcRect/>
                    <a:stretch>
                      <a:fillRect/>
                    </a:stretch>
                  </pic:blipFill>
                  <pic:spPr bwMode="auto">
                    <a:xfrm>
                      <a:off x="0" y="0"/>
                      <a:ext cx="3077845" cy="2051685"/>
                    </a:xfrm>
                    <a:prstGeom prst="rect">
                      <a:avLst/>
                    </a:prstGeom>
                    <a:noFill/>
                    <a:ln>
                      <a:noFill/>
                    </a:ln>
                  </pic:spPr>
                </pic:pic>
              </a:graphicData>
            </a:graphic>
          </wp:inline>
        </w:drawing>
      </w:r>
    </w:p>
    <w:p w14:paraId="61890D64" w14:textId="77777777" w:rsidR="00171FFE" w:rsidRDefault="00171FFE">
      <w:pPr>
        <w:spacing w:line="165" w:lineRule="exact"/>
        <w:rPr>
          <w:sz w:val="20"/>
          <w:szCs w:val="20"/>
        </w:rPr>
      </w:pPr>
    </w:p>
    <w:p w14:paraId="61D3AC2A" w14:textId="77777777" w:rsidR="00171FFE" w:rsidRDefault="00840651">
      <w:pPr>
        <w:jc w:val="center"/>
        <w:rPr>
          <w:sz w:val="20"/>
          <w:szCs w:val="20"/>
        </w:rPr>
      </w:pPr>
      <w:r>
        <w:rPr>
          <w:rFonts w:ascii="Arial" w:eastAsia="Arial" w:hAnsi="Arial" w:cs="Arial"/>
          <w:b/>
          <w:bCs/>
          <w:sz w:val="16"/>
          <w:szCs w:val="16"/>
        </w:rPr>
        <w:t>Figure 7:</w:t>
      </w:r>
      <w:r>
        <w:rPr>
          <w:rFonts w:ascii="Arial" w:eastAsia="Arial" w:hAnsi="Arial" w:cs="Arial"/>
          <w:sz w:val="16"/>
          <w:szCs w:val="16"/>
        </w:rPr>
        <w:t xml:space="preserve"> The evolution of net income amongst peers in the pharmaceutical sector (2017-2022). Net income data acquired from Macrotrends.</w:t>
      </w:r>
    </w:p>
    <w:p w14:paraId="1080A43F" w14:textId="77777777" w:rsidR="00171FFE" w:rsidRDefault="00171FFE">
      <w:pPr>
        <w:spacing w:line="200" w:lineRule="exact"/>
        <w:rPr>
          <w:sz w:val="20"/>
          <w:szCs w:val="20"/>
        </w:rPr>
      </w:pPr>
    </w:p>
    <w:p w14:paraId="3229C853" w14:textId="77777777" w:rsidR="00171FFE" w:rsidRDefault="00171FFE">
      <w:pPr>
        <w:spacing w:line="229" w:lineRule="exact"/>
        <w:rPr>
          <w:sz w:val="20"/>
          <w:szCs w:val="20"/>
        </w:rPr>
      </w:pPr>
    </w:p>
    <w:p w14:paraId="07F6DDEA" w14:textId="77777777" w:rsidR="00171FFE" w:rsidRDefault="00840651">
      <w:pPr>
        <w:rPr>
          <w:sz w:val="20"/>
          <w:szCs w:val="20"/>
        </w:rPr>
      </w:pPr>
      <w:r>
        <w:rPr>
          <w:rFonts w:ascii="Arial" w:eastAsia="Arial" w:hAnsi="Arial" w:cs="Arial"/>
          <w:b/>
          <w:bCs/>
        </w:rPr>
        <w:t>Company Performance and Peer Comparison</w:t>
      </w:r>
    </w:p>
    <w:p w14:paraId="24AC119B" w14:textId="77777777" w:rsidR="00171FFE" w:rsidRDefault="00171FFE">
      <w:pPr>
        <w:spacing w:line="214" w:lineRule="exact"/>
        <w:rPr>
          <w:sz w:val="20"/>
          <w:szCs w:val="20"/>
        </w:rPr>
      </w:pPr>
    </w:p>
    <w:p w14:paraId="782C389A" w14:textId="77777777" w:rsidR="00171FFE" w:rsidRDefault="00840651">
      <w:pPr>
        <w:spacing w:line="346" w:lineRule="auto"/>
        <w:ind w:firstLine="3"/>
        <w:jc w:val="both"/>
        <w:rPr>
          <w:rFonts w:ascii="Arial" w:eastAsia="Arial" w:hAnsi="Arial" w:cs="Arial"/>
          <w:sz w:val="18"/>
          <w:szCs w:val="18"/>
        </w:rPr>
      </w:pPr>
      <w:r>
        <w:rPr>
          <w:rFonts w:ascii="Arial" w:eastAsia="Arial" w:hAnsi="Arial" w:cs="Arial"/>
          <w:sz w:val="18"/>
          <w:szCs w:val="18"/>
        </w:rPr>
        <w:t>It can be seen in Figure</w:t>
      </w:r>
      <w:r>
        <w:rPr>
          <w:rFonts w:ascii="Arial" w:eastAsia="Arial" w:hAnsi="Arial" w:cs="Arial"/>
          <w:color w:val="0000FF"/>
          <w:sz w:val="18"/>
          <w:szCs w:val="18"/>
        </w:rPr>
        <w:t xml:space="preserve"> </w:t>
      </w:r>
      <w:hyperlink w:anchor="page4">
        <w:r>
          <w:rPr>
            <w:rFonts w:ascii="Arial" w:eastAsia="Arial" w:hAnsi="Arial" w:cs="Arial"/>
            <w:color w:val="0000FF"/>
            <w:sz w:val="18"/>
            <w:szCs w:val="18"/>
          </w:rPr>
          <w:t>7</w:t>
        </w:r>
        <w:r>
          <w:rPr>
            <w:rFonts w:ascii="Arial" w:eastAsia="Arial" w:hAnsi="Arial" w:cs="Arial"/>
            <w:sz w:val="18"/>
            <w:szCs w:val="18"/>
          </w:rPr>
          <w:t xml:space="preserve"> </w:t>
        </w:r>
      </w:hyperlink>
      <w:r>
        <w:rPr>
          <w:rFonts w:ascii="Arial" w:eastAsia="Arial" w:hAnsi="Arial" w:cs="Arial"/>
          <w:sz w:val="18"/>
          <w:szCs w:val="18"/>
        </w:rPr>
        <w:t>that all of the peers were per</w:t>
      </w:r>
      <w:r>
        <w:rPr>
          <w:rFonts w:ascii="Arial" w:eastAsia="Arial" w:hAnsi="Arial" w:cs="Arial"/>
          <w:sz w:val="18"/>
          <w:szCs w:val="18"/>
        </w:rPr>
        <w:t xml:space="preserve">forming relatively similarly prior to the pandemic in 2020, with Johnson &amp; Johnson earning the largest profits. During and after the pandemic, all of these companies saw growth, perhaps due to the increased demand for hygiene products and pharmaceuticals, </w:t>
      </w:r>
      <w:r>
        <w:rPr>
          <w:rFonts w:ascii="Arial" w:eastAsia="Arial" w:hAnsi="Arial" w:cs="Arial"/>
          <w:sz w:val="18"/>
          <w:szCs w:val="18"/>
        </w:rPr>
        <w:t>but Pfizer in particular saw far more pronounced growth, potentially as a consequence of its successful Pfizer-BioNTech vaccination rollout.</w:t>
      </w:r>
    </w:p>
    <w:p w14:paraId="53846F38" w14:textId="77777777" w:rsidR="00171FFE" w:rsidRDefault="00171FFE">
      <w:pPr>
        <w:sectPr w:rsidR="00171FFE">
          <w:pgSz w:w="11900" w:h="16877"/>
          <w:pgMar w:top="460" w:right="566" w:bottom="0" w:left="560" w:header="0" w:footer="0" w:gutter="0"/>
          <w:cols w:space="720" w:equalWidth="0">
            <w:col w:w="10780"/>
          </w:cols>
        </w:sectPr>
      </w:pPr>
    </w:p>
    <w:p w14:paraId="1AAB9A2D" w14:textId="77777777" w:rsidR="00171FFE" w:rsidRDefault="00171FFE">
      <w:pPr>
        <w:spacing w:line="200" w:lineRule="exact"/>
        <w:rPr>
          <w:sz w:val="20"/>
          <w:szCs w:val="20"/>
        </w:rPr>
      </w:pPr>
    </w:p>
    <w:p w14:paraId="44467A3A" w14:textId="77777777" w:rsidR="00171FFE" w:rsidRDefault="00171FFE">
      <w:pPr>
        <w:spacing w:line="200" w:lineRule="exact"/>
        <w:rPr>
          <w:sz w:val="20"/>
          <w:szCs w:val="20"/>
        </w:rPr>
      </w:pPr>
    </w:p>
    <w:p w14:paraId="5ECBE0A7" w14:textId="77777777" w:rsidR="00171FFE" w:rsidRDefault="00171FFE">
      <w:pPr>
        <w:spacing w:line="200" w:lineRule="exact"/>
        <w:rPr>
          <w:sz w:val="20"/>
          <w:szCs w:val="20"/>
        </w:rPr>
      </w:pPr>
    </w:p>
    <w:p w14:paraId="4E7661D9" w14:textId="77777777" w:rsidR="00171FFE" w:rsidRDefault="00171FFE">
      <w:pPr>
        <w:spacing w:line="200" w:lineRule="exact"/>
        <w:rPr>
          <w:sz w:val="20"/>
          <w:szCs w:val="20"/>
        </w:rPr>
      </w:pPr>
    </w:p>
    <w:p w14:paraId="2E94B35A" w14:textId="77777777" w:rsidR="00171FFE" w:rsidRDefault="00171FFE">
      <w:pPr>
        <w:spacing w:line="200" w:lineRule="exact"/>
        <w:rPr>
          <w:sz w:val="20"/>
          <w:szCs w:val="20"/>
        </w:rPr>
      </w:pPr>
    </w:p>
    <w:p w14:paraId="19B13E4B" w14:textId="77777777" w:rsidR="00171FFE" w:rsidRDefault="00171FFE">
      <w:pPr>
        <w:spacing w:line="200" w:lineRule="exact"/>
        <w:rPr>
          <w:sz w:val="20"/>
          <w:szCs w:val="20"/>
        </w:rPr>
      </w:pPr>
    </w:p>
    <w:p w14:paraId="3FAF785F" w14:textId="77777777" w:rsidR="00171FFE" w:rsidRDefault="00171FFE">
      <w:pPr>
        <w:spacing w:line="200" w:lineRule="exact"/>
        <w:rPr>
          <w:sz w:val="20"/>
          <w:szCs w:val="20"/>
        </w:rPr>
      </w:pPr>
    </w:p>
    <w:p w14:paraId="49A9A609" w14:textId="77777777" w:rsidR="00171FFE" w:rsidRDefault="00171FFE">
      <w:pPr>
        <w:spacing w:line="200" w:lineRule="exact"/>
        <w:rPr>
          <w:sz w:val="20"/>
          <w:szCs w:val="20"/>
        </w:rPr>
      </w:pPr>
    </w:p>
    <w:p w14:paraId="0C5372BA" w14:textId="77777777" w:rsidR="00171FFE" w:rsidRDefault="00171FFE">
      <w:pPr>
        <w:spacing w:line="200" w:lineRule="exact"/>
        <w:rPr>
          <w:sz w:val="20"/>
          <w:szCs w:val="20"/>
        </w:rPr>
      </w:pPr>
    </w:p>
    <w:p w14:paraId="7864F9AC" w14:textId="77777777" w:rsidR="00171FFE" w:rsidRDefault="00171FFE">
      <w:pPr>
        <w:spacing w:line="200" w:lineRule="exact"/>
        <w:rPr>
          <w:sz w:val="20"/>
          <w:szCs w:val="20"/>
        </w:rPr>
      </w:pPr>
    </w:p>
    <w:p w14:paraId="54CB2CDA" w14:textId="77777777" w:rsidR="00171FFE" w:rsidRDefault="00171FFE">
      <w:pPr>
        <w:spacing w:line="200" w:lineRule="exact"/>
        <w:rPr>
          <w:sz w:val="20"/>
          <w:szCs w:val="20"/>
        </w:rPr>
      </w:pPr>
    </w:p>
    <w:p w14:paraId="11847A4B" w14:textId="77777777" w:rsidR="00171FFE" w:rsidRDefault="00171FFE">
      <w:pPr>
        <w:spacing w:line="200" w:lineRule="exact"/>
        <w:rPr>
          <w:sz w:val="20"/>
          <w:szCs w:val="20"/>
        </w:rPr>
      </w:pPr>
    </w:p>
    <w:p w14:paraId="22545395" w14:textId="77777777" w:rsidR="00171FFE" w:rsidRDefault="00171FFE">
      <w:pPr>
        <w:spacing w:line="200" w:lineRule="exact"/>
        <w:rPr>
          <w:sz w:val="20"/>
          <w:szCs w:val="20"/>
        </w:rPr>
      </w:pPr>
    </w:p>
    <w:p w14:paraId="181747C9" w14:textId="77777777" w:rsidR="00171FFE" w:rsidRDefault="00171FFE">
      <w:pPr>
        <w:spacing w:line="200" w:lineRule="exact"/>
        <w:rPr>
          <w:sz w:val="20"/>
          <w:szCs w:val="20"/>
        </w:rPr>
      </w:pPr>
    </w:p>
    <w:p w14:paraId="50299687" w14:textId="77777777" w:rsidR="00171FFE" w:rsidRDefault="00171FFE">
      <w:pPr>
        <w:spacing w:line="200" w:lineRule="exact"/>
        <w:rPr>
          <w:sz w:val="20"/>
          <w:szCs w:val="20"/>
        </w:rPr>
      </w:pPr>
    </w:p>
    <w:p w14:paraId="66808ED5" w14:textId="77777777" w:rsidR="00171FFE" w:rsidRDefault="00171FFE">
      <w:pPr>
        <w:spacing w:line="200" w:lineRule="exact"/>
        <w:rPr>
          <w:sz w:val="20"/>
          <w:szCs w:val="20"/>
        </w:rPr>
      </w:pPr>
    </w:p>
    <w:p w14:paraId="6CF480C1" w14:textId="77777777" w:rsidR="00171FFE" w:rsidRDefault="00171FFE">
      <w:pPr>
        <w:spacing w:line="200" w:lineRule="exact"/>
        <w:rPr>
          <w:sz w:val="20"/>
          <w:szCs w:val="20"/>
        </w:rPr>
      </w:pPr>
    </w:p>
    <w:p w14:paraId="7AFC6438" w14:textId="77777777" w:rsidR="00171FFE" w:rsidRDefault="00171FFE">
      <w:pPr>
        <w:spacing w:line="200" w:lineRule="exact"/>
        <w:rPr>
          <w:sz w:val="20"/>
          <w:szCs w:val="20"/>
        </w:rPr>
      </w:pPr>
    </w:p>
    <w:p w14:paraId="3F9DBF24" w14:textId="77777777" w:rsidR="00171FFE" w:rsidRDefault="00171FFE">
      <w:pPr>
        <w:spacing w:line="200" w:lineRule="exact"/>
        <w:rPr>
          <w:sz w:val="20"/>
          <w:szCs w:val="20"/>
        </w:rPr>
      </w:pPr>
    </w:p>
    <w:p w14:paraId="21BA993A" w14:textId="77777777" w:rsidR="00171FFE" w:rsidRDefault="00171FFE">
      <w:pPr>
        <w:spacing w:line="200" w:lineRule="exact"/>
        <w:rPr>
          <w:sz w:val="20"/>
          <w:szCs w:val="20"/>
        </w:rPr>
      </w:pPr>
    </w:p>
    <w:p w14:paraId="0E95150C" w14:textId="77777777" w:rsidR="00171FFE" w:rsidRDefault="00171FFE">
      <w:pPr>
        <w:spacing w:line="200" w:lineRule="exact"/>
        <w:rPr>
          <w:sz w:val="20"/>
          <w:szCs w:val="20"/>
        </w:rPr>
      </w:pPr>
    </w:p>
    <w:p w14:paraId="08553213" w14:textId="77777777" w:rsidR="00171FFE" w:rsidRDefault="00171FFE">
      <w:pPr>
        <w:spacing w:line="200" w:lineRule="exact"/>
        <w:rPr>
          <w:sz w:val="20"/>
          <w:szCs w:val="20"/>
        </w:rPr>
      </w:pPr>
    </w:p>
    <w:p w14:paraId="476EA5AB" w14:textId="77777777" w:rsidR="00171FFE" w:rsidRDefault="00171FFE">
      <w:pPr>
        <w:spacing w:line="200" w:lineRule="exact"/>
        <w:rPr>
          <w:sz w:val="20"/>
          <w:szCs w:val="20"/>
        </w:rPr>
      </w:pPr>
    </w:p>
    <w:p w14:paraId="7AD675BF" w14:textId="77777777" w:rsidR="00171FFE" w:rsidRDefault="00171FFE">
      <w:pPr>
        <w:spacing w:line="200" w:lineRule="exact"/>
        <w:rPr>
          <w:sz w:val="20"/>
          <w:szCs w:val="20"/>
        </w:rPr>
      </w:pPr>
    </w:p>
    <w:p w14:paraId="10701E6B" w14:textId="77777777" w:rsidR="00171FFE" w:rsidRDefault="00171FFE">
      <w:pPr>
        <w:spacing w:line="200" w:lineRule="exact"/>
        <w:rPr>
          <w:sz w:val="20"/>
          <w:szCs w:val="20"/>
        </w:rPr>
      </w:pPr>
    </w:p>
    <w:p w14:paraId="384BB66E" w14:textId="77777777" w:rsidR="00171FFE" w:rsidRDefault="00171FFE">
      <w:pPr>
        <w:spacing w:line="200" w:lineRule="exact"/>
        <w:rPr>
          <w:sz w:val="20"/>
          <w:szCs w:val="20"/>
        </w:rPr>
      </w:pPr>
    </w:p>
    <w:p w14:paraId="4BA25F58" w14:textId="77777777" w:rsidR="00171FFE" w:rsidRDefault="00171FFE">
      <w:pPr>
        <w:spacing w:line="200" w:lineRule="exact"/>
        <w:rPr>
          <w:sz w:val="20"/>
          <w:szCs w:val="20"/>
        </w:rPr>
      </w:pPr>
    </w:p>
    <w:p w14:paraId="2F309474" w14:textId="77777777" w:rsidR="00171FFE" w:rsidRDefault="00171FFE">
      <w:pPr>
        <w:spacing w:line="200" w:lineRule="exact"/>
        <w:rPr>
          <w:sz w:val="20"/>
          <w:szCs w:val="20"/>
        </w:rPr>
      </w:pPr>
    </w:p>
    <w:p w14:paraId="75BBE5AD" w14:textId="77777777" w:rsidR="00171FFE" w:rsidRDefault="00171FFE">
      <w:pPr>
        <w:spacing w:line="200" w:lineRule="exact"/>
        <w:rPr>
          <w:sz w:val="20"/>
          <w:szCs w:val="20"/>
        </w:rPr>
      </w:pPr>
    </w:p>
    <w:p w14:paraId="44671F40" w14:textId="77777777" w:rsidR="00171FFE" w:rsidRDefault="00171FFE">
      <w:pPr>
        <w:spacing w:line="200" w:lineRule="exact"/>
        <w:rPr>
          <w:sz w:val="20"/>
          <w:szCs w:val="20"/>
        </w:rPr>
      </w:pPr>
    </w:p>
    <w:p w14:paraId="4326A866" w14:textId="77777777" w:rsidR="00171FFE" w:rsidRDefault="00171FFE">
      <w:pPr>
        <w:spacing w:line="200" w:lineRule="exact"/>
        <w:rPr>
          <w:sz w:val="20"/>
          <w:szCs w:val="20"/>
        </w:rPr>
      </w:pPr>
    </w:p>
    <w:p w14:paraId="3D173C34" w14:textId="77777777" w:rsidR="00171FFE" w:rsidRDefault="00171FFE">
      <w:pPr>
        <w:spacing w:line="200" w:lineRule="exact"/>
        <w:rPr>
          <w:sz w:val="20"/>
          <w:szCs w:val="20"/>
        </w:rPr>
      </w:pPr>
    </w:p>
    <w:p w14:paraId="3F6D66FD" w14:textId="77777777" w:rsidR="00171FFE" w:rsidRDefault="00171FFE">
      <w:pPr>
        <w:spacing w:line="200" w:lineRule="exact"/>
        <w:rPr>
          <w:sz w:val="20"/>
          <w:szCs w:val="20"/>
        </w:rPr>
      </w:pPr>
    </w:p>
    <w:p w14:paraId="6314D86A" w14:textId="77777777" w:rsidR="00171FFE" w:rsidRDefault="00171FFE">
      <w:pPr>
        <w:spacing w:line="200" w:lineRule="exact"/>
        <w:rPr>
          <w:sz w:val="20"/>
          <w:szCs w:val="20"/>
        </w:rPr>
      </w:pPr>
    </w:p>
    <w:p w14:paraId="31BF58EA" w14:textId="77777777" w:rsidR="00171FFE" w:rsidRDefault="00171FFE">
      <w:pPr>
        <w:spacing w:line="200" w:lineRule="exact"/>
        <w:rPr>
          <w:sz w:val="20"/>
          <w:szCs w:val="20"/>
        </w:rPr>
      </w:pPr>
    </w:p>
    <w:p w14:paraId="14C2CCE5" w14:textId="77777777" w:rsidR="00171FFE" w:rsidRDefault="00171FFE">
      <w:pPr>
        <w:spacing w:line="200" w:lineRule="exact"/>
        <w:rPr>
          <w:sz w:val="20"/>
          <w:szCs w:val="20"/>
        </w:rPr>
      </w:pPr>
    </w:p>
    <w:p w14:paraId="103B3666" w14:textId="77777777" w:rsidR="00171FFE" w:rsidRDefault="00171FFE">
      <w:pPr>
        <w:spacing w:line="200" w:lineRule="exact"/>
        <w:rPr>
          <w:sz w:val="20"/>
          <w:szCs w:val="20"/>
        </w:rPr>
      </w:pPr>
    </w:p>
    <w:p w14:paraId="4AA2AC4A" w14:textId="77777777" w:rsidR="00171FFE" w:rsidRDefault="00171FFE">
      <w:pPr>
        <w:spacing w:line="200" w:lineRule="exact"/>
        <w:rPr>
          <w:sz w:val="20"/>
          <w:szCs w:val="20"/>
        </w:rPr>
      </w:pPr>
    </w:p>
    <w:p w14:paraId="5DB8666D" w14:textId="77777777" w:rsidR="00171FFE" w:rsidRDefault="00171FFE">
      <w:pPr>
        <w:spacing w:line="200" w:lineRule="exact"/>
        <w:rPr>
          <w:sz w:val="20"/>
          <w:szCs w:val="20"/>
        </w:rPr>
      </w:pPr>
    </w:p>
    <w:p w14:paraId="063E51BF" w14:textId="77777777" w:rsidR="00171FFE" w:rsidRDefault="00171FFE">
      <w:pPr>
        <w:spacing w:line="200" w:lineRule="exact"/>
        <w:rPr>
          <w:sz w:val="20"/>
          <w:szCs w:val="20"/>
        </w:rPr>
      </w:pPr>
    </w:p>
    <w:p w14:paraId="1FD2C050" w14:textId="77777777" w:rsidR="00171FFE" w:rsidRDefault="00171FFE">
      <w:pPr>
        <w:spacing w:line="200" w:lineRule="exact"/>
        <w:rPr>
          <w:sz w:val="20"/>
          <w:szCs w:val="20"/>
        </w:rPr>
      </w:pPr>
    </w:p>
    <w:p w14:paraId="7328922E" w14:textId="77777777" w:rsidR="00171FFE" w:rsidRDefault="00171FFE">
      <w:pPr>
        <w:spacing w:line="200" w:lineRule="exact"/>
        <w:rPr>
          <w:sz w:val="20"/>
          <w:szCs w:val="20"/>
        </w:rPr>
      </w:pPr>
    </w:p>
    <w:p w14:paraId="767CD5BC" w14:textId="77777777" w:rsidR="00171FFE" w:rsidRDefault="00171FFE">
      <w:pPr>
        <w:spacing w:line="200" w:lineRule="exact"/>
        <w:rPr>
          <w:sz w:val="20"/>
          <w:szCs w:val="20"/>
        </w:rPr>
      </w:pPr>
    </w:p>
    <w:p w14:paraId="2E208436" w14:textId="77777777" w:rsidR="00171FFE" w:rsidRDefault="00171FFE">
      <w:pPr>
        <w:spacing w:line="200" w:lineRule="exact"/>
        <w:rPr>
          <w:sz w:val="20"/>
          <w:szCs w:val="20"/>
        </w:rPr>
      </w:pPr>
    </w:p>
    <w:p w14:paraId="307CC949" w14:textId="77777777" w:rsidR="00171FFE" w:rsidRDefault="00171FFE">
      <w:pPr>
        <w:spacing w:line="200" w:lineRule="exact"/>
        <w:rPr>
          <w:sz w:val="20"/>
          <w:szCs w:val="20"/>
        </w:rPr>
      </w:pPr>
    </w:p>
    <w:p w14:paraId="3E42BBCD" w14:textId="77777777" w:rsidR="00171FFE" w:rsidRDefault="00171FFE">
      <w:pPr>
        <w:spacing w:line="200" w:lineRule="exact"/>
        <w:rPr>
          <w:sz w:val="20"/>
          <w:szCs w:val="20"/>
        </w:rPr>
      </w:pPr>
    </w:p>
    <w:p w14:paraId="212B8FDA" w14:textId="77777777" w:rsidR="00171FFE" w:rsidRDefault="00171FFE">
      <w:pPr>
        <w:spacing w:line="380" w:lineRule="exact"/>
        <w:rPr>
          <w:sz w:val="20"/>
          <w:szCs w:val="20"/>
        </w:rPr>
      </w:pPr>
    </w:p>
    <w:p w14:paraId="1F3A52A6" w14:textId="77777777" w:rsidR="00171FFE" w:rsidRDefault="00840651">
      <w:pPr>
        <w:ind w:left="10680"/>
        <w:rPr>
          <w:sz w:val="20"/>
          <w:szCs w:val="20"/>
        </w:rPr>
      </w:pPr>
      <w:r>
        <w:rPr>
          <w:rFonts w:ascii="Arial" w:eastAsia="Arial" w:hAnsi="Arial" w:cs="Arial"/>
          <w:sz w:val="17"/>
          <w:szCs w:val="17"/>
        </w:rPr>
        <w:t>4</w:t>
      </w:r>
    </w:p>
    <w:p w14:paraId="1B81637A" w14:textId="77777777" w:rsidR="00171FFE" w:rsidRDefault="00171FFE">
      <w:pPr>
        <w:sectPr w:rsidR="00171FFE">
          <w:type w:val="continuous"/>
          <w:pgSz w:w="11900" w:h="16877"/>
          <w:pgMar w:top="460" w:right="566" w:bottom="0" w:left="560" w:header="0" w:footer="0" w:gutter="0"/>
          <w:cols w:space="720" w:equalWidth="0">
            <w:col w:w="10780"/>
          </w:cols>
        </w:sectPr>
      </w:pPr>
    </w:p>
    <w:p w14:paraId="4DD20980" w14:textId="77777777" w:rsidR="00171FFE" w:rsidRDefault="00171FFE">
      <w:pPr>
        <w:spacing w:line="200" w:lineRule="exact"/>
        <w:rPr>
          <w:sz w:val="20"/>
          <w:szCs w:val="20"/>
        </w:rPr>
      </w:pPr>
      <w:bookmarkStart w:id="7" w:name="page5"/>
      <w:bookmarkEnd w:id="7"/>
    </w:p>
    <w:p w14:paraId="0DC34699" w14:textId="77777777" w:rsidR="00171FFE" w:rsidRDefault="00171FFE">
      <w:pPr>
        <w:spacing w:line="200" w:lineRule="exact"/>
        <w:rPr>
          <w:sz w:val="20"/>
          <w:szCs w:val="20"/>
        </w:rPr>
      </w:pPr>
    </w:p>
    <w:p w14:paraId="17781FEB" w14:textId="77777777" w:rsidR="00171FFE" w:rsidRDefault="00171FFE">
      <w:pPr>
        <w:spacing w:line="200" w:lineRule="exact"/>
        <w:rPr>
          <w:sz w:val="20"/>
          <w:szCs w:val="20"/>
        </w:rPr>
      </w:pPr>
    </w:p>
    <w:p w14:paraId="766D4705" w14:textId="77777777" w:rsidR="00171FFE" w:rsidRDefault="00171FFE">
      <w:pPr>
        <w:spacing w:line="200" w:lineRule="exact"/>
        <w:rPr>
          <w:sz w:val="20"/>
          <w:szCs w:val="20"/>
        </w:rPr>
      </w:pPr>
    </w:p>
    <w:p w14:paraId="594A840D" w14:textId="77777777" w:rsidR="00171FFE" w:rsidRDefault="00171FFE">
      <w:pPr>
        <w:spacing w:line="200" w:lineRule="exact"/>
        <w:rPr>
          <w:sz w:val="20"/>
          <w:szCs w:val="20"/>
        </w:rPr>
      </w:pPr>
    </w:p>
    <w:p w14:paraId="1AB8BCAB" w14:textId="77777777" w:rsidR="00171FFE" w:rsidRDefault="00171FFE">
      <w:pPr>
        <w:spacing w:line="319" w:lineRule="exact"/>
        <w:rPr>
          <w:sz w:val="20"/>
          <w:szCs w:val="20"/>
        </w:rPr>
      </w:pPr>
    </w:p>
    <w:p w14:paraId="3C2AACB6" w14:textId="77777777" w:rsidR="00171FFE" w:rsidRDefault="00840651">
      <w:pPr>
        <w:rPr>
          <w:sz w:val="20"/>
          <w:szCs w:val="20"/>
        </w:rPr>
      </w:pPr>
      <w:r>
        <w:rPr>
          <w:rFonts w:ascii="Arial" w:eastAsia="Arial" w:hAnsi="Arial" w:cs="Arial"/>
          <w:b/>
          <w:bCs/>
          <w:sz w:val="46"/>
          <w:szCs w:val="46"/>
        </w:rPr>
        <w:t>Bibliography</w:t>
      </w:r>
    </w:p>
    <w:p w14:paraId="4C308B9F" w14:textId="77777777" w:rsidR="00171FFE" w:rsidRDefault="00171FFE">
      <w:pPr>
        <w:spacing w:line="200" w:lineRule="exact"/>
        <w:rPr>
          <w:sz w:val="20"/>
          <w:szCs w:val="20"/>
        </w:rPr>
      </w:pPr>
    </w:p>
    <w:p w14:paraId="7D6933DE" w14:textId="77777777" w:rsidR="00171FFE" w:rsidRDefault="00171FFE">
      <w:pPr>
        <w:spacing w:line="200" w:lineRule="exact"/>
        <w:rPr>
          <w:sz w:val="20"/>
          <w:szCs w:val="20"/>
        </w:rPr>
      </w:pPr>
    </w:p>
    <w:p w14:paraId="47F7B513" w14:textId="77777777" w:rsidR="00171FFE" w:rsidRDefault="00171FFE">
      <w:pPr>
        <w:spacing w:line="200" w:lineRule="exact"/>
        <w:rPr>
          <w:sz w:val="20"/>
          <w:szCs w:val="20"/>
        </w:rPr>
      </w:pPr>
    </w:p>
    <w:p w14:paraId="04EA6343" w14:textId="77777777" w:rsidR="00171FFE" w:rsidRDefault="00171FFE">
      <w:pPr>
        <w:spacing w:line="218" w:lineRule="exact"/>
        <w:rPr>
          <w:sz w:val="20"/>
          <w:szCs w:val="20"/>
        </w:rPr>
      </w:pPr>
    </w:p>
    <w:p w14:paraId="2EEEAE26" w14:textId="77777777" w:rsidR="00171FFE" w:rsidRDefault="00840651">
      <w:pPr>
        <w:numPr>
          <w:ilvl w:val="0"/>
          <w:numId w:val="4"/>
        </w:numPr>
        <w:tabs>
          <w:tab w:val="left" w:pos="420"/>
        </w:tabs>
        <w:spacing w:line="347" w:lineRule="auto"/>
        <w:ind w:left="420" w:hanging="413"/>
        <w:rPr>
          <w:rFonts w:ascii="Arial" w:eastAsia="Arial" w:hAnsi="Arial" w:cs="Arial"/>
          <w:color w:val="0000FF"/>
          <w:sz w:val="19"/>
          <w:szCs w:val="19"/>
        </w:rPr>
      </w:pPr>
      <w:r>
        <w:rPr>
          <w:rFonts w:ascii="Arial" w:eastAsia="Arial" w:hAnsi="Arial" w:cs="Arial"/>
          <w:i/>
          <w:iCs/>
          <w:sz w:val="18"/>
          <w:szCs w:val="18"/>
        </w:rPr>
        <w:t>Marriott International - statistics facts</w:t>
      </w:r>
      <w:r>
        <w:rPr>
          <w:rFonts w:ascii="Arial" w:eastAsia="Arial" w:hAnsi="Arial" w:cs="Arial"/>
          <w:sz w:val="18"/>
          <w:szCs w:val="18"/>
        </w:rPr>
        <w:t>. 19 Jul 2023.</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4" w:anchor="topicOverview">
        <w:r>
          <w:rPr>
            <w:rFonts w:ascii="Arial" w:eastAsia="Arial" w:hAnsi="Arial" w:cs="Arial"/>
            <w:color w:val="0000FF"/>
            <w:sz w:val="19"/>
            <w:szCs w:val="19"/>
          </w:rPr>
          <w:t>https://www.statista.com/topics/1872/marriott-international/</w:t>
        </w:r>
      </w:hyperlink>
      <w:r>
        <w:rPr>
          <w:rFonts w:ascii="Arial" w:eastAsia="Arial" w:hAnsi="Arial" w:cs="Arial"/>
          <w:color w:val="0000FF"/>
          <w:sz w:val="19"/>
          <w:szCs w:val="19"/>
        </w:rPr>
        <w:t xml:space="preserve"> </w:t>
      </w:r>
      <w:hyperlink r:id="rId15" w:anchor="topicOverview">
        <w:r>
          <w:rPr>
            <w:rFonts w:ascii="Arial" w:eastAsia="Arial" w:hAnsi="Arial" w:cs="Arial"/>
            <w:color w:val="0000FF"/>
            <w:sz w:val="19"/>
            <w:szCs w:val="19"/>
          </w:rPr>
          <w:t>#topicOverview</w:t>
        </w:r>
      </w:hyperlink>
      <w:r>
        <w:rPr>
          <w:rFonts w:ascii="Arial" w:eastAsia="Arial" w:hAnsi="Arial" w:cs="Arial"/>
          <w:color w:val="000000"/>
          <w:sz w:val="18"/>
          <w:szCs w:val="18"/>
        </w:rPr>
        <w:t>.</w:t>
      </w:r>
    </w:p>
    <w:p w14:paraId="159BB31C" w14:textId="77777777" w:rsidR="00171FFE" w:rsidRDefault="00171FFE">
      <w:pPr>
        <w:spacing w:line="48" w:lineRule="exact"/>
        <w:rPr>
          <w:rFonts w:ascii="Arial" w:eastAsia="Arial" w:hAnsi="Arial" w:cs="Arial"/>
          <w:color w:val="0000FF"/>
          <w:sz w:val="19"/>
          <w:szCs w:val="19"/>
        </w:rPr>
      </w:pPr>
    </w:p>
    <w:p w14:paraId="113301B5" w14:textId="77777777" w:rsidR="00171FFE" w:rsidRDefault="00840651">
      <w:pPr>
        <w:numPr>
          <w:ilvl w:val="0"/>
          <w:numId w:val="4"/>
        </w:numPr>
        <w:tabs>
          <w:tab w:val="left" w:pos="420"/>
        </w:tabs>
        <w:spacing w:line="356" w:lineRule="auto"/>
        <w:ind w:left="420" w:right="360" w:hanging="413"/>
        <w:rPr>
          <w:rFonts w:ascii="Arial" w:eastAsia="Arial" w:hAnsi="Arial" w:cs="Arial"/>
          <w:sz w:val="18"/>
          <w:szCs w:val="18"/>
        </w:rPr>
      </w:pPr>
      <w:r>
        <w:rPr>
          <w:rFonts w:ascii="Arial" w:eastAsia="Arial" w:hAnsi="Arial" w:cs="Arial"/>
          <w:i/>
          <w:iCs/>
          <w:sz w:val="18"/>
          <w:szCs w:val="18"/>
        </w:rPr>
        <w:t>Johnson Johnson (JNJ) SEC Filing 10-K Annual Report for the fiscal year ending Sunday, January 1, 2023</w:t>
      </w:r>
      <w:r>
        <w:rPr>
          <w:rFonts w:ascii="Arial" w:eastAsia="Arial" w:hAnsi="Arial" w:cs="Arial"/>
          <w:sz w:val="18"/>
          <w:szCs w:val="18"/>
        </w:rPr>
        <w:t>. Tech. rep. 16 Feb 2023, p. 22.</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6" w:anchor="i51a46167ef364951bf70ae9d6493776c_109">
        <w:r>
          <w:rPr>
            <w:rFonts w:ascii="Arial" w:eastAsia="Arial" w:hAnsi="Arial" w:cs="Arial"/>
            <w:color w:val="0000FF"/>
            <w:sz w:val="19"/>
            <w:szCs w:val="19"/>
          </w:rPr>
          <w:t>https://last10k.com/sec-filings/jnj#i51a46167ef364951bf70ae9d6493776c_109</w:t>
        </w:r>
      </w:hyperlink>
      <w:r>
        <w:rPr>
          <w:rFonts w:ascii="Arial" w:eastAsia="Arial" w:hAnsi="Arial" w:cs="Arial"/>
          <w:sz w:val="18"/>
          <w:szCs w:val="18"/>
        </w:rPr>
        <w:t>.</w:t>
      </w:r>
    </w:p>
    <w:p w14:paraId="6CD529A2" w14:textId="77777777" w:rsidR="00171FFE" w:rsidRDefault="00171FFE">
      <w:pPr>
        <w:spacing w:line="43" w:lineRule="exact"/>
        <w:rPr>
          <w:rFonts w:ascii="Arial" w:eastAsia="Arial" w:hAnsi="Arial" w:cs="Arial"/>
          <w:sz w:val="18"/>
          <w:szCs w:val="18"/>
        </w:rPr>
      </w:pPr>
    </w:p>
    <w:p w14:paraId="48AB247C" w14:textId="77777777" w:rsidR="00171FFE" w:rsidRDefault="00840651">
      <w:pPr>
        <w:numPr>
          <w:ilvl w:val="0"/>
          <w:numId w:val="4"/>
        </w:numPr>
        <w:tabs>
          <w:tab w:val="left" w:pos="420"/>
        </w:tabs>
        <w:spacing w:line="347" w:lineRule="auto"/>
        <w:ind w:left="420" w:right="360" w:hanging="413"/>
        <w:rPr>
          <w:rFonts w:ascii="Arial" w:eastAsia="Arial" w:hAnsi="Arial" w:cs="Arial"/>
          <w:color w:val="0000FF"/>
          <w:sz w:val="19"/>
          <w:szCs w:val="19"/>
        </w:rPr>
      </w:pPr>
      <w:r>
        <w:rPr>
          <w:rFonts w:ascii="Arial" w:eastAsia="Arial" w:hAnsi="Arial" w:cs="Arial"/>
          <w:i/>
          <w:iCs/>
          <w:sz w:val="18"/>
          <w:szCs w:val="18"/>
        </w:rPr>
        <w:t>Johnson Johnson Operating Expenses 2010-2023 | JNJ</w:t>
      </w:r>
      <w:r>
        <w:rPr>
          <w:rFonts w:ascii="Arial" w:eastAsia="Arial" w:hAnsi="Arial" w:cs="Arial"/>
          <w:sz w:val="18"/>
          <w:szCs w:val="18"/>
        </w:rPr>
        <w:t>. 2023.</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7">
        <w:r>
          <w:rPr>
            <w:rFonts w:ascii="Arial" w:eastAsia="Arial" w:hAnsi="Arial" w:cs="Arial"/>
            <w:color w:val="0000FF"/>
            <w:sz w:val="19"/>
            <w:szCs w:val="19"/>
          </w:rPr>
          <w:t>https://www.macrotrends.net/stocks/charts/JNJ/</w:t>
        </w:r>
      </w:hyperlink>
      <w:r>
        <w:rPr>
          <w:rFonts w:ascii="Arial" w:eastAsia="Arial" w:hAnsi="Arial" w:cs="Arial"/>
          <w:color w:val="0000FF"/>
          <w:sz w:val="19"/>
          <w:szCs w:val="19"/>
        </w:rPr>
        <w:t xml:space="preserve"> </w:t>
      </w:r>
      <w:hyperlink r:id="rId18">
        <w:r>
          <w:rPr>
            <w:rFonts w:ascii="Arial" w:eastAsia="Arial" w:hAnsi="Arial" w:cs="Arial"/>
            <w:color w:val="0000FF"/>
            <w:sz w:val="19"/>
            <w:szCs w:val="19"/>
          </w:rPr>
          <w:t>johnson-johnson/operating-expenses</w:t>
        </w:r>
      </w:hyperlink>
      <w:r>
        <w:rPr>
          <w:rFonts w:ascii="Arial" w:eastAsia="Arial" w:hAnsi="Arial" w:cs="Arial"/>
          <w:color w:val="000000"/>
          <w:sz w:val="18"/>
          <w:szCs w:val="18"/>
        </w:rPr>
        <w:t>.</w:t>
      </w:r>
    </w:p>
    <w:p w14:paraId="68A393F8" w14:textId="77777777" w:rsidR="00171FFE" w:rsidRDefault="00171FFE">
      <w:pPr>
        <w:sectPr w:rsidR="00171FFE">
          <w:pgSz w:w="11900" w:h="16877"/>
          <w:pgMar w:top="1440" w:right="186" w:bottom="0" w:left="560" w:header="0" w:footer="0" w:gutter="0"/>
          <w:cols w:space="720" w:equalWidth="0">
            <w:col w:w="11160"/>
          </w:cols>
        </w:sectPr>
      </w:pPr>
    </w:p>
    <w:p w14:paraId="667072A6" w14:textId="77777777" w:rsidR="00171FFE" w:rsidRDefault="00171FFE">
      <w:pPr>
        <w:spacing w:line="200" w:lineRule="exact"/>
        <w:rPr>
          <w:rFonts w:ascii="Arial" w:eastAsia="Arial" w:hAnsi="Arial" w:cs="Arial"/>
          <w:sz w:val="18"/>
          <w:szCs w:val="18"/>
        </w:rPr>
      </w:pPr>
    </w:p>
    <w:p w14:paraId="02EB372E" w14:textId="77777777" w:rsidR="00171FFE" w:rsidRDefault="00171FFE">
      <w:pPr>
        <w:spacing w:line="200" w:lineRule="exact"/>
        <w:rPr>
          <w:rFonts w:ascii="Arial" w:eastAsia="Arial" w:hAnsi="Arial" w:cs="Arial"/>
          <w:sz w:val="18"/>
          <w:szCs w:val="18"/>
        </w:rPr>
      </w:pPr>
    </w:p>
    <w:p w14:paraId="14B09044" w14:textId="77777777" w:rsidR="00171FFE" w:rsidRDefault="00171FFE">
      <w:pPr>
        <w:spacing w:line="200" w:lineRule="exact"/>
        <w:rPr>
          <w:rFonts w:ascii="Arial" w:eastAsia="Arial" w:hAnsi="Arial" w:cs="Arial"/>
          <w:sz w:val="18"/>
          <w:szCs w:val="18"/>
        </w:rPr>
      </w:pPr>
    </w:p>
    <w:p w14:paraId="549B4F28" w14:textId="77777777" w:rsidR="00171FFE" w:rsidRDefault="00171FFE">
      <w:pPr>
        <w:spacing w:line="200" w:lineRule="exact"/>
        <w:rPr>
          <w:rFonts w:ascii="Arial" w:eastAsia="Arial" w:hAnsi="Arial" w:cs="Arial"/>
          <w:sz w:val="18"/>
          <w:szCs w:val="18"/>
        </w:rPr>
      </w:pPr>
    </w:p>
    <w:p w14:paraId="653882D4" w14:textId="77777777" w:rsidR="00171FFE" w:rsidRDefault="00171FFE">
      <w:pPr>
        <w:spacing w:line="200" w:lineRule="exact"/>
        <w:rPr>
          <w:rFonts w:ascii="Arial" w:eastAsia="Arial" w:hAnsi="Arial" w:cs="Arial"/>
          <w:sz w:val="18"/>
          <w:szCs w:val="18"/>
        </w:rPr>
      </w:pPr>
    </w:p>
    <w:p w14:paraId="43FFDBED" w14:textId="77777777" w:rsidR="00171FFE" w:rsidRDefault="00171FFE">
      <w:pPr>
        <w:spacing w:line="200" w:lineRule="exact"/>
        <w:rPr>
          <w:rFonts w:ascii="Arial" w:eastAsia="Arial" w:hAnsi="Arial" w:cs="Arial"/>
          <w:sz w:val="18"/>
          <w:szCs w:val="18"/>
        </w:rPr>
      </w:pPr>
    </w:p>
    <w:p w14:paraId="49A4F5EE" w14:textId="77777777" w:rsidR="00171FFE" w:rsidRDefault="00171FFE">
      <w:pPr>
        <w:spacing w:line="200" w:lineRule="exact"/>
        <w:rPr>
          <w:rFonts w:ascii="Arial" w:eastAsia="Arial" w:hAnsi="Arial" w:cs="Arial"/>
          <w:sz w:val="18"/>
          <w:szCs w:val="18"/>
        </w:rPr>
      </w:pPr>
    </w:p>
    <w:p w14:paraId="587B7557" w14:textId="77777777" w:rsidR="00171FFE" w:rsidRDefault="00171FFE">
      <w:pPr>
        <w:spacing w:line="200" w:lineRule="exact"/>
        <w:rPr>
          <w:rFonts w:ascii="Arial" w:eastAsia="Arial" w:hAnsi="Arial" w:cs="Arial"/>
          <w:sz w:val="18"/>
          <w:szCs w:val="18"/>
        </w:rPr>
      </w:pPr>
    </w:p>
    <w:p w14:paraId="13516832" w14:textId="77777777" w:rsidR="00171FFE" w:rsidRDefault="00171FFE">
      <w:pPr>
        <w:spacing w:line="200" w:lineRule="exact"/>
        <w:rPr>
          <w:rFonts w:ascii="Arial" w:eastAsia="Arial" w:hAnsi="Arial" w:cs="Arial"/>
          <w:sz w:val="18"/>
          <w:szCs w:val="18"/>
        </w:rPr>
      </w:pPr>
    </w:p>
    <w:p w14:paraId="3516F49F" w14:textId="77777777" w:rsidR="00171FFE" w:rsidRDefault="00171FFE">
      <w:pPr>
        <w:spacing w:line="200" w:lineRule="exact"/>
        <w:rPr>
          <w:rFonts w:ascii="Arial" w:eastAsia="Arial" w:hAnsi="Arial" w:cs="Arial"/>
          <w:sz w:val="18"/>
          <w:szCs w:val="18"/>
        </w:rPr>
      </w:pPr>
    </w:p>
    <w:p w14:paraId="4CB342EA" w14:textId="77777777" w:rsidR="00171FFE" w:rsidRDefault="00171FFE">
      <w:pPr>
        <w:spacing w:line="200" w:lineRule="exact"/>
        <w:rPr>
          <w:rFonts w:ascii="Arial" w:eastAsia="Arial" w:hAnsi="Arial" w:cs="Arial"/>
          <w:sz w:val="18"/>
          <w:szCs w:val="18"/>
        </w:rPr>
      </w:pPr>
    </w:p>
    <w:p w14:paraId="141AEBF8" w14:textId="77777777" w:rsidR="00171FFE" w:rsidRDefault="00171FFE">
      <w:pPr>
        <w:spacing w:line="200" w:lineRule="exact"/>
        <w:rPr>
          <w:rFonts w:ascii="Arial" w:eastAsia="Arial" w:hAnsi="Arial" w:cs="Arial"/>
          <w:sz w:val="18"/>
          <w:szCs w:val="18"/>
        </w:rPr>
      </w:pPr>
    </w:p>
    <w:p w14:paraId="67DB3E37" w14:textId="77777777" w:rsidR="00171FFE" w:rsidRDefault="00171FFE">
      <w:pPr>
        <w:spacing w:line="200" w:lineRule="exact"/>
        <w:rPr>
          <w:rFonts w:ascii="Arial" w:eastAsia="Arial" w:hAnsi="Arial" w:cs="Arial"/>
          <w:sz w:val="18"/>
          <w:szCs w:val="18"/>
        </w:rPr>
      </w:pPr>
    </w:p>
    <w:p w14:paraId="60EEBBDD" w14:textId="77777777" w:rsidR="00171FFE" w:rsidRDefault="00171FFE">
      <w:pPr>
        <w:spacing w:line="200" w:lineRule="exact"/>
        <w:rPr>
          <w:rFonts w:ascii="Arial" w:eastAsia="Arial" w:hAnsi="Arial" w:cs="Arial"/>
          <w:sz w:val="18"/>
          <w:szCs w:val="18"/>
        </w:rPr>
      </w:pPr>
    </w:p>
    <w:p w14:paraId="41A9FF1A" w14:textId="77777777" w:rsidR="00171FFE" w:rsidRDefault="00171FFE">
      <w:pPr>
        <w:spacing w:line="200" w:lineRule="exact"/>
        <w:rPr>
          <w:rFonts w:ascii="Arial" w:eastAsia="Arial" w:hAnsi="Arial" w:cs="Arial"/>
          <w:sz w:val="18"/>
          <w:szCs w:val="18"/>
        </w:rPr>
      </w:pPr>
    </w:p>
    <w:p w14:paraId="31AC5EEA" w14:textId="77777777" w:rsidR="00171FFE" w:rsidRDefault="00171FFE">
      <w:pPr>
        <w:spacing w:line="200" w:lineRule="exact"/>
        <w:rPr>
          <w:rFonts w:ascii="Arial" w:eastAsia="Arial" w:hAnsi="Arial" w:cs="Arial"/>
          <w:sz w:val="18"/>
          <w:szCs w:val="18"/>
        </w:rPr>
      </w:pPr>
    </w:p>
    <w:p w14:paraId="3CC20203" w14:textId="77777777" w:rsidR="00171FFE" w:rsidRDefault="00171FFE">
      <w:pPr>
        <w:spacing w:line="200" w:lineRule="exact"/>
        <w:rPr>
          <w:rFonts w:ascii="Arial" w:eastAsia="Arial" w:hAnsi="Arial" w:cs="Arial"/>
          <w:sz w:val="18"/>
          <w:szCs w:val="18"/>
        </w:rPr>
      </w:pPr>
    </w:p>
    <w:p w14:paraId="79D4001B" w14:textId="77777777" w:rsidR="00171FFE" w:rsidRDefault="00171FFE">
      <w:pPr>
        <w:spacing w:line="200" w:lineRule="exact"/>
        <w:rPr>
          <w:rFonts w:ascii="Arial" w:eastAsia="Arial" w:hAnsi="Arial" w:cs="Arial"/>
          <w:sz w:val="18"/>
          <w:szCs w:val="18"/>
        </w:rPr>
      </w:pPr>
    </w:p>
    <w:p w14:paraId="551515E7" w14:textId="77777777" w:rsidR="00171FFE" w:rsidRDefault="00171FFE">
      <w:pPr>
        <w:spacing w:line="200" w:lineRule="exact"/>
        <w:rPr>
          <w:rFonts w:ascii="Arial" w:eastAsia="Arial" w:hAnsi="Arial" w:cs="Arial"/>
          <w:sz w:val="18"/>
          <w:szCs w:val="18"/>
        </w:rPr>
      </w:pPr>
    </w:p>
    <w:p w14:paraId="24F60FC4" w14:textId="77777777" w:rsidR="00171FFE" w:rsidRDefault="00171FFE">
      <w:pPr>
        <w:spacing w:line="200" w:lineRule="exact"/>
        <w:rPr>
          <w:rFonts w:ascii="Arial" w:eastAsia="Arial" w:hAnsi="Arial" w:cs="Arial"/>
          <w:sz w:val="18"/>
          <w:szCs w:val="18"/>
        </w:rPr>
      </w:pPr>
    </w:p>
    <w:p w14:paraId="0EC7ABAC" w14:textId="77777777" w:rsidR="00171FFE" w:rsidRDefault="00171FFE">
      <w:pPr>
        <w:spacing w:line="200" w:lineRule="exact"/>
        <w:rPr>
          <w:rFonts w:ascii="Arial" w:eastAsia="Arial" w:hAnsi="Arial" w:cs="Arial"/>
          <w:sz w:val="18"/>
          <w:szCs w:val="18"/>
        </w:rPr>
      </w:pPr>
    </w:p>
    <w:p w14:paraId="1D119451" w14:textId="77777777" w:rsidR="00171FFE" w:rsidRDefault="00171FFE">
      <w:pPr>
        <w:spacing w:line="200" w:lineRule="exact"/>
        <w:rPr>
          <w:rFonts w:ascii="Arial" w:eastAsia="Arial" w:hAnsi="Arial" w:cs="Arial"/>
          <w:sz w:val="18"/>
          <w:szCs w:val="18"/>
        </w:rPr>
      </w:pPr>
    </w:p>
    <w:p w14:paraId="4673AF0F" w14:textId="77777777" w:rsidR="00171FFE" w:rsidRDefault="00171FFE">
      <w:pPr>
        <w:spacing w:line="200" w:lineRule="exact"/>
        <w:rPr>
          <w:rFonts w:ascii="Arial" w:eastAsia="Arial" w:hAnsi="Arial" w:cs="Arial"/>
          <w:sz w:val="18"/>
          <w:szCs w:val="18"/>
        </w:rPr>
      </w:pPr>
    </w:p>
    <w:p w14:paraId="5F0F9ECD" w14:textId="77777777" w:rsidR="00171FFE" w:rsidRDefault="00171FFE">
      <w:pPr>
        <w:spacing w:line="200" w:lineRule="exact"/>
        <w:rPr>
          <w:rFonts w:ascii="Arial" w:eastAsia="Arial" w:hAnsi="Arial" w:cs="Arial"/>
          <w:sz w:val="18"/>
          <w:szCs w:val="18"/>
        </w:rPr>
      </w:pPr>
    </w:p>
    <w:p w14:paraId="754BFBD5" w14:textId="77777777" w:rsidR="00171FFE" w:rsidRDefault="00171FFE">
      <w:pPr>
        <w:spacing w:line="200" w:lineRule="exact"/>
        <w:rPr>
          <w:rFonts w:ascii="Arial" w:eastAsia="Arial" w:hAnsi="Arial" w:cs="Arial"/>
          <w:sz w:val="18"/>
          <w:szCs w:val="18"/>
        </w:rPr>
      </w:pPr>
    </w:p>
    <w:p w14:paraId="7F0900A7" w14:textId="77777777" w:rsidR="00171FFE" w:rsidRDefault="00171FFE">
      <w:pPr>
        <w:spacing w:line="200" w:lineRule="exact"/>
        <w:rPr>
          <w:rFonts w:ascii="Arial" w:eastAsia="Arial" w:hAnsi="Arial" w:cs="Arial"/>
          <w:sz w:val="18"/>
          <w:szCs w:val="18"/>
        </w:rPr>
      </w:pPr>
    </w:p>
    <w:p w14:paraId="176B04A0" w14:textId="77777777" w:rsidR="00171FFE" w:rsidRDefault="00171FFE">
      <w:pPr>
        <w:spacing w:line="200" w:lineRule="exact"/>
        <w:rPr>
          <w:rFonts w:ascii="Arial" w:eastAsia="Arial" w:hAnsi="Arial" w:cs="Arial"/>
          <w:sz w:val="18"/>
          <w:szCs w:val="18"/>
        </w:rPr>
      </w:pPr>
    </w:p>
    <w:p w14:paraId="7F9D2EA2" w14:textId="77777777" w:rsidR="00171FFE" w:rsidRDefault="00171FFE">
      <w:pPr>
        <w:spacing w:line="200" w:lineRule="exact"/>
        <w:rPr>
          <w:rFonts w:ascii="Arial" w:eastAsia="Arial" w:hAnsi="Arial" w:cs="Arial"/>
          <w:sz w:val="18"/>
          <w:szCs w:val="18"/>
        </w:rPr>
      </w:pPr>
    </w:p>
    <w:p w14:paraId="4C130C1D" w14:textId="77777777" w:rsidR="00171FFE" w:rsidRDefault="00171FFE">
      <w:pPr>
        <w:spacing w:line="200" w:lineRule="exact"/>
        <w:rPr>
          <w:rFonts w:ascii="Arial" w:eastAsia="Arial" w:hAnsi="Arial" w:cs="Arial"/>
          <w:sz w:val="18"/>
          <w:szCs w:val="18"/>
        </w:rPr>
      </w:pPr>
    </w:p>
    <w:p w14:paraId="11C499C4" w14:textId="77777777" w:rsidR="00171FFE" w:rsidRDefault="00171FFE">
      <w:pPr>
        <w:spacing w:line="200" w:lineRule="exact"/>
        <w:rPr>
          <w:rFonts w:ascii="Arial" w:eastAsia="Arial" w:hAnsi="Arial" w:cs="Arial"/>
          <w:sz w:val="18"/>
          <w:szCs w:val="18"/>
        </w:rPr>
      </w:pPr>
    </w:p>
    <w:p w14:paraId="3E4BB6E4" w14:textId="77777777" w:rsidR="00171FFE" w:rsidRDefault="00171FFE">
      <w:pPr>
        <w:spacing w:line="200" w:lineRule="exact"/>
        <w:rPr>
          <w:rFonts w:ascii="Arial" w:eastAsia="Arial" w:hAnsi="Arial" w:cs="Arial"/>
          <w:sz w:val="18"/>
          <w:szCs w:val="18"/>
        </w:rPr>
      </w:pPr>
    </w:p>
    <w:p w14:paraId="79B415A0" w14:textId="77777777" w:rsidR="00171FFE" w:rsidRDefault="00171FFE">
      <w:pPr>
        <w:spacing w:line="200" w:lineRule="exact"/>
        <w:rPr>
          <w:rFonts w:ascii="Arial" w:eastAsia="Arial" w:hAnsi="Arial" w:cs="Arial"/>
          <w:sz w:val="18"/>
          <w:szCs w:val="18"/>
        </w:rPr>
      </w:pPr>
    </w:p>
    <w:p w14:paraId="0CAEA24D" w14:textId="77777777" w:rsidR="00171FFE" w:rsidRDefault="00171FFE">
      <w:pPr>
        <w:spacing w:line="200" w:lineRule="exact"/>
        <w:rPr>
          <w:rFonts w:ascii="Arial" w:eastAsia="Arial" w:hAnsi="Arial" w:cs="Arial"/>
          <w:sz w:val="18"/>
          <w:szCs w:val="18"/>
        </w:rPr>
      </w:pPr>
    </w:p>
    <w:p w14:paraId="22950B2A" w14:textId="77777777" w:rsidR="00171FFE" w:rsidRDefault="00171FFE">
      <w:pPr>
        <w:spacing w:line="200" w:lineRule="exact"/>
        <w:rPr>
          <w:rFonts w:ascii="Arial" w:eastAsia="Arial" w:hAnsi="Arial" w:cs="Arial"/>
          <w:sz w:val="18"/>
          <w:szCs w:val="18"/>
        </w:rPr>
      </w:pPr>
    </w:p>
    <w:p w14:paraId="4AD9FDA9" w14:textId="77777777" w:rsidR="00171FFE" w:rsidRDefault="00171FFE">
      <w:pPr>
        <w:spacing w:line="200" w:lineRule="exact"/>
        <w:rPr>
          <w:rFonts w:ascii="Arial" w:eastAsia="Arial" w:hAnsi="Arial" w:cs="Arial"/>
          <w:sz w:val="18"/>
          <w:szCs w:val="18"/>
        </w:rPr>
      </w:pPr>
    </w:p>
    <w:p w14:paraId="27E5071A" w14:textId="77777777" w:rsidR="00171FFE" w:rsidRDefault="00171FFE">
      <w:pPr>
        <w:spacing w:line="200" w:lineRule="exact"/>
        <w:rPr>
          <w:rFonts w:ascii="Arial" w:eastAsia="Arial" w:hAnsi="Arial" w:cs="Arial"/>
          <w:sz w:val="18"/>
          <w:szCs w:val="18"/>
        </w:rPr>
      </w:pPr>
    </w:p>
    <w:p w14:paraId="184E2798" w14:textId="77777777" w:rsidR="00171FFE" w:rsidRDefault="00171FFE">
      <w:pPr>
        <w:spacing w:line="200" w:lineRule="exact"/>
        <w:rPr>
          <w:rFonts w:ascii="Arial" w:eastAsia="Arial" w:hAnsi="Arial" w:cs="Arial"/>
          <w:sz w:val="18"/>
          <w:szCs w:val="18"/>
        </w:rPr>
      </w:pPr>
    </w:p>
    <w:p w14:paraId="0951C013" w14:textId="77777777" w:rsidR="00171FFE" w:rsidRDefault="00171FFE">
      <w:pPr>
        <w:spacing w:line="200" w:lineRule="exact"/>
        <w:rPr>
          <w:rFonts w:ascii="Arial" w:eastAsia="Arial" w:hAnsi="Arial" w:cs="Arial"/>
          <w:sz w:val="18"/>
          <w:szCs w:val="18"/>
        </w:rPr>
      </w:pPr>
    </w:p>
    <w:p w14:paraId="204241D1" w14:textId="77777777" w:rsidR="00171FFE" w:rsidRDefault="00171FFE">
      <w:pPr>
        <w:spacing w:line="200" w:lineRule="exact"/>
        <w:rPr>
          <w:rFonts w:ascii="Arial" w:eastAsia="Arial" w:hAnsi="Arial" w:cs="Arial"/>
          <w:sz w:val="18"/>
          <w:szCs w:val="18"/>
        </w:rPr>
      </w:pPr>
    </w:p>
    <w:p w14:paraId="28E3A926" w14:textId="77777777" w:rsidR="00171FFE" w:rsidRDefault="00171FFE">
      <w:pPr>
        <w:spacing w:line="200" w:lineRule="exact"/>
        <w:rPr>
          <w:rFonts w:ascii="Arial" w:eastAsia="Arial" w:hAnsi="Arial" w:cs="Arial"/>
          <w:sz w:val="18"/>
          <w:szCs w:val="18"/>
        </w:rPr>
      </w:pPr>
    </w:p>
    <w:p w14:paraId="40DCCF73" w14:textId="77777777" w:rsidR="00171FFE" w:rsidRDefault="00171FFE">
      <w:pPr>
        <w:spacing w:line="200" w:lineRule="exact"/>
        <w:rPr>
          <w:rFonts w:ascii="Arial" w:eastAsia="Arial" w:hAnsi="Arial" w:cs="Arial"/>
          <w:sz w:val="18"/>
          <w:szCs w:val="18"/>
        </w:rPr>
      </w:pPr>
    </w:p>
    <w:p w14:paraId="720F54E7" w14:textId="77777777" w:rsidR="00171FFE" w:rsidRDefault="00171FFE">
      <w:pPr>
        <w:spacing w:line="200" w:lineRule="exact"/>
        <w:rPr>
          <w:rFonts w:ascii="Arial" w:eastAsia="Arial" w:hAnsi="Arial" w:cs="Arial"/>
          <w:sz w:val="18"/>
          <w:szCs w:val="18"/>
        </w:rPr>
      </w:pPr>
    </w:p>
    <w:p w14:paraId="513911DC" w14:textId="77777777" w:rsidR="00171FFE" w:rsidRDefault="00171FFE">
      <w:pPr>
        <w:spacing w:line="200" w:lineRule="exact"/>
        <w:rPr>
          <w:rFonts w:ascii="Arial" w:eastAsia="Arial" w:hAnsi="Arial" w:cs="Arial"/>
          <w:sz w:val="18"/>
          <w:szCs w:val="18"/>
        </w:rPr>
      </w:pPr>
    </w:p>
    <w:p w14:paraId="156F0D26" w14:textId="77777777" w:rsidR="00171FFE" w:rsidRDefault="00171FFE">
      <w:pPr>
        <w:spacing w:line="200" w:lineRule="exact"/>
        <w:rPr>
          <w:rFonts w:ascii="Arial" w:eastAsia="Arial" w:hAnsi="Arial" w:cs="Arial"/>
          <w:sz w:val="18"/>
          <w:szCs w:val="18"/>
        </w:rPr>
      </w:pPr>
    </w:p>
    <w:p w14:paraId="605837AE" w14:textId="77777777" w:rsidR="00171FFE" w:rsidRDefault="00171FFE">
      <w:pPr>
        <w:spacing w:line="200" w:lineRule="exact"/>
        <w:rPr>
          <w:rFonts w:ascii="Arial" w:eastAsia="Arial" w:hAnsi="Arial" w:cs="Arial"/>
          <w:sz w:val="18"/>
          <w:szCs w:val="18"/>
        </w:rPr>
      </w:pPr>
    </w:p>
    <w:p w14:paraId="335CF5FD" w14:textId="77777777" w:rsidR="00171FFE" w:rsidRDefault="00171FFE">
      <w:pPr>
        <w:spacing w:line="200" w:lineRule="exact"/>
        <w:rPr>
          <w:rFonts w:ascii="Arial" w:eastAsia="Arial" w:hAnsi="Arial" w:cs="Arial"/>
          <w:sz w:val="18"/>
          <w:szCs w:val="18"/>
        </w:rPr>
      </w:pPr>
    </w:p>
    <w:p w14:paraId="1055B458" w14:textId="77777777" w:rsidR="00171FFE" w:rsidRDefault="00171FFE">
      <w:pPr>
        <w:spacing w:line="200" w:lineRule="exact"/>
        <w:rPr>
          <w:rFonts w:ascii="Arial" w:eastAsia="Arial" w:hAnsi="Arial" w:cs="Arial"/>
          <w:sz w:val="18"/>
          <w:szCs w:val="18"/>
        </w:rPr>
      </w:pPr>
    </w:p>
    <w:p w14:paraId="42F447BF" w14:textId="77777777" w:rsidR="00171FFE" w:rsidRDefault="00171FFE">
      <w:pPr>
        <w:spacing w:line="200" w:lineRule="exact"/>
        <w:rPr>
          <w:rFonts w:ascii="Arial" w:eastAsia="Arial" w:hAnsi="Arial" w:cs="Arial"/>
          <w:sz w:val="18"/>
          <w:szCs w:val="18"/>
        </w:rPr>
      </w:pPr>
    </w:p>
    <w:p w14:paraId="30713192" w14:textId="77777777" w:rsidR="00171FFE" w:rsidRDefault="00171FFE">
      <w:pPr>
        <w:spacing w:line="200" w:lineRule="exact"/>
        <w:rPr>
          <w:rFonts w:ascii="Arial" w:eastAsia="Arial" w:hAnsi="Arial" w:cs="Arial"/>
          <w:sz w:val="18"/>
          <w:szCs w:val="18"/>
        </w:rPr>
      </w:pPr>
    </w:p>
    <w:p w14:paraId="018776F3" w14:textId="77777777" w:rsidR="00171FFE" w:rsidRDefault="00171FFE">
      <w:pPr>
        <w:spacing w:line="200" w:lineRule="exact"/>
        <w:rPr>
          <w:rFonts w:ascii="Arial" w:eastAsia="Arial" w:hAnsi="Arial" w:cs="Arial"/>
          <w:sz w:val="18"/>
          <w:szCs w:val="18"/>
        </w:rPr>
      </w:pPr>
    </w:p>
    <w:p w14:paraId="44EAF1A3" w14:textId="77777777" w:rsidR="00171FFE" w:rsidRDefault="00171FFE">
      <w:pPr>
        <w:spacing w:line="200" w:lineRule="exact"/>
        <w:rPr>
          <w:rFonts w:ascii="Arial" w:eastAsia="Arial" w:hAnsi="Arial" w:cs="Arial"/>
          <w:sz w:val="18"/>
          <w:szCs w:val="18"/>
        </w:rPr>
      </w:pPr>
    </w:p>
    <w:p w14:paraId="0444DE40" w14:textId="77777777" w:rsidR="00171FFE" w:rsidRDefault="00171FFE">
      <w:pPr>
        <w:spacing w:line="229" w:lineRule="exact"/>
        <w:rPr>
          <w:rFonts w:ascii="Arial" w:eastAsia="Arial" w:hAnsi="Arial" w:cs="Arial"/>
          <w:sz w:val="18"/>
          <w:szCs w:val="18"/>
        </w:rPr>
      </w:pPr>
    </w:p>
    <w:p w14:paraId="610EE8A2" w14:textId="77777777" w:rsidR="00171FFE" w:rsidRDefault="00840651">
      <w:pPr>
        <w:ind w:right="380"/>
        <w:jc w:val="center"/>
        <w:rPr>
          <w:sz w:val="20"/>
          <w:szCs w:val="20"/>
        </w:rPr>
      </w:pPr>
      <w:r>
        <w:rPr>
          <w:rFonts w:ascii="Arial" w:eastAsia="Arial" w:hAnsi="Arial" w:cs="Arial"/>
          <w:sz w:val="17"/>
          <w:szCs w:val="17"/>
        </w:rPr>
        <w:t>5</w:t>
      </w:r>
    </w:p>
    <w:sectPr w:rsidR="00171FFE">
      <w:type w:val="continuous"/>
      <w:pgSz w:w="11900" w:h="16877"/>
      <w:pgMar w:top="1440" w:right="186" w:bottom="0" w:left="560" w:header="0" w:footer="0" w:gutter="0"/>
      <w:cols w:space="720" w:equalWidth="0">
        <w:col w:w="11160"/>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3-08-28T19:46:00Z" w:initials="Ma">
    <w:p w14:paraId="61FBA554" w14:textId="77777777" w:rsidR="00840651" w:rsidRDefault="00840651">
      <w:pPr>
        <w:pStyle w:val="CommentText"/>
      </w:pPr>
      <w:r>
        <w:rPr>
          <w:rStyle w:val="CommentReference"/>
        </w:rPr>
        <w:annotationRef/>
      </w:r>
      <w:r>
        <w:t>Good analysis</w:t>
      </w:r>
    </w:p>
  </w:comment>
  <w:comment w:id="2" w:author="Microsoft account" w:date="2023-08-28T19:47:00Z" w:initials="Ma">
    <w:p w14:paraId="0E0280FA" w14:textId="77777777" w:rsidR="00840651" w:rsidRDefault="00840651">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BA554" w15:done="0"/>
  <w15:commentEx w15:paraId="0E0280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637CEDB8"/>
    <w:lvl w:ilvl="0" w:tplc="71B249C4">
      <w:start w:val="1"/>
      <w:numFmt w:val="lowerLetter"/>
      <w:lvlText w:val="(%1)"/>
      <w:lvlJc w:val="left"/>
    </w:lvl>
    <w:lvl w:ilvl="1" w:tplc="343063AA">
      <w:numFmt w:val="decimal"/>
      <w:lvlText w:val=""/>
      <w:lvlJc w:val="left"/>
    </w:lvl>
    <w:lvl w:ilvl="2" w:tplc="04A8E10C">
      <w:numFmt w:val="decimal"/>
      <w:lvlText w:val=""/>
      <w:lvlJc w:val="left"/>
    </w:lvl>
    <w:lvl w:ilvl="3" w:tplc="1CAC4D40">
      <w:numFmt w:val="decimal"/>
      <w:lvlText w:val=""/>
      <w:lvlJc w:val="left"/>
    </w:lvl>
    <w:lvl w:ilvl="4" w:tplc="0BA29F1C">
      <w:numFmt w:val="decimal"/>
      <w:lvlText w:val=""/>
      <w:lvlJc w:val="left"/>
    </w:lvl>
    <w:lvl w:ilvl="5" w:tplc="6A384058">
      <w:numFmt w:val="decimal"/>
      <w:lvlText w:val=""/>
      <w:lvlJc w:val="left"/>
    </w:lvl>
    <w:lvl w:ilvl="6" w:tplc="BFD84AC6">
      <w:numFmt w:val="decimal"/>
      <w:lvlText w:val=""/>
      <w:lvlJc w:val="left"/>
    </w:lvl>
    <w:lvl w:ilvl="7" w:tplc="DBA00A8E">
      <w:numFmt w:val="decimal"/>
      <w:lvlText w:val=""/>
      <w:lvlJc w:val="left"/>
    </w:lvl>
    <w:lvl w:ilvl="8" w:tplc="5C187116">
      <w:numFmt w:val="decimal"/>
      <w:lvlText w:val=""/>
      <w:lvlJc w:val="left"/>
    </w:lvl>
  </w:abstractNum>
  <w:abstractNum w:abstractNumId="1" w15:restartNumberingAfterBreak="0">
    <w:nsid w:val="2AE8944A"/>
    <w:multiLevelType w:val="hybridMultilevel"/>
    <w:tmpl w:val="DB8413B4"/>
    <w:lvl w:ilvl="0" w:tplc="482E5CF4">
      <w:start w:val="2"/>
      <w:numFmt w:val="lowerLetter"/>
      <w:lvlText w:val="(%1)"/>
      <w:lvlJc w:val="left"/>
    </w:lvl>
    <w:lvl w:ilvl="1" w:tplc="8E60A1C0">
      <w:numFmt w:val="decimal"/>
      <w:lvlText w:val=""/>
      <w:lvlJc w:val="left"/>
    </w:lvl>
    <w:lvl w:ilvl="2" w:tplc="CBD8A218">
      <w:numFmt w:val="decimal"/>
      <w:lvlText w:val=""/>
      <w:lvlJc w:val="left"/>
    </w:lvl>
    <w:lvl w:ilvl="3" w:tplc="236C42C4">
      <w:numFmt w:val="decimal"/>
      <w:lvlText w:val=""/>
      <w:lvlJc w:val="left"/>
    </w:lvl>
    <w:lvl w:ilvl="4" w:tplc="B21EAE4C">
      <w:numFmt w:val="decimal"/>
      <w:lvlText w:val=""/>
      <w:lvlJc w:val="left"/>
    </w:lvl>
    <w:lvl w:ilvl="5" w:tplc="32F8BC40">
      <w:numFmt w:val="decimal"/>
      <w:lvlText w:val=""/>
      <w:lvlJc w:val="left"/>
    </w:lvl>
    <w:lvl w:ilvl="6" w:tplc="637ADE64">
      <w:numFmt w:val="decimal"/>
      <w:lvlText w:val=""/>
      <w:lvlJc w:val="left"/>
    </w:lvl>
    <w:lvl w:ilvl="7" w:tplc="25C0BB82">
      <w:numFmt w:val="decimal"/>
      <w:lvlText w:val=""/>
      <w:lvlJc w:val="left"/>
    </w:lvl>
    <w:lvl w:ilvl="8" w:tplc="0D1E7544">
      <w:numFmt w:val="decimal"/>
      <w:lvlText w:val=""/>
      <w:lvlJc w:val="left"/>
    </w:lvl>
  </w:abstractNum>
  <w:abstractNum w:abstractNumId="2"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558EC"/>
    <w:multiLevelType w:val="hybridMultilevel"/>
    <w:tmpl w:val="2836218A"/>
    <w:lvl w:ilvl="0" w:tplc="01FA4A7E">
      <w:start w:val="1"/>
      <w:numFmt w:val="decimal"/>
      <w:lvlText w:val="[%1]"/>
      <w:lvlJc w:val="left"/>
    </w:lvl>
    <w:lvl w:ilvl="1" w:tplc="3E108016">
      <w:numFmt w:val="decimal"/>
      <w:lvlText w:val=""/>
      <w:lvlJc w:val="left"/>
    </w:lvl>
    <w:lvl w:ilvl="2" w:tplc="5C663796">
      <w:numFmt w:val="decimal"/>
      <w:lvlText w:val=""/>
      <w:lvlJc w:val="left"/>
    </w:lvl>
    <w:lvl w:ilvl="3" w:tplc="FC3660E6">
      <w:numFmt w:val="decimal"/>
      <w:lvlText w:val=""/>
      <w:lvlJc w:val="left"/>
    </w:lvl>
    <w:lvl w:ilvl="4" w:tplc="B60681E2">
      <w:numFmt w:val="decimal"/>
      <w:lvlText w:val=""/>
      <w:lvlJc w:val="left"/>
    </w:lvl>
    <w:lvl w:ilvl="5" w:tplc="2D5EFC7E">
      <w:numFmt w:val="decimal"/>
      <w:lvlText w:val=""/>
      <w:lvlJc w:val="left"/>
    </w:lvl>
    <w:lvl w:ilvl="6" w:tplc="17BE18D4">
      <w:numFmt w:val="decimal"/>
      <w:lvlText w:val=""/>
      <w:lvlJc w:val="left"/>
    </w:lvl>
    <w:lvl w:ilvl="7" w:tplc="DCFC4D0C">
      <w:numFmt w:val="decimal"/>
      <w:lvlText w:val=""/>
      <w:lvlJc w:val="left"/>
    </w:lvl>
    <w:lvl w:ilvl="8" w:tplc="12B4CFE8">
      <w:numFmt w:val="decimal"/>
      <w:lvlText w:val=""/>
      <w:lvlJc w:val="left"/>
    </w:lvl>
  </w:abstractNum>
  <w:abstractNum w:abstractNumId="4" w15:restartNumberingAfterBreak="0">
    <w:nsid w:val="74B0DC51"/>
    <w:multiLevelType w:val="hybridMultilevel"/>
    <w:tmpl w:val="709C96B0"/>
    <w:lvl w:ilvl="0" w:tplc="7896A06C">
      <w:start w:val="1"/>
      <w:numFmt w:val="bullet"/>
      <w:lvlText w:val="•"/>
      <w:lvlJc w:val="left"/>
    </w:lvl>
    <w:lvl w:ilvl="1" w:tplc="BB36B0AC">
      <w:numFmt w:val="decimal"/>
      <w:lvlText w:val=""/>
      <w:lvlJc w:val="left"/>
    </w:lvl>
    <w:lvl w:ilvl="2" w:tplc="32D689A0">
      <w:numFmt w:val="decimal"/>
      <w:lvlText w:val=""/>
      <w:lvlJc w:val="left"/>
    </w:lvl>
    <w:lvl w:ilvl="3" w:tplc="4600F9B6">
      <w:numFmt w:val="decimal"/>
      <w:lvlText w:val=""/>
      <w:lvlJc w:val="left"/>
    </w:lvl>
    <w:lvl w:ilvl="4" w:tplc="64044F92">
      <w:numFmt w:val="decimal"/>
      <w:lvlText w:val=""/>
      <w:lvlJc w:val="left"/>
    </w:lvl>
    <w:lvl w:ilvl="5" w:tplc="EE6E77C2">
      <w:numFmt w:val="decimal"/>
      <w:lvlText w:val=""/>
      <w:lvlJc w:val="left"/>
    </w:lvl>
    <w:lvl w:ilvl="6" w:tplc="B908DA06">
      <w:numFmt w:val="decimal"/>
      <w:lvlText w:val=""/>
      <w:lvlJc w:val="left"/>
    </w:lvl>
    <w:lvl w:ilvl="7" w:tplc="D4BEF5A2">
      <w:numFmt w:val="decimal"/>
      <w:lvlText w:val=""/>
      <w:lvlJc w:val="left"/>
    </w:lvl>
    <w:lvl w:ilvl="8" w:tplc="F1E8029C">
      <w:numFmt w:val="decimal"/>
      <w:lvlText w:val=""/>
      <w:lvlJc w:val="left"/>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FE"/>
    <w:rsid w:val="00171FFE"/>
    <w:rsid w:val="0084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34C5"/>
  <w15:docId w15:val="{0F144E0E-E735-4E36-8359-59A06687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651"/>
    <w:rPr>
      <w:sz w:val="16"/>
      <w:szCs w:val="16"/>
    </w:rPr>
  </w:style>
  <w:style w:type="paragraph" w:styleId="CommentText">
    <w:name w:val="annotation text"/>
    <w:basedOn w:val="Normal"/>
    <w:link w:val="CommentTextChar"/>
    <w:uiPriority w:val="99"/>
    <w:semiHidden/>
    <w:unhideWhenUsed/>
    <w:rsid w:val="00840651"/>
    <w:rPr>
      <w:sz w:val="20"/>
      <w:szCs w:val="20"/>
    </w:rPr>
  </w:style>
  <w:style w:type="character" w:customStyle="1" w:styleId="CommentTextChar">
    <w:name w:val="Comment Text Char"/>
    <w:basedOn w:val="DefaultParagraphFont"/>
    <w:link w:val="CommentText"/>
    <w:uiPriority w:val="99"/>
    <w:semiHidden/>
    <w:rsid w:val="00840651"/>
    <w:rPr>
      <w:sz w:val="20"/>
      <w:szCs w:val="20"/>
    </w:rPr>
  </w:style>
  <w:style w:type="paragraph" w:styleId="CommentSubject">
    <w:name w:val="annotation subject"/>
    <w:basedOn w:val="CommentText"/>
    <w:next w:val="CommentText"/>
    <w:link w:val="CommentSubjectChar"/>
    <w:uiPriority w:val="99"/>
    <w:semiHidden/>
    <w:unhideWhenUsed/>
    <w:rsid w:val="00840651"/>
    <w:rPr>
      <w:b/>
      <w:bCs/>
    </w:rPr>
  </w:style>
  <w:style w:type="character" w:customStyle="1" w:styleId="CommentSubjectChar">
    <w:name w:val="Comment Subject Char"/>
    <w:basedOn w:val="CommentTextChar"/>
    <w:link w:val="CommentSubject"/>
    <w:uiPriority w:val="99"/>
    <w:semiHidden/>
    <w:rsid w:val="00840651"/>
    <w:rPr>
      <w:b/>
      <w:bCs/>
      <w:sz w:val="20"/>
      <w:szCs w:val="20"/>
    </w:rPr>
  </w:style>
  <w:style w:type="paragraph" w:styleId="BalloonText">
    <w:name w:val="Balloon Text"/>
    <w:basedOn w:val="Normal"/>
    <w:link w:val="BalloonTextChar"/>
    <w:uiPriority w:val="99"/>
    <w:semiHidden/>
    <w:unhideWhenUsed/>
    <w:rsid w:val="00840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51"/>
    <w:rPr>
      <w:rFonts w:ascii="Segoe UI" w:hAnsi="Segoe UI" w:cs="Segoe UI"/>
      <w:sz w:val="18"/>
      <w:szCs w:val="18"/>
    </w:rPr>
  </w:style>
  <w:style w:type="paragraph" w:customStyle="1" w:styleId="Default">
    <w:name w:val="Default"/>
    <w:rsid w:val="00840651"/>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u w:color="000000"/>
      <w:bdr w:val="nil"/>
      <w14:textOutline w14:w="12700" w14:cap="flat" w14:cmpd="sng" w14:algn="ctr">
        <w14:noFill/>
        <w14:prstDash w14:val="solid"/>
        <w14:miter w14:lim="400000"/>
      </w14:textOutline>
    </w:rPr>
  </w:style>
  <w:style w:type="paragraph" w:styleId="ListParagraph">
    <w:name w:val="List Paragraph"/>
    <w:basedOn w:val="Normal"/>
    <w:uiPriority w:val="34"/>
    <w:qFormat/>
    <w:rsid w:val="00840651"/>
    <w:pPr>
      <w:ind w:left="720"/>
      <w:contextualSpacing/>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macrotrends.net/stocks/charts/JNJ/johnson-johnson/operating-expens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macrotrends.net/stocks/charts/JNJ/johnson-johnson/operating-expenses" TargetMode="External"/><Relationship Id="rId2" Type="http://schemas.openxmlformats.org/officeDocument/2006/relationships/styles" Target="styles.xml"/><Relationship Id="rId16" Type="http://schemas.openxmlformats.org/officeDocument/2006/relationships/hyperlink" Target="https://last10k.com/sec-filings/jnj" TargetMode="External"/><Relationship Id="rId20"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5.jpeg"/><Relationship Id="rId5" Type="http://schemas.openxmlformats.org/officeDocument/2006/relationships/comments" Target="comments.xml"/><Relationship Id="rId15" Type="http://schemas.openxmlformats.org/officeDocument/2006/relationships/hyperlink" Target="https://www.statista.com/topics/1872/marriott-international/"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tatista.com/topics/1872/marriott-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dcterms:created xsi:type="dcterms:W3CDTF">2023-08-28T15:50:00Z</dcterms:created>
  <dcterms:modified xsi:type="dcterms:W3CDTF">2023-08-28T15:50:00Z</dcterms:modified>
</cp:coreProperties>
</file>