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86A" w:rsidRDefault="00CC286A" w:rsidP="00CC286A">
      <w:pPr>
        <w:jc w:val="center"/>
        <w:rPr>
          <w:rFonts w:ascii="Times New Roman" w:hAnsi="Times New Roman" w:cs="Times New Roman"/>
          <w:b/>
          <w:sz w:val="44"/>
          <w:szCs w:val="44"/>
        </w:rPr>
      </w:pPr>
      <w:r w:rsidRPr="00CC286A">
        <w:rPr>
          <w:rFonts w:ascii="Times New Roman" w:hAnsi="Times New Roman" w:cs="Times New Roman"/>
          <w:b/>
          <w:sz w:val="44"/>
          <w:szCs w:val="44"/>
        </w:rPr>
        <w:t>Marriot</w:t>
      </w:r>
      <w:r w:rsidR="00763E04">
        <w:rPr>
          <w:rFonts w:ascii="Times New Roman" w:hAnsi="Times New Roman" w:cs="Times New Roman"/>
          <w:b/>
          <w:sz w:val="44"/>
          <w:szCs w:val="44"/>
        </w:rPr>
        <w:t>t</w:t>
      </w:r>
      <w:r w:rsidRPr="00CC286A">
        <w:rPr>
          <w:rFonts w:ascii="Times New Roman" w:hAnsi="Times New Roman" w:cs="Times New Roman"/>
          <w:b/>
          <w:sz w:val="44"/>
          <w:szCs w:val="44"/>
        </w:rPr>
        <w:t xml:space="preserve"> International</w:t>
      </w:r>
    </w:p>
    <w:p w:rsidR="00CC286A" w:rsidRDefault="00CC286A" w:rsidP="00CC286A">
      <w:pPr>
        <w:rPr>
          <w:rFonts w:ascii="Times New Roman" w:hAnsi="Times New Roman" w:cs="Times New Roman"/>
          <w:sz w:val="44"/>
          <w:szCs w:val="44"/>
        </w:rPr>
      </w:pPr>
    </w:p>
    <w:p w:rsidR="00DB4315" w:rsidRDefault="00DB4315" w:rsidP="00CC286A">
      <w:pPr>
        <w:rPr>
          <w:rFonts w:ascii="Times New Roman" w:hAnsi="Times New Roman" w:cs="Times New Roman"/>
        </w:rPr>
      </w:pPr>
    </w:p>
    <w:p w:rsidR="00DB4315" w:rsidRPr="00DB4315" w:rsidRDefault="00DB4315" w:rsidP="00CC286A">
      <w:pPr>
        <w:rPr>
          <w:rFonts w:ascii="Times New Roman" w:hAnsi="Times New Roman" w:cs="Times New Roman"/>
        </w:rPr>
      </w:pPr>
      <w:r>
        <w:rPr>
          <w:rFonts w:ascii="Times New Roman" w:hAnsi="Times New Roman" w:cs="Times New Roman"/>
          <w:noProof/>
        </w:rPr>
        <w:drawing>
          <wp:inline distT="0" distB="0" distL="0" distR="0">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C286A" w:rsidRDefault="00CC286A" w:rsidP="005A06D5">
      <w:pPr>
        <w:rPr>
          <w:rFonts w:ascii="Times New Roman" w:hAnsi="Times New Roman" w:cs="Times New Roman"/>
          <w:sz w:val="44"/>
          <w:szCs w:val="44"/>
        </w:rPr>
      </w:pPr>
    </w:p>
    <w:p w:rsidR="00F161B7" w:rsidRDefault="005A06D5" w:rsidP="005A06D5">
      <w:pPr>
        <w:pStyle w:val="ListParagraph"/>
        <w:numPr>
          <w:ilvl w:val="0"/>
          <w:numId w:val="3"/>
        </w:numPr>
        <w:rPr>
          <w:rFonts w:ascii="Times New Roman" w:hAnsi="Times New Roman" w:cs="Times New Roman"/>
        </w:rPr>
      </w:pPr>
      <w:r>
        <w:rPr>
          <w:rFonts w:ascii="Times New Roman" w:hAnsi="Times New Roman" w:cs="Times New Roman"/>
        </w:rPr>
        <w:t xml:space="preserve">As shown in the above pie chart, the most of the organisation’s revenue is generated by cost reimbursements, mainly consisting of </w:t>
      </w:r>
      <w:r w:rsidR="00BD04F2">
        <w:rPr>
          <w:rFonts w:ascii="Times New Roman" w:hAnsi="Times New Roman" w:cs="Times New Roman"/>
        </w:rPr>
        <w:t xml:space="preserve">salaries paid to the employees </w:t>
      </w:r>
    </w:p>
    <w:p w:rsidR="00BD04F2" w:rsidRDefault="00BD04F2" w:rsidP="005A06D5">
      <w:pPr>
        <w:pStyle w:val="ListParagraph"/>
        <w:numPr>
          <w:ilvl w:val="0"/>
          <w:numId w:val="3"/>
        </w:numPr>
        <w:rPr>
          <w:rFonts w:ascii="Times New Roman" w:hAnsi="Times New Roman" w:cs="Times New Roman"/>
        </w:rPr>
      </w:pPr>
      <w:r>
        <w:rPr>
          <w:rFonts w:ascii="Times New Roman" w:hAnsi="Times New Roman" w:cs="Times New Roman"/>
        </w:rPr>
        <w:t>Under Marriot</w:t>
      </w:r>
      <w:r w:rsidR="009060E4">
        <w:rPr>
          <w:rFonts w:ascii="Times New Roman" w:hAnsi="Times New Roman" w:cs="Times New Roman"/>
        </w:rPr>
        <w:t>t</w:t>
      </w:r>
      <w:r>
        <w:rPr>
          <w:rFonts w:ascii="Times New Roman" w:hAnsi="Times New Roman" w:cs="Times New Roman"/>
        </w:rPr>
        <w:t>’s management model, day to day operations of the hotels run in return for a fee, which is a percentage of the total amount generated by the hotel and a</w:t>
      </w:r>
      <w:r w:rsidR="00131D46">
        <w:rPr>
          <w:rFonts w:ascii="Times New Roman" w:hAnsi="Times New Roman" w:cs="Times New Roman"/>
        </w:rPr>
        <w:t>n</w:t>
      </w:r>
      <w:r>
        <w:rPr>
          <w:rFonts w:ascii="Times New Roman" w:hAnsi="Times New Roman" w:cs="Times New Roman"/>
        </w:rPr>
        <w:t xml:space="preserve"> incentive fee</w:t>
      </w:r>
      <w:r w:rsidR="001748D7">
        <w:rPr>
          <w:rFonts w:ascii="Times New Roman" w:hAnsi="Times New Roman" w:cs="Times New Roman"/>
        </w:rPr>
        <w:t xml:space="preserve">, based on the percentage of operating income </w:t>
      </w:r>
    </w:p>
    <w:p w:rsidR="00131D46" w:rsidRDefault="00D77889" w:rsidP="005A06D5">
      <w:pPr>
        <w:pStyle w:val="ListParagraph"/>
        <w:numPr>
          <w:ilvl w:val="0"/>
          <w:numId w:val="3"/>
        </w:numPr>
        <w:rPr>
          <w:rFonts w:ascii="Times New Roman" w:hAnsi="Times New Roman" w:cs="Times New Roman"/>
        </w:rPr>
      </w:pPr>
      <w:r>
        <w:rPr>
          <w:rFonts w:ascii="Times New Roman" w:hAnsi="Times New Roman" w:cs="Times New Roman"/>
        </w:rPr>
        <w:t xml:space="preserve">Even though Marriot is technically the employer of the workers who run the day to day operations, their salaries are reimbursed by the hotel owners and are shown as part of the hotel’s revenue and as part of operation expenses </w:t>
      </w:r>
    </w:p>
    <w:p w:rsidR="00506DAD" w:rsidRDefault="00F161B7" w:rsidP="005A06D5">
      <w:pPr>
        <w:pStyle w:val="ListParagraph"/>
        <w:numPr>
          <w:ilvl w:val="0"/>
          <w:numId w:val="3"/>
        </w:numPr>
        <w:rPr>
          <w:rFonts w:ascii="Times New Roman" w:hAnsi="Times New Roman" w:cs="Times New Roman"/>
        </w:rPr>
      </w:pPr>
      <w:r>
        <w:rPr>
          <w:rFonts w:ascii="Times New Roman" w:hAnsi="Times New Roman" w:cs="Times New Roman"/>
        </w:rPr>
        <w:t xml:space="preserve">Other revenue include Global Design fees, termination fees, and other property and brand revenues </w:t>
      </w:r>
    </w:p>
    <w:p w:rsidR="005A06D5" w:rsidRDefault="00506DAD" w:rsidP="005A06D5">
      <w:pPr>
        <w:pStyle w:val="ListParagraph"/>
        <w:numPr>
          <w:ilvl w:val="0"/>
          <w:numId w:val="3"/>
        </w:numPr>
        <w:rPr>
          <w:rFonts w:ascii="Times New Roman" w:hAnsi="Times New Roman" w:cs="Times New Roman"/>
        </w:rPr>
      </w:pPr>
      <w:r>
        <w:rPr>
          <w:rFonts w:ascii="Times New Roman" w:hAnsi="Times New Roman" w:cs="Times New Roman"/>
        </w:rPr>
        <w:t xml:space="preserve">Based on the conditions existing at December 31 2022 and holding other factors constant, a one percent decrease in the estimate of the breakage of points could result in an increase in the liability for guest loyalty program of approximately 50 million dollars </w:t>
      </w:r>
      <w:r w:rsidR="005A06D5">
        <w:rPr>
          <w:rFonts w:ascii="Times New Roman" w:hAnsi="Times New Roman" w:cs="Times New Roman"/>
        </w:rPr>
        <w:t xml:space="preserve">  </w:t>
      </w:r>
    </w:p>
    <w:p w:rsidR="00286F34" w:rsidRDefault="00B34661" w:rsidP="005A06D5">
      <w:pPr>
        <w:pStyle w:val="ListParagraph"/>
        <w:numPr>
          <w:ilvl w:val="0"/>
          <w:numId w:val="3"/>
        </w:numPr>
        <w:rPr>
          <w:rFonts w:ascii="Times New Roman" w:hAnsi="Times New Roman" w:cs="Times New Roman"/>
        </w:rPr>
      </w:pPr>
      <w:r>
        <w:rPr>
          <w:rFonts w:ascii="Times New Roman" w:hAnsi="Times New Roman" w:cs="Times New Roman"/>
        </w:rPr>
        <w:t>On the contrary franchise fees include initial application fees and continuing royalties for the use of Marriot</w:t>
      </w:r>
      <w:r w:rsidR="009060E4">
        <w:rPr>
          <w:rFonts w:ascii="Times New Roman" w:hAnsi="Times New Roman" w:cs="Times New Roman"/>
        </w:rPr>
        <w:t>t</w:t>
      </w:r>
      <w:r>
        <w:rPr>
          <w:rFonts w:ascii="Times New Roman" w:hAnsi="Times New Roman" w:cs="Times New Roman"/>
        </w:rPr>
        <w:t>’s brand names</w:t>
      </w:r>
      <w:r w:rsidR="00286F34">
        <w:rPr>
          <w:rFonts w:ascii="Times New Roman" w:hAnsi="Times New Roman" w:cs="Times New Roman"/>
        </w:rPr>
        <w:t xml:space="preserve"> </w:t>
      </w:r>
    </w:p>
    <w:p w:rsidR="008B6CA7" w:rsidRDefault="00286F34" w:rsidP="005A06D5">
      <w:pPr>
        <w:pStyle w:val="ListParagraph"/>
        <w:numPr>
          <w:ilvl w:val="0"/>
          <w:numId w:val="3"/>
        </w:numPr>
        <w:rPr>
          <w:rFonts w:ascii="Times New Roman" w:hAnsi="Times New Roman" w:cs="Times New Roman"/>
        </w:rPr>
      </w:pPr>
      <w:r>
        <w:rPr>
          <w:rFonts w:ascii="Times New Roman" w:hAnsi="Times New Roman" w:cs="Times New Roman"/>
        </w:rPr>
        <w:t xml:space="preserve">Marriot charges about 4-6% of room revenues and 2-3% of food and beverage revenues in full service hotels as royalty fees </w:t>
      </w:r>
    </w:p>
    <w:p w:rsidR="00FC5D13" w:rsidRPr="005A06D5" w:rsidRDefault="00FC5D13" w:rsidP="005A06D5">
      <w:pPr>
        <w:pStyle w:val="ListParagraph"/>
        <w:numPr>
          <w:ilvl w:val="0"/>
          <w:numId w:val="3"/>
        </w:numPr>
        <w:rPr>
          <w:rFonts w:ascii="Times New Roman" w:hAnsi="Times New Roman" w:cs="Times New Roman"/>
        </w:rPr>
      </w:pPr>
      <w:r>
        <w:rPr>
          <w:rFonts w:ascii="Times New Roman" w:hAnsi="Times New Roman" w:cs="Times New Roman"/>
        </w:rPr>
        <w:t>Owned and leased hotels include revenues from room sales and guest service provided for Marriot</w:t>
      </w:r>
      <w:r w:rsidR="009060E4">
        <w:rPr>
          <w:rFonts w:ascii="Times New Roman" w:hAnsi="Times New Roman" w:cs="Times New Roman"/>
        </w:rPr>
        <w:t>t</w:t>
      </w:r>
      <w:bookmarkStart w:id="0" w:name="_GoBack"/>
      <w:bookmarkEnd w:id="0"/>
      <w:r>
        <w:rPr>
          <w:rFonts w:ascii="Times New Roman" w:hAnsi="Times New Roman" w:cs="Times New Roman"/>
        </w:rPr>
        <w:t>’s owned and leased properties when they are occupied</w:t>
      </w:r>
    </w:p>
    <w:p w:rsidR="00BD04F2" w:rsidRDefault="00BD04F2" w:rsidP="00DB4315">
      <w:pPr>
        <w:rPr>
          <w:rFonts w:ascii="Times New Roman" w:hAnsi="Times New Roman" w:cs="Times New Roman"/>
        </w:rPr>
      </w:pPr>
    </w:p>
    <w:p w:rsidR="00BD04F2" w:rsidRDefault="00BD04F2" w:rsidP="00DB4315">
      <w:pPr>
        <w:rPr>
          <w:rFonts w:ascii="Times New Roman" w:hAnsi="Times New Roman" w:cs="Times New Roman"/>
        </w:rPr>
      </w:pPr>
    </w:p>
    <w:p w:rsidR="00BD04F2" w:rsidRDefault="00BD04F2" w:rsidP="00DB4315">
      <w:pPr>
        <w:rPr>
          <w:rFonts w:ascii="Times New Roman" w:hAnsi="Times New Roman" w:cs="Times New Roman"/>
        </w:rPr>
      </w:pPr>
    </w:p>
    <w:p w:rsidR="007204CC" w:rsidRDefault="007204CC" w:rsidP="00DB4315">
      <w:pPr>
        <w:rPr>
          <w:rFonts w:ascii="Times New Roman" w:hAnsi="Times New Roman" w:cs="Times New Roman"/>
        </w:rPr>
      </w:pPr>
    </w:p>
    <w:p w:rsidR="00BD04F2" w:rsidRDefault="00BD04F2" w:rsidP="00DB4315">
      <w:pPr>
        <w:rPr>
          <w:rFonts w:ascii="Times New Roman" w:hAnsi="Times New Roman" w:cs="Times New Roman"/>
        </w:rPr>
      </w:pPr>
    </w:p>
    <w:p w:rsidR="001A04BE" w:rsidRDefault="00BD04F2" w:rsidP="00DB4315">
      <w:pPr>
        <w:rPr>
          <w:rFonts w:ascii="Times New Roman" w:hAnsi="Times New Roman" w:cs="Times New Roman"/>
        </w:rPr>
      </w:pPr>
      <w:r>
        <w:rPr>
          <w:rFonts w:ascii="Times New Roman" w:hAnsi="Times New Roman" w:cs="Times New Roman"/>
          <w:noProof/>
        </w:rPr>
        <w:lastRenderedPageBreak/>
        <w:drawing>
          <wp:inline distT="0" distB="0" distL="0" distR="0">
            <wp:extent cx="5486400" cy="32004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A04BE" w:rsidRPr="001A04BE" w:rsidRDefault="001A04BE" w:rsidP="001A04BE">
      <w:pPr>
        <w:rPr>
          <w:rFonts w:ascii="Times New Roman" w:hAnsi="Times New Roman" w:cs="Times New Roman"/>
        </w:rPr>
      </w:pPr>
    </w:p>
    <w:p w:rsidR="001A04BE" w:rsidRPr="001A04BE" w:rsidRDefault="001A04BE" w:rsidP="001A04BE">
      <w:pPr>
        <w:rPr>
          <w:rFonts w:ascii="Times New Roman" w:hAnsi="Times New Roman" w:cs="Times New Roman"/>
        </w:rPr>
      </w:pPr>
    </w:p>
    <w:p w:rsidR="001A04BE" w:rsidRPr="001A04BE" w:rsidRDefault="001A04BE" w:rsidP="001A04BE">
      <w:pPr>
        <w:rPr>
          <w:rFonts w:ascii="Times New Roman" w:hAnsi="Times New Roman" w:cs="Times New Roman"/>
        </w:rPr>
      </w:pPr>
    </w:p>
    <w:p w:rsidR="00300E31" w:rsidRDefault="00483EE7" w:rsidP="002C4EB4">
      <w:pPr>
        <w:pStyle w:val="ListParagraph"/>
        <w:numPr>
          <w:ilvl w:val="0"/>
          <w:numId w:val="4"/>
        </w:numPr>
        <w:rPr>
          <w:rFonts w:ascii="Times New Roman" w:hAnsi="Times New Roman" w:cs="Times New Roman"/>
        </w:rPr>
      </w:pPr>
      <w:r>
        <w:rPr>
          <w:rFonts w:ascii="Times New Roman" w:hAnsi="Times New Roman" w:cs="Times New Roman"/>
        </w:rPr>
        <w:t>The key cost driver of the organisation is again reimbursed expenses, and then the main expenses include general and administrative which include salaries and employers who work in departments like security and human resources, and a</w:t>
      </w:r>
      <w:r w:rsidR="0003574E">
        <w:rPr>
          <w:rFonts w:ascii="Times New Roman" w:hAnsi="Times New Roman" w:cs="Times New Roman"/>
        </w:rPr>
        <w:t>n</w:t>
      </w:r>
      <w:r>
        <w:rPr>
          <w:rFonts w:ascii="Times New Roman" w:hAnsi="Times New Roman" w:cs="Times New Roman"/>
        </w:rPr>
        <w:t xml:space="preserve">y applicable payroll expenses, and direct expanses which include the purchases and production of goods and services </w:t>
      </w:r>
    </w:p>
    <w:p w:rsidR="00512A03" w:rsidRDefault="00512A03" w:rsidP="002C4EB4">
      <w:pPr>
        <w:pStyle w:val="ListParagraph"/>
        <w:numPr>
          <w:ilvl w:val="0"/>
          <w:numId w:val="4"/>
        </w:numPr>
        <w:rPr>
          <w:rFonts w:ascii="Times New Roman" w:hAnsi="Times New Roman" w:cs="Times New Roman"/>
        </w:rPr>
      </w:pPr>
      <w:r>
        <w:rPr>
          <w:rFonts w:ascii="Times New Roman" w:hAnsi="Times New Roman" w:cs="Times New Roman"/>
        </w:rPr>
        <w:t xml:space="preserve">Depreciation and amortization costs and restructuring, merger-related charges and other </w:t>
      </w:r>
      <w:r w:rsidR="003557D7">
        <w:rPr>
          <w:rFonts w:ascii="Times New Roman" w:hAnsi="Times New Roman" w:cs="Times New Roman"/>
        </w:rPr>
        <w:t xml:space="preserve">indirect expanses </w:t>
      </w:r>
      <w:r>
        <w:rPr>
          <w:rFonts w:ascii="Times New Roman" w:hAnsi="Times New Roman" w:cs="Times New Roman"/>
        </w:rPr>
        <w:t>make a far smaller percentage of the total operating costs of the organisation</w:t>
      </w:r>
    </w:p>
    <w:p w:rsidR="00563CFC" w:rsidRDefault="00512A03" w:rsidP="002C4EB4">
      <w:pPr>
        <w:pStyle w:val="ListParagraph"/>
        <w:numPr>
          <w:ilvl w:val="0"/>
          <w:numId w:val="4"/>
        </w:numPr>
        <w:rPr>
          <w:rFonts w:ascii="Times New Roman" w:hAnsi="Times New Roman" w:cs="Times New Roman"/>
        </w:rPr>
      </w:pPr>
      <w:r>
        <w:rPr>
          <w:rFonts w:ascii="Times New Roman" w:hAnsi="Times New Roman" w:cs="Times New Roman"/>
        </w:rPr>
        <w:t xml:space="preserve">Generally, on a depreciation schedule, hotels are set to depreciate over 39 years  </w:t>
      </w:r>
    </w:p>
    <w:p w:rsidR="001A04BE" w:rsidRPr="0003574E" w:rsidRDefault="00563CFC" w:rsidP="001A04BE">
      <w:pPr>
        <w:pStyle w:val="ListParagraph"/>
        <w:numPr>
          <w:ilvl w:val="0"/>
          <w:numId w:val="4"/>
        </w:numPr>
        <w:rPr>
          <w:rFonts w:ascii="Times New Roman" w:hAnsi="Times New Roman" w:cs="Times New Roman"/>
        </w:rPr>
      </w:pPr>
      <w:r w:rsidRPr="0003574E">
        <w:rPr>
          <w:rFonts w:ascii="Times New Roman" w:hAnsi="Times New Roman" w:cs="Times New Roman"/>
        </w:rPr>
        <w:t xml:space="preserve">Under the management and franchise agreements of the organisation, hotel owners and franchises participate in certain centralized programs and services, like marketing, sales, reservations and insurance programs exclusively for the benefit of our hotel owners and not in order to generate profit over the long term and when the costs incurred for these programs and services are recovered from the hotel owners the organisation does not seek any mark-ups. </w:t>
      </w:r>
    </w:p>
    <w:p w:rsidR="001A04BE" w:rsidRPr="001A04BE" w:rsidRDefault="001A04BE" w:rsidP="001A04BE">
      <w:pPr>
        <w:rPr>
          <w:rFonts w:ascii="Times New Roman" w:hAnsi="Times New Roman" w:cs="Times New Roman"/>
        </w:rPr>
      </w:pPr>
    </w:p>
    <w:p w:rsidR="001A04BE" w:rsidRPr="001A04BE" w:rsidRDefault="001A04BE" w:rsidP="001A04BE">
      <w:pPr>
        <w:rPr>
          <w:rFonts w:ascii="Times New Roman" w:hAnsi="Times New Roman" w:cs="Times New Roman"/>
        </w:rPr>
      </w:pPr>
    </w:p>
    <w:p w:rsidR="001A04BE" w:rsidRPr="001A04BE" w:rsidRDefault="001A04BE" w:rsidP="001A04BE">
      <w:pPr>
        <w:rPr>
          <w:rFonts w:ascii="Times New Roman" w:hAnsi="Times New Roman" w:cs="Times New Roman"/>
        </w:rPr>
      </w:pPr>
    </w:p>
    <w:p w:rsidR="001A04BE" w:rsidRPr="001A04BE" w:rsidRDefault="001A04BE" w:rsidP="001A04BE">
      <w:pPr>
        <w:rPr>
          <w:rFonts w:ascii="Times New Roman" w:hAnsi="Times New Roman" w:cs="Times New Roman"/>
        </w:rPr>
      </w:pPr>
    </w:p>
    <w:p w:rsidR="001A04BE" w:rsidRDefault="001A04BE" w:rsidP="001A04BE">
      <w:pPr>
        <w:rPr>
          <w:rFonts w:ascii="Times New Roman" w:hAnsi="Times New Roman" w:cs="Times New Roman"/>
        </w:rPr>
      </w:pPr>
    </w:p>
    <w:p w:rsidR="00BD04F2" w:rsidRDefault="001A04BE" w:rsidP="001A04BE">
      <w:pPr>
        <w:tabs>
          <w:tab w:val="left" w:pos="1901"/>
        </w:tabs>
        <w:rPr>
          <w:rFonts w:ascii="Times New Roman" w:hAnsi="Times New Roman" w:cs="Times New Roman"/>
        </w:rPr>
      </w:pPr>
      <w:r>
        <w:rPr>
          <w:rFonts w:ascii="Times New Roman" w:hAnsi="Times New Roman" w:cs="Times New Roman"/>
        </w:rPr>
        <w:tab/>
      </w: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03574E" w:rsidP="001A04BE">
      <w:pPr>
        <w:tabs>
          <w:tab w:val="left" w:pos="1901"/>
        </w:tabs>
        <w:rPr>
          <w:rFonts w:ascii="Times New Roman" w:hAnsi="Times New Roman" w:cs="Times New Roman"/>
          <w:b/>
          <w:i/>
          <w:u w:val="single"/>
        </w:rPr>
      </w:pPr>
      <w:r w:rsidRPr="0003574E">
        <w:rPr>
          <w:rFonts w:ascii="Times New Roman" w:hAnsi="Times New Roman" w:cs="Times New Roman"/>
          <w:b/>
          <w:i/>
          <w:u w:val="single"/>
        </w:rPr>
        <w:t>Company performance:</w:t>
      </w:r>
    </w:p>
    <w:p w:rsidR="0003574E" w:rsidRDefault="0003574E" w:rsidP="001A04BE">
      <w:pPr>
        <w:tabs>
          <w:tab w:val="left" w:pos="1901"/>
        </w:tabs>
        <w:rPr>
          <w:rFonts w:ascii="Times New Roman" w:hAnsi="Times New Roman" w:cs="Times New Roman"/>
        </w:rPr>
      </w:pPr>
    </w:p>
    <w:p w:rsidR="00F36AAD" w:rsidRDefault="0003574E" w:rsidP="001A04BE">
      <w:pPr>
        <w:tabs>
          <w:tab w:val="left" w:pos="1901"/>
        </w:tabs>
        <w:rPr>
          <w:rFonts w:ascii="Times New Roman" w:hAnsi="Times New Roman" w:cs="Times New Roman"/>
        </w:rPr>
      </w:pPr>
      <w:r>
        <w:rPr>
          <w:rFonts w:ascii="Times New Roman" w:hAnsi="Times New Roman" w:cs="Times New Roman"/>
        </w:rPr>
        <w:t xml:space="preserve">Marriot International has been consistently for many years a leading force in the hospitality industry. </w:t>
      </w:r>
      <w:r w:rsidR="00F36AAD">
        <w:rPr>
          <w:rFonts w:ascii="Times New Roman" w:hAnsi="Times New Roman" w:cs="Times New Roman"/>
        </w:rPr>
        <w:t xml:space="preserve">Marriot’s dedication to excelling in customer satisfaction, innovation, and continuous growth has indeed increased the standards in the industry over the years. </w:t>
      </w:r>
    </w:p>
    <w:p w:rsidR="00F36AAD" w:rsidRDefault="00F36AAD" w:rsidP="001A04BE">
      <w:pPr>
        <w:tabs>
          <w:tab w:val="left" w:pos="1901"/>
        </w:tabs>
        <w:rPr>
          <w:rFonts w:ascii="Times New Roman" w:hAnsi="Times New Roman" w:cs="Times New Roman"/>
        </w:rPr>
      </w:pPr>
    </w:p>
    <w:p w:rsidR="00766535" w:rsidRDefault="00F36AAD" w:rsidP="001A04BE">
      <w:pPr>
        <w:tabs>
          <w:tab w:val="left" w:pos="1901"/>
        </w:tabs>
        <w:rPr>
          <w:rFonts w:ascii="Times New Roman" w:hAnsi="Times New Roman" w:cs="Times New Roman"/>
        </w:rPr>
      </w:pPr>
      <w:r>
        <w:rPr>
          <w:rFonts w:ascii="Times New Roman" w:hAnsi="Times New Roman" w:cs="Times New Roman"/>
        </w:rPr>
        <w:t xml:space="preserve">Marriot International primarily makes money through its diverse portfolio of hotels and resorts offering different types of accommodations, services and amenities that cater to different types of clients; business and leisure. </w:t>
      </w:r>
      <w:r w:rsidR="004F28FE">
        <w:rPr>
          <w:rFonts w:ascii="Times New Roman" w:hAnsi="Times New Roman" w:cs="Times New Roman"/>
        </w:rPr>
        <w:t>With a remarkable amount of properties under its Umbrella, Marriott generates revenue through room bookings, food and beverage sales, events and conference services, and other ancillary services like spa treatments and parking fees.</w:t>
      </w:r>
      <w:r w:rsidR="00C90E53">
        <w:rPr>
          <w:rFonts w:ascii="Times New Roman" w:hAnsi="Times New Roman" w:cs="Times New Roman"/>
        </w:rPr>
        <w:t xml:space="preserve"> </w:t>
      </w:r>
      <w:r w:rsidR="004F28FE">
        <w:rPr>
          <w:rFonts w:ascii="Times New Roman" w:hAnsi="Times New Roman" w:cs="Times New Roman"/>
        </w:rPr>
        <w:t xml:space="preserve">Marriott also benefits from a franchise model, allowing independent hotel owners to operate under the Marriot brand, collecting franchise fees and royalty income. Lastly, the company leverages its Marriot </w:t>
      </w:r>
      <w:proofErr w:type="spellStart"/>
      <w:r w:rsidR="004F28FE">
        <w:rPr>
          <w:rFonts w:ascii="Times New Roman" w:hAnsi="Times New Roman" w:cs="Times New Roman"/>
        </w:rPr>
        <w:t>Bonvoy</w:t>
      </w:r>
      <w:proofErr w:type="spellEnd"/>
      <w:r w:rsidR="004F28FE">
        <w:rPr>
          <w:rFonts w:ascii="Times New Roman" w:hAnsi="Times New Roman" w:cs="Times New Roman"/>
        </w:rPr>
        <w:t xml:space="preserve"> loyalty program to encourage repeat business and loyalty, leading to increased revenue by maintaining a stable and dedicated customer base. </w:t>
      </w:r>
    </w:p>
    <w:p w:rsidR="00766535" w:rsidRDefault="00766535" w:rsidP="001A04BE">
      <w:pPr>
        <w:tabs>
          <w:tab w:val="left" w:pos="1901"/>
        </w:tabs>
        <w:rPr>
          <w:rFonts w:ascii="Times New Roman" w:hAnsi="Times New Roman" w:cs="Times New Roman"/>
        </w:rPr>
      </w:pPr>
    </w:p>
    <w:p w:rsidR="005A7897" w:rsidRDefault="00C90E53" w:rsidP="003065B1">
      <w:pPr>
        <w:tabs>
          <w:tab w:val="left" w:pos="1901"/>
        </w:tabs>
        <w:rPr>
          <w:rFonts w:ascii="Times New Roman" w:hAnsi="Times New Roman" w:cs="Times New Roman"/>
        </w:rPr>
      </w:pPr>
      <w:r>
        <w:rPr>
          <w:rFonts w:ascii="Times New Roman" w:hAnsi="Times New Roman" w:cs="Times New Roman"/>
        </w:rPr>
        <w:t>Under its business model, c</w:t>
      </w:r>
      <w:r w:rsidR="003065B1">
        <w:rPr>
          <w:rFonts w:ascii="Times New Roman" w:hAnsi="Times New Roman" w:cs="Times New Roman"/>
        </w:rPr>
        <w:t xml:space="preserve">ost reimbursements contribute </w:t>
      </w:r>
      <w:r>
        <w:rPr>
          <w:rFonts w:ascii="Times New Roman" w:hAnsi="Times New Roman" w:cs="Times New Roman"/>
        </w:rPr>
        <w:t>on average</w:t>
      </w:r>
      <w:r w:rsidR="003065B1">
        <w:rPr>
          <w:rFonts w:ascii="Times New Roman" w:hAnsi="Times New Roman" w:cs="Times New Roman"/>
        </w:rPr>
        <w:t xml:space="preserve"> 80% of the total revenue declared by Marriot, much higher than most of its peers such as Hyatt Hotels Corporation and Hilton worldwide holdings, whose cost reimbursements contribute about 35% to 40% of the</w:t>
      </w:r>
      <w:r>
        <w:rPr>
          <w:rFonts w:ascii="Times New Roman" w:hAnsi="Times New Roman" w:cs="Times New Roman"/>
        </w:rPr>
        <w:t>ir</w:t>
      </w:r>
      <w:r w:rsidR="003065B1">
        <w:rPr>
          <w:rFonts w:ascii="Times New Roman" w:hAnsi="Times New Roman" w:cs="Times New Roman"/>
        </w:rPr>
        <w:t xml:space="preserve"> total revenue. The main reason for this is the fact that Marriot had under its management model a greater percentage of hotels than its peers have</w:t>
      </w:r>
      <w:r>
        <w:rPr>
          <w:rFonts w:ascii="Times New Roman" w:hAnsi="Times New Roman" w:cs="Times New Roman"/>
        </w:rPr>
        <w:t xml:space="preserve">. </w:t>
      </w:r>
      <w:r w:rsidR="000F2218">
        <w:rPr>
          <w:rFonts w:ascii="Times New Roman" w:hAnsi="Times New Roman" w:cs="Times New Roman"/>
        </w:rPr>
        <w:t xml:space="preserve">As mentioned by the president and CEO of Marriott International, their fee driven, asset light business model generated significant cash during 2022, two years after experiencing the sharpest downturn in their company’s history due to the pandemic, allowing the company not only to invest in the growth of their business, but also return 2.9 billion dollars to shareholders. </w:t>
      </w:r>
    </w:p>
    <w:p w:rsidR="005A7897" w:rsidRDefault="005A7897" w:rsidP="003065B1">
      <w:pPr>
        <w:tabs>
          <w:tab w:val="left" w:pos="1901"/>
        </w:tabs>
        <w:rPr>
          <w:rFonts w:ascii="Times New Roman" w:hAnsi="Times New Roman" w:cs="Times New Roman"/>
        </w:rPr>
      </w:pPr>
    </w:p>
    <w:p w:rsidR="00C90E53" w:rsidRPr="00C90E53" w:rsidRDefault="005A7897" w:rsidP="00C90E53">
      <w:pPr>
        <w:pStyle w:val="NormalWeb"/>
        <w:spacing w:before="0" w:beforeAutospacing="0"/>
      </w:pPr>
      <w:r>
        <w:t xml:space="preserve">It is also evident that owners and franchises continue to show their strong preference for the company’s brands, since they have signed additionally nearly 108,000 rooms globally in 2022. </w:t>
      </w:r>
      <w:r w:rsidR="00C90E53">
        <w:t>However</w:t>
      </w:r>
      <w:r>
        <w:t xml:space="preserve">, </w:t>
      </w:r>
      <w:r w:rsidR="00C90E53">
        <w:t xml:space="preserve">adjusted </w:t>
      </w:r>
      <w:r>
        <w:t xml:space="preserve">operating income </w:t>
      </w:r>
      <w:r w:rsidR="00C90E53">
        <w:t>increased to</w:t>
      </w:r>
      <w:r>
        <w:t xml:space="preserve"> 9</w:t>
      </w:r>
      <w:r w:rsidR="00C90E53">
        <w:t>2</w:t>
      </w:r>
      <w:r>
        <w:t xml:space="preserve">6 million dollars in the 2022 fourth quarter, compared to 2021 fourth quarter which was equal to </w:t>
      </w:r>
      <w:r w:rsidR="00C90E53">
        <w:t>578</w:t>
      </w:r>
      <w:r>
        <w:t xml:space="preserve"> million dollars. </w:t>
      </w:r>
      <w:r w:rsidR="00C90E53">
        <w:t xml:space="preserve">Base management and franchise fees totalled </w:t>
      </w:r>
      <w:r w:rsidR="00C90E53" w:rsidRPr="00C90E53">
        <w:t>945 million</w:t>
      </w:r>
      <w:r w:rsidR="00C90E53">
        <w:t xml:space="preserve"> dollars</w:t>
      </w:r>
      <w:r w:rsidR="00C90E53" w:rsidRPr="00C90E53">
        <w:t xml:space="preserve"> in the 2022 fourth quarter, compared to base management and franchise fees of 737 million</w:t>
      </w:r>
      <w:r w:rsidR="00C90E53">
        <w:t xml:space="preserve"> dollars</w:t>
      </w:r>
      <w:r w:rsidR="00C90E53" w:rsidRPr="00C90E53">
        <w:t xml:space="preserve"> in </w:t>
      </w:r>
      <w:r w:rsidR="00C90E53">
        <w:t>previous year</w:t>
      </w:r>
      <w:r w:rsidR="00C90E53" w:rsidRPr="00C90E53">
        <w:t xml:space="preserve"> quarter. The year-over-year increase in these fees is primarily attributable to RevPAR increases due to the continued recovery in lodging demand,</w:t>
      </w:r>
      <w:r w:rsidR="002A3DD3">
        <w:t xml:space="preserve"> and </w:t>
      </w:r>
      <w:r w:rsidR="00C90E53" w:rsidRPr="00C90E53">
        <w:t>unit growth, partially offset by 16 million</w:t>
      </w:r>
      <w:r w:rsidR="002A3DD3">
        <w:t xml:space="preserve"> dollars</w:t>
      </w:r>
      <w:r w:rsidR="00C90E53" w:rsidRPr="00C90E53">
        <w:t xml:space="preserve"> of </w:t>
      </w:r>
      <w:r w:rsidR="00C90E53" w:rsidRPr="00C90E53">
        <w:t>unfavourable</w:t>
      </w:r>
      <w:r w:rsidR="00C90E53" w:rsidRPr="00C90E53">
        <w:t xml:space="preserve"> foreign exchange. Fees in the quarter surpassed 2019 levels, with 60 percent earned in</w:t>
      </w:r>
      <w:r w:rsidR="00C90E53">
        <w:rPr>
          <w:rFonts w:ascii="PT Serif" w:hAnsi="PT Serif"/>
          <w:color w:val="212121"/>
          <w:sz w:val="30"/>
          <w:szCs w:val="30"/>
        </w:rPr>
        <w:t xml:space="preserve"> </w:t>
      </w:r>
      <w:r w:rsidR="00C90E53" w:rsidRPr="00C90E53">
        <w:t>International markets.</w:t>
      </w:r>
    </w:p>
    <w:p w:rsidR="00C90E53" w:rsidRDefault="00C90E53" w:rsidP="00C90E53">
      <w:pPr>
        <w:pStyle w:val="NormalWeb"/>
        <w:spacing w:before="0" w:beforeAutospacing="0"/>
      </w:pPr>
      <w:r w:rsidRPr="00C90E53">
        <w:t xml:space="preserve">Owned, leased and other revenue, net of direct expenses, </w:t>
      </w:r>
      <w:r w:rsidRPr="00C90E53">
        <w:t>totalled</w:t>
      </w:r>
      <w:r w:rsidRPr="00C90E53">
        <w:t xml:space="preserve"> 101 million </w:t>
      </w:r>
      <w:r>
        <w:t xml:space="preserve">dollars </w:t>
      </w:r>
      <w:r w:rsidRPr="00C90E53">
        <w:t xml:space="preserve">in the 2022 fourth quarter, compared to 33 million </w:t>
      </w:r>
      <w:r>
        <w:t xml:space="preserve">dollars </w:t>
      </w:r>
      <w:r w:rsidRPr="00C90E53">
        <w:t xml:space="preserve">in the year-ago quarter. The year-over-year increase in revenue net of expenses largely reflects the continued recovery in lodging demand and $21 million of </w:t>
      </w:r>
      <w:r>
        <w:t>increase in</w:t>
      </w:r>
      <w:r w:rsidRPr="00C90E53">
        <w:t xml:space="preserve"> termination fees.</w:t>
      </w:r>
      <w:r>
        <w:t xml:space="preserve"> </w:t>
      </w:r>
    </w:p>
    <w:p w:rsidR="00CD36FB" w:rsidRPr="00EE0C6A" w:rsidRDefault="002A3DD3" w:rsidP="001A04BE">
      <w:pPr>
        <w:tabs>
          <w:tab w:val="left" w:pos="1901"/>
        </w:tabs>
        <w:rPr>
          <w:rFonts w:ascii="Times New Roman" w:hAnsi="Times New Roman" w:cs="Times New Roman"/>
        </w:rPr>
      </w:pPr>
      <w:r>
        <w:rPr>
          <w:rFonts w:ascii="Times New Roman" w:hAnsi="Times New Roman" w:cs="Times New Roman"/>
        </w:rPr>
        <w:t xml:space="preserve">To summarize, the organisation has had a steady growth every year so far and is persistently the world’s leading hotel chain proving that it has a very effective and profitable business model. However, recently the organisation added some more ‘affordable’ properties to its portfolio. However, given the uncertain economic conditions of the upcoming years it can be less profitable since it is now more exposed to travellers who are less resilient in economic downturns, so it might create some complications in the future. </w:t>
      </w: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6C64F0" w:rsidRPr="006C64F0" w:rsidRDefault="006C64F0" w:rsidP="001A04BE">
      <w:pPr>
        <w:tabs>
          <w:tab w:val="left" w:pos="1901"/>
        </w:tabs>
        <w:rPr>
          <w:rFonts w:ascii="Times New Roman" w:hAnsi="Times New Roman" w:cs="Times New Roman"/>
        </w:rPr>
      </w:pPr>
      <w:r>
        <w:rPr>
          <w:rFonts w:ascii="Times New Roman" w:hAnsi="Times New Roman" w:cs="Times New Roman"/>
        </w:rPr>
        <w:t xml:space="preserve"> </w:t>
      </w:r>
    </w:p>
    <w:sectPr w:rsidR="006C64F0" w:rsidRPr="006C64F0" w:rsidSect="004C3A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6FEF"/>
    <w:multiLevelType w:val="hybridMultilevel"/>
    <w:tmpl w:val="CAC21C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742886"/>
    <w:multiLevelType w:val="hybridMultilevel"/>
    <w:tmpl w:val="A7EC9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9358D"/>
    <w:multiLevelType w:val="hybridMultilevel"/>
    <w:tmpl w:val="9362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06BA5"/>
    <w:multiLevelType w:val="hybridMultilevel"/>
    <w:tmpl w:val="E7787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36D2A"/>
    <w:multiLevelType w:val="hybridMultilevel"/>
    <w:tmpl w:val="72161316"/>
    <w:lvl w:ilvl="0" w:tplc="04090005">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5" w15:restartNumberingAfterBreak="0">
    <w:nsid w:val="70DC7D91"/>
    <w:multiLevelType w:val="hybridMultilevel"/>
    <w:tmpl w:val="045E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F2BB2"/>
    <w:multiLevelType w:val="hybridMultilevel"/>
    <w:tmpl w:val="161A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6A"/>
    <w:rsid w:val="0003574E"/>
    <w:rsid w:val="000F2218"/>
    <w:rsid w:val="00125FF4"/>
    <w:rsid w:val="00131D46"/>
    <w:rsid w:val="00164DC5"/>
    <w:rsid w:val="001748D7"/>
    <w:rsid w:val="001A04BE"/>
    <w:rsid w:val="00286F34"/>
    <w:rsid w:val="002940C3"/>
    <w:rsid w:val="002A3DD3"/>
    <w:rsid w:val="002C4EB4"/>
    <w:rsid w:val="00300E31"/>
    <w:rsid w:val="003065B1"/>
    <w:rsid w:val="003557D7"/>
    <w:rsid w:val="00483EE7"/>
    <w:rsid w:val="004C3A37"/>
    <w:rsid w:val="004F28FE"/>
    <w:rsid w:val="004F50BD"/>
    <w:rsid w:val="00506DAD"/>
    <w:rsid w:val="00512A03"/>
    <w:rsid w:val="00563CFC"/>
    <w:rsid w:val="005A06D5"/>
    <w:rsid w:val="005A7897"/>
    <w:rsid w:val="005F6930"/>
    <w:rsid w:val="006C64F0"/>
    <w:rsid w:val="007204CC"/>
    <w:rsid w:val="00756FA8"/>
    <w:rsid w:val="00763E04"/>
    <w:rsid w:val="00766535"/>
    <w:rsid w:val="007F445F"/>
    <w:rsid w:val="008B6CA7"/>
    <w:rsid w:val="009060E4"/>
    <w:rsid w:val="00956AEA"/>
    <w:rsid w:val="00B34661"/>
    <w:rsid w:val="00BD04F2"/>
    <w:rsid w:val="00C90E53"/>
    <w:rsid w:val="00CC286A"/>
    <w:rsid w:val="00CD36FB"/>
    <w:rsid w:val="00D77889"/>
    <w:rsid w:val="00DB4315"/>
    <w:rsid w:val="00E52F9D"/>
    <w:rsid w:val="00EE0C6A"/>
    <w:rsid w:val="00F161B7"/>
    <w:rsid w:val="00F36AAD"/>
    <w:rsid w:val="00FB40CB"/>
    <w:rsid w:val="00FC5D13"/>
    <w:rsid w:val="00FD3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EC3519"/>
  <w15:chartTrackingRefBased/>
  <w15:docId w15:val="{BF2517B3-77FE-B746-B17A-E6913110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6D5"/>
    <w:pPr>
      <w:ind w:left="720"/>
      <w:contextualSpacing/>
    </w:pPr>
  </w:style>
  <w:style w:type="paragraph" w:styleId="NormalWeb">
    <w:name w:val="Normal (Web)"/>
    <w:basedOn w:val="Normal"/>
    <w:uiPriority w:val="99"/>
    <w:semiHidden/>
    <w:unhideWhenUsed/>
    <w:rsid w:val="00C90E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7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Revenue 2022 </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Revenue drivers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1B3-274E-AA8F-F38402D4F0E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1B3-274E-AA8F-F38402D4F0E1}"/>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01B3-274E-AA8F-F38402D4F0E1}"/>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01B3-274E-AA8F-F38402D4F0E1}"/>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01B3-274E-AA8F-F38402D4F0E1}"/>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01B3-274E-AA8F-F38402D4F0E1}"/>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01B3-274E-AA8F-F38402D4F0E1}"/>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01B3-274E-AA8F-F38402D4F0E1}"/>
              </c:ext>
            </c:extLst>
          </c:dPt>
          <c:cat>
            <c:strRef>
              <c:f>Sheet1!$A$2:$A$9</c:f>
              <c:strCache>
                <c:ptCount val="8"/>
                <c:pt idx="0">
                  <c:v>Base management fees </c:v>
                </c:pt>
                <c:pt idx="1">
                  <c:v>Franchise fees </c:v>
                </c:pt>
                <c:pt idx="2">
                  <c:v>Incentive management fees </c:v>
                </c:pt>
                <c:pt idx="3">
                  <c:v>Gross fee revenues </c:v>
                </c:pt>
                <c:pt idx="4">
                  <c:v>Contract investment amortization </c:v>
                </c:pt>
                <c:pt idx="5">
                  <c:v>Net fee revenues </c:v>
                </c:pt>
                <c:pt idx="6">
                  <c:v>Owned, leased and other revenue </c:v>
                </c:pt>
                <c:pt idx="7">
                  <c:v>Cost reimbursement revenue </c:v>
                </c:pt>
              </c:strCache>
            </c:strRef>
          </c:cat>
          <c:val>
            <c:numRef>
              <c:f>Sheet1!$B$2:$B$9</c:f>
              <c:numCache>
                <c:formatCode>0.00%</c:formatCode>
                <c:ptCount val="8"/>
                <c:pt idx="0">
                  <c:v>5.2600000000000001E-2</c:v>
                </c:pt>
                <c:pt idx="1">
                  <c:v>0.1206</c:v>
                </c:pt>
                <c:pt idx="2">
                  <c:v>2.5499999999999998E-2</c:v>
                </c:pt>
                <c:pt idx="3">
                  <c:v>0.1963</c:v>
                </c:pt>
                <c:pt idx="4">
                  <c:v>4.3E-3</c:v>
                </c:pt>
                <c:pt idx="5">
                  <c:v>0.192</c:v>
                </c:pt>
                <c:pt idx="6">
                  <c:v>6.5799999999999997E-2</c:v>
                </c:pt>
                <c:pt idx="7">
                  <c:v>0.74219999999999997</c:v>
                </c:pt>
              </c:numCache>
            </c:numRef>
          </c:val>
          <c:extLst>
            <c:ext xmlns:c16="http://schemas.microsoft.com/office/drawing/2014/chart" uri="{C3380CC4-5D6E-409C-BE32-E72D297353CC}">
              <c16:uniqueId val="{00000000-A604-2647-8F30-711A06FE33C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Operating costs and expenses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2C-2946-A22E-8A8DDFB94B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2C-2946-A22E-8A8DDFB94B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12C-2946-A22E-8A8DDFB94B3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12C-2946-A22E-8A8DDFB94B3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12C-2946-A22E-8A8DDFB94B32}"/>
              </c:ext>
            </c:extLst>
          </c:dPt>
          <c:cat>
            <c:strRef>
              <c:f>Sheet1!$A$2:$A$6</c:f>
              <c:strCache>
                <c:ptCount val="5"/>
                <c:pt idx="0">
                  <c:v>Owned, leased, and other direct </c:v>
                </c:pt>
                <c:pt idx="1">
                  <c:v>Depreciation amortization and other</c:v>
                </c:pt>
                <c:pt idx="2">
                  <c:v>General, adminstrative, and other </c:v>
                </c:pt>
                <c:pt idx="3">
                  <c:v>Restructuring, merger-related charges and other</c:v>
                </c:pt>
                <c:pt idx="4">
                  <c:v>Reimbursed expenses</c:v>
                </c:pt>
              </c:strCache>
            </c:strRef>
          </c:cat>
          <c:val>
            <c:numRef>
              <c:f>Sheet1!$B$2:$B$6</c:f>
              <c:numCache>
                <c:formatCode>General</c:formatCode>
                <c:ptCount val="5"/>
                <c:pt idx="0">
                  <c:v>6.2</c:v>
                </c:pt>
                <c:pt idx="1">
                  <c:v>1.1499999999999999</c:v>
                </c:pt>
                <c:pt idx="2">
                  <c:v>5.15</c:v>
                </c:pt>
                <c:pt idx="3">
                  <c:v>0.69</c:v>
                </c:pt>
                <c:pt idx="4">
                  <c:v>87.46</c:v>
                </c:pt>
              </c:numCache>
            </c:numRef>
          </c:val>
          <c:extLst>
            <c:ext xmlns:c16="http://schemas.microsoft.com/office/drawing/2014/chart" uri="{C3380CC4-5D6E-409C-BE32-E72D297353CC}">
              <c16:uniqueId val="{00000000-AA5B-FA48-891A-05BBF21540A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stylianaki</dc:creator>
  <cp:keywords/>
  <dc:description/>
  <cp:lastModifiedBy>katerina stylianaki</cp:lastModifiedBy>
  <cp:revision>4</cp:revision>
  <dcterms:created xsi:type="dcterms:W3CDTF">2023-09-05T17:41:00Z</dcterms:created>
  <dcterms:modified xsi:type="dcterms:W3CDTF">2023-09-05T17:41:00Z</dcterms:modified>
</cp:coreProperties>
</file>