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D470" w14:textId="7E27D2EF" w:rsidR="00601052" w:rsidRDefault="003B09F4" w:rsidP="003B09F4">
      <w:pPr>
        <w:jc w:val="center"/>
        <w:rPr>
          <w:b/>
          <w:bCs/>
          <w:u w:val="single"/>
        </w:rPr>
      </w:pPr>
      <w:r w:rsidRPr="00C34BAE">
        <w:rPr>
          <w:b/>
          <w:bCs/>
          <w:u w:val="single"/>
        </w:rPr>
        <w:t>Visa Inc.</w:t>
      </w:r>
    </w:p>
    <w:p w14:paraId="3E1BEDB2" w14:textId="77777777" w:rsidR="00C34BAE" w:rsidRDefault="00C34BAE" w:rsidP="003B09F4">
      <w:pPr>
        <w:jc w:val="center"/>
        <w:rPr>
          <w:b/>
          <w:bCs/>
          <w:u w:val="single"/>
        </w:rPr>
      </w:pPr>
    </w:p>
    <w:p w14:paraId="0D2BB3AF" w14:textId="3E4FA53B" w:rsidR="00C34BAE" w:rsidRDefault="00C34BAE" w:rsidP="00C34BAE">
      <w:r>
        <w:t>Visa is a global leader, that operates in the financial services industry. They offer secure payment technology to connect consumers, business, banks and governments, allowing them to use digital currencies over cash and cheques.</w:t>
      </w:r>
      <w:r w:rsidR="00747083">
        <w:t xml:space="preserve"> This industry is driven by </w:t>
      </w:r>
      <w:r w:rsidR="00747083" w:rsidRPr="00747083">
        <w:t xml:space="preserve">technological and payment systems innovation. Vis’s strategy is based on accelerating the revenue growth in </w:t>
      </w:r>
      <w:r w:rsidR="00747083" w:rsidRPr="00747083">
        <w:t>consumer payments, new flows and </w:t>
      </w:r>
      <w:r w:rsidR="00747083" w:rsidRPr="00747083">
        <w:t>value-added</w:t>
      </w:r>
      <w:r w:rsidR="00747083" w:rsidRPr="00747083">
        <w:t> services</w:t>
      </w:r>
      <w:r w:rsidR="00747083">
        <w:t>.</w:t>
      </w:r>
    </w:p>
    <w:p w14:paraId="1845DDFB" w14:textId="77777777" w:rsidR="00747083" w:rsidRDefault="00747083" w:rsidP="00C34BAE"/>
    <w:p w14:paraId="29319EA4" w14:textId="75AA31E6" w:rsidR="00747083" w:rsidRDefault="00747083" w:rsidP="00747083">
      <w:pPr>
        <w:rPr>
          <w:lang w:eastAsia="en-GB"/>
        </w:rPr>
      </w:pPr>
      <w:r w:rsidRPr="00747083">
        <w:rPr>
          <w:lang w:eastAsia="en-GB"/>
        </w:rPr>
        <w:t>Mastercard</w:t>
      </w:r>
      <w:r w:rsidR="00B72C99">
        <w:rPr>
          <w:lang w:eastAsia="en-GB"/>
        </w:rPr>
        <w:t xml:space="preserve"> (MA)</w:t>
      </w:r>
      <w:r w:rsidRPr="00747083">
        <w:rPr>
          <w:lang w:eastAsia="en-GB"/>
        </w:rPr>
        <w:t xml:space="preserve"> and American Express</w:t>
      </w:r>
      <w:r w:rsidR="00B72C99">
        <w:rPr>
          <w:lang w:eastAsia="en-GB"/>
        </w:rPr>
        <w:t xml:space="preserve"> (AXP)</w:t>
      </w:r>
      <w:r w:rsidRPr="00747083">
        <w:rPr>
          <w:lang w:eastAsia="en-GB"/>
        </w:rPr>
        <w:t xml:space="preserve"> are two prominent peers of Visa Inc. within the competitive landscape of the global financial services industry. Like Visa, both companies operate in the payment technology sector, providing a range of credit card and payment processing services. </w:t>
      </w:r>
      <w:r w:rsidR="00B72C99">
        <w:rPr>
          <w:lang w:eastAsia="en-GB"/>
        </w:rPr>
        <w:t>MA</w:t>
      </w:r>
      <w:r w:rsidRPr="00747083">
        <w:rPr>
          <w:lang w:eastAsia="en-GB"/>
        </w:rPr>
        <w:t xml:space="preserve">, with its extensive network, competes head-to-head with Visa in facilitating secure and efficient electronic transactions worldwide. </w:t>
      </w:r>
      <w:r w:rsidR="00B72C99">
        <w:rPr>
          <w:lang w:eastAsia="en-GB"/>
        </w:rPr>
        <w:t>AXP</w:t>
      </w:r>
      <w:r w:rsidRPr="00747083">
        <w:rPr>
          <w:lang w:eastAsia="en-GB"/>
        </w:rPr>
        <w:t>, on the other hand, offers premium card services</w:t>
      </w:r>
      <w:r>
        <w:rPr>
          <w:lang w:eastAsia="en-GB"/>
        </w:rPr>
        <w:t xml:space="preserve"> </w:t>
      </w:r>
      <w:r w:rsidRPr="00747083">
        <w:rPr>
          <w:lang w:eastAsia="en-GB"/>
        </w:rPr>
        <w:t xml:space="preserve">and operates its own payment network. Together, these three </w:t>
      </w:r>
      <w:r>
        <w:rPr>
          <w:lang w:eastAsia="en-GB"/>
        </w:rPr>
        <w:t xml:space="preserve">compete </w:t>
      </w:r>
      <w:r w:rsidRPr="00747083">
        <w:rPr>
          <w:lang w:eastAsia="en-GB"/>
        </w:rPr>
        <w:t>for market share and innovation in an industry that continues to evolve rapidly in response to changing consumer preferences and emerging technologies.</w:t>
      </w:r>
    </w:p>
    <w:p w14:paraId="7E898B38" w14:textId="77777777" w:rsidR="00F27E65" w:rsidRPr="00F27E65" w:rsidRDefault="00F27E65" w:rsidP="00F27E65"/>
    <w:p w14:paraId="376AFA0E" w14:textId="5878F37C" w:rsidR="00F27E65" w:rsidRPr="00F27E65" w:rsidRDefault="00F27E65" w:rsidP="00F27E65">
      <w:r w:rsidRPr="00F27E65">
        <w:t>Mastercard, Visa's primary competitor, has consistently exhibited strong financial performance. It focuses on diversifying its portfolio with a wide range of payment services and strategic acquisitions. Mastercard's emphasis on digital payments and partnerships with fintech companies has contributed to its growth.</w:t>
      </w:r>
    </w:p>
    <w:p w14:paraId="4121E999" w14:textId="5E9CAC60" w:rsidR="00B81505" w:rsidRDefault="00B81505" w:rsidP="00747083">
      <w:pPr>
        <w:rPr>
          <w:lang w:eastAsia="en-GB"/>
        </w:rPr>
      </w:pPr>
    </w:p>
    <w:p w14:paraId="4CA12202" w14:textId="6B8DDB08" w:rsidR="00B81505" w:rsidRDefault="002D6CA6" w:rsidP="002D6CA6">
      <w:r w:rsidRPr="002D6CA6">
        <w:t xml:space="preserve">Visa Inc. continues to experience significant growth, yet there remain untapped market opportunities that </w:t>
      </w:r>
      <w:r>
        <w:t>should be</w:t>
      </w:r>
      <w:r w:rsidRPr="002D6CA6">
        <w:t xml:space="preserve"> explor</w:t>
      </w:r>
      <w:r>
        <w:t>ed</w:t>
      </w:r>
      <w:r w:rsidRPr="002D6CA6">
        <w:t xml:space="preserve">. The realm of payment options is vast, encompassing conventional methods like cash, checks, and wire transfers, as well as an array of electronic payment solutions. The ever-advancing landscape of technology </w:t>
      </w:r>
      <w:r>
        <w:t>developed</w:t>
      </w:r>
      <w:r w:rsidRPr="002D6CA6">
        <w:t xml:space="preserve"> alternative</w:t>
      </w:r>
      <w:r>
        <w:t xml:space="preserve"> </w:t>
      </w:r>
      <w:r w:rsidRPr="002D6CA6">
        <w:t>payment</w:t>
      </w:r>
      <w:r>
        <w:t xml:space="preserve"> methods</w:t>
      </w:r>
      <w:r w:rsidRPr="002D6CA6">
        <w:t>, including cryptocurrencies and blockchain-based systems. These emerging options have the potential to challenge Visa's traditional payment solutions, serving as viable substitute for those seeking innovative and decentralized means of conducting financial transactions.</w:t>
      </w:r>
    </w:p>
    <w:p w14:paraId="1A77398B" w14:textId="77777777" w:rsidR="002D6CA6" w:rsidRDefault="002D6CA6" w:rsidP="002D6CA6"/>
    <w:p w14:paraId="4570FEBD" w14:textId="6D90CE7A" w:rsidR="002D6CA6" w:rsidRDefault="002D6CA6" w:rsidP="002D6CA6">
      <w:r>
        <w:t xml:space="preserve">Although Visa operates in over 200 countries, places like UAE, Venezuela and </w:t>
      </w:r>
      <w:r w:rsidR="0061579A">
        <w:t>Libya are yet to be operated in, and provide markets that they may invest within. This potential will help contribute to maintaining market share</w:t>
      </w:r>
      <w:r w:rsidR="00A22D4A">
        <w:t>. Real-time Payment (RTP) Networks have been developed in multiple markets and gives rise to opportunity for Visa to partner with for value added services.</w:t>
      </w:r>
    </w:p>
    <w:p w14:paraId="4EEC88B8" w14:textId="16B2838B" w:rsidR="00A22D4A" w:rsidRPr="002D6CA6" w:rsidRDefault="00A22D4A" w:rsidP="002D6CA6">
      <w:r>
        <w:rPr>
          <w:noProof/>
        </w:rPr>
        <w:lastRenderedPageBreak/>
        <w:drawing>
          <wp:anchor distT="0" distB="0" distL="114300" distR="114300" simplePos="0" relativeHeight="251659264" behindDoc="0" locked="0" layoutInCell="1" allowOverlap="1" wp14:anchorId="6EC9AB09" wp14:editId="14FFB272">
            <wp:simplePos x="0" y="0"/>
            <wp:positionH relativeFrom="column">
              <wp:posOffset>933463</wp:posOffset>
            </wp:positionH>
            <wp:positionV relativeFrom="paragraph">
              <wp:posOffset>176489</wp:posOffset>
            </wp:positionV>
            <wp:extent cx="3900170" cy="2197735"/>
            <wp:effectExtent l="0" t="0" r="11430" b="12065"/>
            <wp:wrapSquare wrapText="bothSides"/>
            <wp:docPr id="683019741" name="Chart 1">
              <a:extLst xmlns:a="http://schemas.openxmlformats.org/drawingml/2006/main">
                <a:ext uri="{FF2B5EF4-FFF2-40B4-BE49-F238E27FC236}">
                  <a16:creationId xmlns:a16="http://schemas.microsoft.com/office/drawing/2014/main" id="{9F3CE5F3-65BB-3BCA-4964-F9862BA55D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p>
    <w:p w14:paraId="5F1FE3E2" w14:textId="77777777" w:rsidR="00B81505" w:rsidRPr="002D6CA6" w:rsidRDefault="00B81505" w:rsidP="002D6CA6"/>
    <w:p w14:paraId="050D0188" w14:textId="04F5F3EA" w:rsidR="00B81505" w:rsidRDefault="00B81505" w:rsidP="00747083">
      <w:pPr>
        <w:rPr>
          <w:lang w:eastAsia="en-GB"/>
        </w:rPr>
      </w:pPr>
    </w:p>
    <w:p w14:paraId="3111E646" w14:textId="2C801F90" w:rsidR="00B81505" w:rsidRDefault="00B81505" w:rsidP="00747083">
      <w:pPr>
        <w:rPr>
          <w:lang w:eastAsia="en-GB"/>
        </w:rPr>
      </w:pPr>
    </w:p>
    <w:p w14:paraId="3D4C884C" w14:textId="107FECF7" w:rsidR="00B81505" w:rsidRDefault="00B81505" w:rsidP="00747083">
      <w:pPr>
        <w:rPr>
          <w:lang w:eastAsia="en-GB"/>
        </w:rPr>
      </w:pPr>
    </w:p>
    <w:p w14:paraId="2384D4F4" w14:textId="77777777" w:rsidR="00B81505" w:rsidRDefault="00B81505" w:rsidP="00747083">
      <w:pPr>
        <w:rPr>
          <w:lang w:eastAsia="en-GB"/>
        </w:rPr>
      </w:pPr>
    </w:p>
    <w:p w14:paraId="2C11F763" w14:textId="6163F921" w:rsidR="005201B5" w:rsidRDefault="005201B5" w:rsidP="00747083">
      <w:pPr>
        <w:rPr>
          <w:lang w:eastAsia="en-GB"/>
        </w:rPr>
      </w:pPr>
    </w:p>
    <w:p w14:paraId="225813D8" w14:textId="77777777" w:rsidR="00B81505" w:rsidRDefault="00B81505" w:rsidP="00747083">
      <w:pPr>
        <w:rPr>
          <w:lang w:eastAsia="en-GB"/>
        </w:rPr>
      </w:pPr>
    </w:p>
    <w:p w14:paraId="58DC0433" w14:textId="77777777" w:rsidR="00B81505" w:rsidRDefault="00B81505" w:rsidP="00747083">
      <w:pPr>
        <w:rPr>
          <w:lang w:eastAsia="en-GB"/>
        </w:rPr>
      </w:pPr>
    </w:p>
    <w:p w14:paraId="2F7A6937" w14:textId="77777777" w:rsidR="00B81505" w:rsidRDefault="00B81505" w:rsidP="00747083">
      <w:pPr>
        <w:rPr>
          <w:lang w:eastAsia="en-GB"/>
        </w:rPr>
      </w:pPr>
    </w:p>
    <w:p w14:paraId="0C9CC71C" w14:textId="41AEF57A" w:rsidR="00B81505" w:rsidRDefault="00B81505" w:rsidP="00747083">
      <w:pPr>
        <w:rPr>
          <w:lang w:eastAsia="en-GB"/>
        </w:rPr>
      </w:pPr>
    </w:p>
    <w:p w14:paraId="10306EA7" w14:textId="691B5A65" w:rsidR="00B81505" w:rsidRDefault="00B81505" w:rsidP="00747083">
      <w:pPr>
        <w:rPr>
          <w:lang w:eastAsia="en-GB"/>
        </w:rPr>
      </w:pPr>
    </w:p>
    <w:p w14:paraId="1D962AF9" w14:textId="77777777" w:rsidR="00B81505" w:rsidRDefault="00B81505" w:rsidP="00747083">
      <w:pPr>
        <w:rPr>
          <w:lang w:eastAsia="en-GB"/>
        </w:rPr>
      </w:pPr>
    </w:p>
    <w:p w14:paraId="4712D9F7" w14:textId="77777777" w:rsidR="00A22D4A" w:rsidRDefault="00A22D4A" w:rsidP="00747083">
      <w:pPr>
        <w:rPr>
          <w:lang w:eastAsia="en-GB"/>
        </w:rPr>
      </w:pPr>
    </w:p>
    <w:p w14:paraId="2473A54C" w14:textId="574682C0" w:rsidR="00262A69" w:rsidRDefault="00262A69" w:rsidP="00747083">
      <w:pPr>
        <w:rPr>
          <w:lang w:eastAsia="en-GB"/>
        </w:rPr>
      </w:pPr>
      <w:r>
        <w:rPr>
          <w:lang w:eastAsia="en-GB"/>
        </w:rPr>
        <w:t>The revenue generated by Visa Inc. is sectioned into 4 primary segments: Services, Data Processing, International Transactions and Other.</w:t>
      </w:r>
    </w:p>
    <w:p w14:paraId="3D16A1BA" w14:textId="77777777" w:rsidR="00262A69" w:rsidRDefault="00262A69" w:rsidP="00747083">
      <w:pPr>
        <w:rPr>
          <w:lang w:eastAsia="en-GB"/>
        </w:rPr>
      </w:pPr>
    </w:p>
    <w:p w14:paraId="107E2282" w14:textId="77777777" w:rsidR="00262A69" w:rsidRDefault="00262A69" w:rsidP="00262A69">
      <w:pPr>
        <w:pStyle w:val="ListParagraph"/>
        <w:numPr>
          <w:ilvl w:val="0"/>
          <w:numId w:val="2"/>
        </w:numPr>
      </w:pPr>
      <w:r>
        <w:rPr>
          <w:lang w:eastAsia="en-GB"/>
        </w:rPr>
        <w:t xml:space="preserve">Services consists of services provided to support clients in the usage of Visa’s </w:t>
      </w:r>
      <w:r w:rsidRPr="00262A69">
        <w:rPr>
          <w:lang w:eastAsia="en-GB"/>
        </w:rPr>
        <w:t>payment services. This counts for 34% of total gross revenue</w:t>
      </w:r>
      <w:r w:rsidRPr="00262A69">
        <w:t xml:space="preserve"> down from previous years but</w:t>
      </w:r>
      <w:r w:rsidRPr="00262A69">
        <w:rPr>
          <w:lang w:eastAsia="en-GB"/>
        </w:rPr>
        <w:t xml:space="preserve"> has grown by 16% from FY21 to FY22. </w:t>
      </w:r>
    </w:p>
    <w:p w14:paraId="208E3603" w14:textId="431801AD" w:rsidR="00262A69" w:rsidRDefault="00262A69" w:rsidP="00262A69">
      <w:pPr>
        <w:pStyle w:val="ListParagraph"/>
        <w:numPr>
          <w:ilvl w:val="0"/>
          <w:numId w:val="2"/>
        </w:numPr>
      </w:pPr>
      <w:r w:rsidRPr="00262A69">
        <w:t xml:space="preserve">Data Processing </w:t>
      </w:r>
      <w:r w:rsidRPr="00262A69">
        <w:t xml:space="preserve">includes revenue generated </w:t>
      </w:r>
      <w:r w:rsidR="00314E5E">
        <w:t>from</w:t>
      </w:r>
      <w:r w:rsidRPr="00262A69">
        <w:t xml:space="preserve"> the company's clearing, settlement, authorization, value-added, network access, and other similar services.</w:t>
      </w:r>
      <w:r>
        <w:t xml:space="preserve"> This counted for </w:t>
      </w:r>
      <w:r w:rsidR="00B903ED">
        <w:t>around</w:t>
      </w:r>
      <w:r>
        <w:t xml:space="preserve"> </w:t>
      </w:r>
      <w:r w:rsidR="00B903ED">
        <w:t>36</w:t>
      </w:r>
      <w:r w:rsidR="00314E5E">
        <w:t>% of revenue FY22 and has grown by 13% from last year.</w:t>
      </w:r>
    </w:p>
    <w:p w14:paraId="515A02C8" w14:textId="64031D11" w:rsidR="00314E5E" w:rsidRDefault="00314E5E" w:rsidP="00314E5E">
      <w:pPr>
        <w:pStyle w:val="ListParagraph"/>
        <w:numPr>
          <w:ilvl w:val="0"/>
          <w:numId w:val="2"/>
        </w:numPr>
      </w:pPr>
      <w:r>
        <w:t>International transaction is a key growing area of Visa’s revenue and is generated fro</w:t>
      </w:r>
      <w:r w:rsidRPr="00314E5E">
        <w:t xml:space="preserve">m </w:t>
      </w:r>
      <w:r w:rsidRPr="00314E5E">
        <w:t xml:space="preserve">cross-border transaction processing and currency </w:t>
      </w:r>
      <w:r w:rsidRPr="00314E5E">
        <w:t>conversion.</w:t>
      </w:r>
      <w:r>
        <w:t xml:space="preserve"> In FY22 this counted towards 25% of revenue and has grown by 50% vs FY21.</w:t>
      </w:r>
    </w:p>
    <w:p w14:paraId="317E5D47" w14:textId="0C61DEAB" w:rsidR="00314E5E" w:rsidRPr="00262A69" w:rsidRDefault="00314E5E" w:rsidP="00314E5E">
      <w:pPr>
        <w:pStyle w:val="ListParagraph"/>
        <w:numPr>
          <w:ilvl w:val="0"/>
          <w:numId w:val="2"/>
        </w:numPr>
      </w:pPr>
      <w:r>
        <w:t xml:space="preserve">Other revenue consists of revenue earned </w:t>
      </w:r>
      <w:r w:rsidRPr="00314E5E">
        <w:t xml:space="preserve">from </w:t>
      </w:r>
      <w:r w:rsidRPr="00314E5E">
        <w:t xml:space="preserve">license fees, value-added services, account holder services, certification, and </w:t>
      </w:r>
      <w:r w:rsidRPr="00314E5E">
        <w:t>more.</w:t>
      </w:r>
      <w:r>
        <w:t xml:space="preserve"> This is the </w:t>
      </w:r>
      <w:r w:rsidR="00C17E6E">
        <w:t>segments</w:t>
      </w:r>
      <w:r>
        <w:t xml:space="preserve"> that generates the least proportion of revenue at 5% in FY22, although it has grown by 19% vs FY21.</w:t>
      </w:r>
    </w:p>
    <w:p w14:paraId="19DF5B66" w14:textId="25DEDC61" w:rsidR="00262A69" w:rsidRDefault="00262A69" w:rsidP="00747083">
      <w:pPr>
        <w:rPr>
          <w:lang w:eastAsia="en-GB"/>
        </w:rPr>
      </w:pPr>
    </w:p>
    <w:p w14:paraId="37862EFA" w14:textId="71B9403D" w:rsidR="00262A69" w:rsidRDefault="005D0E71" w:rsidP="00747083">
      <w:pPr>
        <w:rPr>
          <w:lang w:eastAsia="en-GB"/>
        </w:rPr>
      </w:pPr>
      <w:r>
        <w:rPr>
          <w:noProof/>
        </w:rPr>
        <w:drawing>
          <wp:anchor distT="0" distB="0" distL="114300" distR="114300" simplePos="0" relativeHeight="251658240" behindDoc="0" locked="0" layoutInCell="1" allowOverlap="1" wp14:anchorId="58291807" wp14:editId="0878952E">
            <wp:simplePos x="0" y="0"/>
            <wp:positionH relativeFrom="column">
              <wp:posOffset>894715</wp:posOffset>
            </wp:positionH>
            <wp:positionV relativeFrom="paragraph">
              <wp:posOffset>56623</wp:posOffset>
            </wp:positionV>
            <wp:extent cx="3531140" cy="2033081"/>
            <wp:effectExtent l="0" t="0" r="12700" b="12065"/>
            <wp:wrapSquare wrapText="bothSides"/>
            <wp:docPr id="333764134" name="Chart 1">
              <a:extLst xmlns:a="http://schemas.openxmlformats.org/drawingml/2006/main">
                <a:ext uri="{FF2B5EF4-FFF2-40B4-BE49-F238E27FC236}">
                  <a16:creationId xmlns:a16="http://schemas.microsoft.com/office/drawing/2014/main" id="{B824AF85-C9D7-F578-6F9A-4E4388EB5C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14:paraId="6B393A1F" w14:textId="77777777" w:rsidR="00262A69" w:rsidRDefault="00262A69" w:rsidP="00747083">
      <w:pPr>
        <w:rPr>
          <w:lang w:eastAsia="en-GB"/>
        </w:rPr>
      </w:pPr>
    </w:p>
    <w:p w14:paraId="417EC7BE" w14:textId="77777777" w:rsidR="00262A69" w:rsidRDefault="00262A69" w:rsidP="00747083">
      <w:pPr>
        <w:rPr>
          <w:lang w:eastAsia="en-GB"/>
        </w:rPr>
      </w:pPr>
    </w:p>
    <w:p w14:paraId="1728B79C" w14:textId="77777777" w:rsidR="00262A69" w:rsidRDefault="00262A69" w:rsidP="00747083">
      <w:pPr>
        <w:rPr>
          <w:lang w:eastAsia="en-GB"/>
        </w:rPr>
      </w:pPr>
    </w:p>
    <w:p w14:paraId="47835745" w14:textId="7B6BDF72" w:rsidR="00F10988" w:rsidRDefault="00F10988" w:rsidP="00747083">
      <w:pPr>
        <w:rPr>
          <w:lang w:eastAsia="en-GB"/>
        </w:rPr>
      </w:pPr>
    </w:p>
    <w:p w14:paraId="14B94AFC" w14:textId="1C3CD671" w:rsidR="00747083" w:rsidRPr="00747083" w:rsidRDefault="00747083" w:rsidP="00747083">
      <w:pPr>
        <w:rPr>
          <w:lang w:eastAsia="en-GB"/>
        </w:rPr>
      </w:pPr>
    </w:p>
    <w:p w14:paraId="6F9FCC26" w14:textId="77777777" w:rsidR="00747083" w:rsidRPr="00747083" w:rsidRDefault="00747083" w:rsidP="00747083">
      <w:pPr>
        <w:rPr>
          <w:lang w:eastAsia="en-GB"/>
        </w:rPr>
      </w:pPr>
    </w:p>
    <w:p w14:paraId="7C2824DB" w14:textId="6DB650DD" w:rsidR="00747083" w:rsidRPr="00747083" w:rsidRDefault="00747083" w:rsidP="00747083"/>
    <w:p w14:paraId="3A1A2B38" w14:textId="746EB600" w:rsidR="000E306C" w:rsidRDefault="000E306C" w:rsidP="00747083"/>
    <w:p w14:paraId="7EC384EF" w14:textId="77777777" w:rsidR="005D0E71" w:rsidRDefault="005D0E71" w:rsidP="00747083"/>
    <w:p w14:paraId="140BEEA5" w14:textId="77777777" w:rsidR="005D0E71" w:rsidRDefault="005D0E71" w:rsidP="00747083"/>
    <w:p w14:paraId="247E6B77" w14:textId="77777777" w:rsidR="005D0E71" w:rsidRDefault="005D0E71" w:rsidP="00747083"/>
    <w:p w14:paraId="5416FE38" w14:textId="77777777" w:rsidR="005D0E71" w:rsidRDefault="005D0E71" w:rsidP="00747083"/>
    <w:p w14:paraId="2380AD51" w14:textId="04F2EA63" w:rsidR="005D0E71" w:rsidRDefault="005D0E71" w:rsidP="00747083">
      <w:r>
        <w:t>Visa Inc reports its’ revenue between US and International. The International revenue has been a growing portion of Visa’s revenue and has a 56% of revenue in FY22.</w:t>
      </w:r>
      <w:r w:rsidR="00B81505">
        <w:t xml:space="preserve"> This can be seen as result of acquisitions of Tint AB and Currencycloud, in Europe and UK respectively.</w:t>
      </w:r>
    </w:p>
    <w:p w14:paraId="1DE0CE91" w14:textId="456AB8F4" w:rsidR="005D0E71" w:rsidRDefault="002D7601" w:rsidP="00747083">
      <w:r>
        <w:rPr>
          <w:noProof/>
        </w:rPr>
        <w:lastRenderedPageBreak/>
        <w:drawing>
          <wp:anchor distT="0" distB="0" distL="114300" distR="114300" simplePos="0" relativeHeight="251660288" behindDoc="0" locked="0" layoutInCell="1" allowOverlap="1" wp14:anchorId="7058E374" wp14:editId="4ACC53CB">
            <wp:simplePos x="0" y="0"/>
            <wp:positionH relativeFrom="column">
              <wp:posOffset>388620</wp:posOffset>
            </wp:positionH>
            <wp:positionV relativeFrom="paragraph">
              <wp:posOffset>162</wp:posOffset>
            </wp:positionV>
            <wp:extent cx="4425545" cy="2552700"/>
            <wp:effectExtent l="0" t="0" r="6985" b="12700"/>
            <wp:wrapSquare wrapText="bothSides"/>
            <wp:docPr id="875583062" name="Chart 1">
              <a:extLst xmlns:a="http://schemas.openxmlformats.org/drawingml/2006/main">
                <a:ext uri="{FF2B5EF4-FFF2-40B4-BE49-F238E27FC236}">
                  <a16:creationId xmlns:a16="http://schemas.microsoft.com/office/drawing/2014/main" id="{394DA61A-FD19-1FE5-2C6A-DF628BCFC1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5BAD3E8D" w14:textId="068F6036" w:rsidR="002D7601" w:rsidRPr="00747083" w:rsidRDefault="002D7601" w:rsidP="00747083"/>
    <w:p w14:paraId="1F91D701" w14:textId="78F26D8C" w:rsidR="000E306C" w:rsidRDefault="000E306C" w:rsidP="00C34BAE"/>
    <w:p w14:paraId="1115A405" w14:textId="77777777" w:rsidR="00F27E65" w:rsidRDefault="00F27E65" w:rsidP="00F27E65"/>
    <w:p w14:paraId="2D35C465" w14:textId="77777777" w:rsidR="00F27E65" w:rsidRDefault="00F27E65" w:rsidP="00F27E65"/>
    <w:p w14:paraId="06D597A5" w14:textId="77777777" w:rsidR="00F27E65" w:rsidRDefault="00F27E65" w:rsidP="00F27E65"/>
    <w:p w14:paraId="3D76B503" w14:textId="77777777" w:rsidR="00F27E65" w:rsidRDefault="00F27E65" w:rsidP="00F27E65"/>
    <w:p w14:paraId="56CC5008" w14:textId="77777777" w:rsidR="00F27E65" w:rsidRDefault="00F27E65" w:rsidP="00F27E65"/>
    <w:p w14:paraId="346F4713" w14:textId="77777777" w:rsidR="00F27E65" w:rsidRDefault="00F27E65" w:rsidP="00F27E65"/>
    <w:p w14:paraId="0E8045CE" w14:textId="77777777" w:rsidR="00F27E65" w:rsidRDefault="00F27E65" w:rsidP="00F27E65"/>
    <w:p w14:paraId="026843EE" w14:textId="77777777" w:rsidR="00F27E65" w:rsidRDefault="00F27E65" w:rsidP="00F27E65"/>
    <w:p w14:paraId="00ED4F02" w14:textId="77777777" w:rsidR="00F27E65" w:rsidRDefault="00F27E65" w:rsidP="00F27E65"/>
    <w:p w14:paraId="3B28E6ED" w14:textId="77777777" w:rsidR="00F27E65" w:rsidRDefault="00F27E65" w:rsidP="00F27E65"/>
    <w:p w14:paraId="68F27287" w14:textId="77777777" w:rsidR="00F27E65" w:rsidRDefault="00F27E65" w:rsidP="00F27E65"/>
    <w:p w14:paraId="55428CA6" w14:textId="77777777" w:rsidR="00F27E65" w:rsidRDefault="00F27E65" w:rsidP="00F27E65"/>
    <w:p w14:paraId="398EFCA2" w14:textId="382096B6" w:rsidR="00AB15D4" w:rsidRDefault="002D7601" w:rsidP="00F27E65">
      <w:pPr>
        <w:pStyle w:val="ListParagraph"/>
        <w:numPr>
          <w:ilvl w:val="0"/>
          <w:numId w:val="11"/>
        </w:numPr>
      </w:pPr>
      <w:r>
        <w:t>Main cost relates to personnel exposes, which has increased due to high number of employees, reflecting the strategy to invest in growth and acquisitions. In FY22 this was 13% of gross revenue.</w:t>
      </w:r>
    </w:p>
    <w:p w14:paraId="22C5A556" w14:textId="55C96E97" w:rsidR="002D7601" w:rsidRDefault="002D7601" w:rsidP="002D7601">
      <w:pPr>
        <w:pStyle w:val="ListParagraph"/>
        <w:numPr>
          <w:ilvl w:val="0"/>
          <w:numId w:val="3"/>
        </w:numPr>
      </w:pPr>
      <w:r>
        <w:t xml:space="preserve">The marketing expenses was 3% of revenue, and increased by 18% vs FY21 due to higher spending on </w:t>
      </w:r>
      <w:r w:rsidR="00982754">
        <w:t>World Cup, Olympics and Paralympics in 2022</w:t>
      </w:r>
    </w:p>
    <w:p w14:paraId="5DCF167B" w14:textId="77777777" w:rsidR="00982754" w:rsidRDefault="00982754" w:rsidP="00982754"/>
    <w:p w14:paraId="633229FA" w14:textId="078AC107" w:rsidR="00982754" w:rsidRPr="00982754" w:rsidRDefault="00982754" w:rsidP="00982754">
      <w:pPr>
        <w:rPr>
          <w:u w:val="single"/>
        </w:rPr>
      </w:pPr>
      <w:r w:rsidRPr="00982754">
        <w:rPr>
          <w:u w:val="single"/>
        </w:rPr>
        <w:t>Industry and Market trends</w:t>
      </w:r>
    </w:p>
    <w:p w14:paraId="5C5AB779" w14:textId="77777777" w:rsidR="00982754" w:rsidRDefault="00982754"/>
    <w:p w14:paraId="7CF7931B" w14:textId="68AEE32C" w:rsidR="00431FEC" w:rsidRDefault="00982754">
      <w:r>
        <w:t>Over the last decade, there has been a large growth and demand towards digital pay</w:t>
      </w:r>
      <w:r w:rsidR="00431FEC">
        <w:t>ments and e-commerce. This increase has led to more revenue generated from processing fees and cross-border transactions. The use of contactless payments has also enabled more revenue to be generated from value-added services.</w:t>
      </w:r>
    </w:p>
    <w:p w14:paraId="754E71F7" w14:textId="77777777" w:rsidR="00431FEC" w:rsidRDefault="00431FEC"/>
    <w:p w14:paraId="2A031253" w14:textId="77777777" w:rsidR="00431FEC" w:rsidRDefault="00431FEC">
      <w:r>
        <w:t>There has been large investment and collaboration into FinTech companies, to provide innovative payment solution and revenue growth opportunities.</w:t>
      </w:r>
    </w:p>
    <w:p w14:paraId="5F597212" w14:textId="77777777" w:rsidR="00431FEC" w:rsidRDefault="00431FEC"/>
    <w:p w14:paraId="33C82F15" w14:textId="77777777" w:rsidR="00431FEC" w:rsidRDefault="00431FEC"/>
    <w:p w14:paraId="357FCDCE" w14:textId="77777777" w:rsidR="00F27E65" w:rsidRDefault="00F27E65"/>
    <w:p w14:paraId="475F9C21" w14:textId="77777777" w:rsidR="00F27E65" w:rsidRDefault="00F27E65"/>
    <w:p w14:paraId="1A30BB1D" w14:textId="77777777" w:rsidR="00F27E65" w:rsidRDefault="00F27E65"/>
    <w:p w14:paraId="0A101478" w14:textId="77777777" w:rsidR="00F27E65" w:rsidRDefault="00F27E65"/>
    <w:p w14:paraId="34874BBB" w14:textId="77777777" w:rsidR="00F27E65" w:rsidRDefault="00F27E65"/>
    <w:p w14:paraId="1C5DCA25" w14:textId="77777777" w:rsidR="00F27E65" w:rsidRDefault="00F27E65"/>
    <w:p w14:paraId="5FCA290B" w14:textId="77777777" w:rsidR="00F27E65" w:rsidRDefault="00F27E65"/>
    <w:p w14:paraId="2338F831" w14:textId="77777777" w:rsidR="00F27E65" w:rsidRDefault="00F27E65"/>
    <w:p w14:paraId="2D778291" w14:textId="77777777" w:rsidR="00F27E65" w:rsidRDefault="00F27E65"/>
    <w:p w14:paraId="7FC5E5AE" w14:textId="77777777" w:rsidR="00F27E65" w:rsidRDefault="00F27E65"/>
    <w:p w14:paraId="0BF16F80" w14:textId="77777777" w:rsidR="00F27E65" w:rsidRDefault="00F27E65"/>
    <w:p w14:paraId="22C14035" w14:textId="77777777" w:rsidR="00F27E65" w:rsidRDefault="00F27E65"/>
    <w:p w14:paraId="3C7C57BF" w14:textId="77777777" w:rsidR="00F27E65" w:rsidRDefault="00F27E65"/>
    <w:p w14:paraId="53794C6E" w14:textId="77777777" w:rsidR="00F27E65" w:rsidRDefault="00F27E65"/>
    <w:p w14:paraId="1EE627D0" w14:textId="77777777" w:rsidR="00F27E65" w:rsidRDefault="00F27E65"/>
    <w:p w14:paraId="55B5E321" w14:textId="77777777" w:rsidR="00431FEC" w:rsidRDefault="00431FEC">
      <w:pPr>
        <w:rPr>
          <w:u w:val="single"/>
        </w:rPr>
      </w:pPr>
      <w:r w:rsidRPr="00431FEC">
        <w:rPr>
          <w:u w:val="single"/>
        </w:rPr>
        <w:lastRenderedPageBreak/>
        <w:t>SWOT Analysis</w:t>
      </w:r>
    </w:p>
    <w:p w14:paraId="0781A14D" w14:textId="77777777" w:rsidR="00431FEC" w:rsidRDefault="00431FEC">
      <w:pPr>
        <w:rPr>
          <w:u w:val="single"/>
        </w:rPr>
      </w:pPr>
    </w:p>
    <w:p w14:paraId="44CC71DF" w14:textId="77777777" w:rsidR="00431FEC" w:rsidRDefault="00431FEC">
      <w:pPr>
        <w:rPr>
          <w:u w:val="single"/>
        </w:rPr>
      </w:pPr>
    </w:p>
    <w:tbl>
      <w:tblPr>
        <w:tblStyle w:val="TableGrid"/>
        <w:tblW w:w="0" w:type="auto"/>
        <w:tblLook w:val="04A0" w:firstRow="1" w:lastRow="0" w:firstColumn="1" w:lastColumn="0" w:noHBand="0" w:noVBand="1"/>
      </w:tblPr>
      <w:tblGrid>
        <w:gridCol w:w="4505"/>
        <w:gridCol w:w="4505"/>
      </w:tblGrid>
      <w:tr w:rsidR="00431FEC" w14:paraId="55C1E322" w14:textId="77777777" w:rsidTr="00431FEC">
        <w:tc>
          <w:tcPr>
            <w:tcW w:w="4505" w:type="dxa"/>
          </w:tcPr>
          <w:p w14:paraId="48F42ECE" w14:textId="37FF0A22" w:rsidR="00431FEC" w:rsidRDefault="00431FEC">
            <w:pPr>
              <w:rPr>
                <w:u w:val="single"/>
              </w:rPr>
            </w:pPr>
            <w:r>
              <w:rPr>
                <w:u w:val="single"/>
              </w:rPr>
              <w:t>Strength</w:t>
            </w:r>
          </w:p>
        </w:tc>
        <w:tc>
          <w:tcPr>
            <w:tcW w:w="4505" w:type="dxa"/>
          </w:tcPr>
          <w:p w14:paraId="5AB46635" w14:textId="0DF35152" w:rsidR="00431FEC" w:rsidRDefault="00431FEC">
            <w:pPr>
              <w:rPr>
                <w:u w:val="single"/>
              </w:rPr>
            </w:pPr>
            <w:r>
              <w:rPr>
                <w:u w:val="single"/>
              </w:rPr>
              <w:t>Weaknesses</w:t>
            </w:r>
          </w:p>
        </w:tc>
      </w:tr>
      <w:tr w:rsidR="00431FEC" w14:paraId="3D4B343D" w14:textId="77777777" w:rsidTr="00431FEC">
        <w:trPr>
          <w:trHeight w:val="1595"/>
        </w:trPr>
        <w:tc>
          <w:tcPr>
            <w:tcW w:w="4505" w:type="dxa"/>
          </w:tcPr>
          <w:p w14:paraId="7EC12852" w14:textId="6F6A3CA0" w:rsidR="00431FEC" w:rsidRPr="00431FEC" w:rsidRDefault="00431FEC" w:rsidP="00431FEC">
            <w:pPr>
              <w:pStyle w:val="ListParagraph"/>
              <w:numPr>
                <w:ilvl w:val="0"/>
                <w:numId w:val="5"/>
              </w:numPr>
              <w:rPr>
                <w:sz w:val="22"/>
                <w:szCs w:val="22"/>
              </w:rPr>
            </w:pPr>
            <w:r w:rsidRPr="00431FEC">
              <w:rPr>
                <w:sz w:val="22"/>
                <w:szCs w:val="22"/>
              </w:rPr>
              <w:t>Leading operator for digital transactions</w:t>
            </w:r>
          </w:p>
          <w:p w14:paraId="48E1AA2E" w14:textId="75EBC141" w:rsidR="00431FEC" w:rsidRPr="00431FEC" w:rsidRDefault="00431FEC" w:rsidP="00431FEC">
            <w:pPr>
              <w:pStyle w:val="ListParagraph"/>
              <w:numPr>
                <w:ilvl w:val="0"/>
                <w:numId w:val="5"/>
              </w:numPr>
              <w:rPr>
                <w:sz w:val="22"/>
                <w:szCs w:val="22"/>
              </w:rPr>
            </w:pPr>
            <w:r w:rsidRPr="00431FEC">
              <w:rPr>
                <w:sz w:val="22"/>
                <w:szCs w:val="22"/>
              </w:rPr>
              <w:t>Engages in strategic partnerships.</w:t>
            </w:r>
          </w:p>
          <w:p w14:paraId="514482FA" w14:textId="545C7DC0" w:rsidR="00431FEC" w:rsidRPr="00431FEC" w:rsidRDefault="00431FEC" w:rsidP="00431FEC">
            <w:pPr>
              <w:pStyle w:val="ListParagraph"/>
              <w:numPr>
                <w:ilvl w:val="0"/>
                <w:numId w:val="5"/>
              </w:numPr>
              <w:rPr>
                <w:sz w:val="22"/>
                <w:szCs w:val="22"/>
              </w:rPr>
            </w:pPr>
            <w:r w:rsidRPr="00431FEC">
              <w:rPr>
                <w:sz w:val="22"/>
                <w:szCs w:val="22"/>
              </w:rPr>
              <w:t>Has global presence, with large brand recognition</w:t>
            </w:r>
            <w:r>
              <w:rPr>
                <w:sz w:val="22"/>
                <w:szCs w:val="22"/>
              </w:rPr>
              <w:t>.</w:t>
            </w:r>
          </w:p>
          <w:p w14:paraId="5E24404A" w14:textId="77777777" w:rsidR="00431FEC" w:rsidRPr="00C70E21" w:rsidRDefault="00431FEC" w:rsidP="00431FEC">
            <w:pPr>
              <w:pStyle w:val="ListParagraph"/>
              <w:numPr>
                <w:ilvl w:val="0"/>
                <w:numId w:val="5"/>
              </w:numPr>
            </w:pPr>
            <w:r w:rsidRPr="00431FEC">
              <w:rPr>
                <w:sz w:val="22"/>
                <w:szCs w:val="22"/>
              </w:rPr>
              <w:t>Caters to a diverse range of customers</w:t>
            </w:r>
            <w:r>
              <w:rPr>
                <w:sz w:val="22"/>
                <w:szCs w:val="22"/>
              </w:rPr>
              <w:t>.</w:t>
            </w:r>
          </w:p>
          <w:p w14:paraId="0A336E11" w14:textId="7FCBFD84" w:rsidR="00C70E21" w:rsidRPr="00431FEC" w:rsidRDefault="00C70E21" w:rsidP="00431FEC">
            <w:pPr>
              <w:pStyle w:val="ListParagraph"/>
              <w:numPr>
                <w:ilvl w:val="0"/>
                <w:numId w:val="5"/>
              </w:numPr>
            </w:pPr>
            <w:r>
              <w:rPr>
                <w:sz w:val="22"/>
                <w:szCs w:val="22"/>
              </w:rPr>
              <w:t>Low credit risk, with strong cash flows.</w:t>
            </w:r>
          </w:p>
        </w:tc>
        <w:tc>
          <w:tcPr>
            <w:tcW w:w="4505" w:type="dxa"/>
          </w:tcPr>
          <w:p w14:paraId="54CB47C9" w14:textId="182A435E" w:rsidR="00431FEC" w:rsidRPr="00431FEC" w:rsidRDefault="00431FEC" w:rsidP="00431FEC">
            <w:pPr>
              <w:pStyle w:val="ListParagraph"/>
              <w:numPr>
                <w:ilvl w:val="0"/>
                <w:numId w:val="5"/>
              </w:numPr>
              <w:rPr>
                <w:sz w:val="22"/>
                <w:szCs w:val="22"/>
              </w:rPr>
            </w:pPr>
            <w:r w:rsidRPr="00431FEC">
              <w:rPr>
                <w:sz w:val="22"/>
                <w:szCs w:val="22"/>
              </w:rPr>
              <w:t>Operates in a heavily regulated environment</w:t>
            </w:r>
            <w:r w:rsidR="00C70E21">
              <w:rPr>
                <w:sz w:val="22"/>
                <w:szCs w:val="22"/>
              </w:rPr>
              <w:t>.</w:t>
            </w:r>
          </w:p>
          <w:p w14:paraId="210109B0" w14:textId="28672C3D" w:rsidR="00431FEC" w:rsidRPr="00431FEC" w:rsidRDefault="00431FEC" w:rsidP="00431FEC">
            <w:pPr>
              <w:pStyle w:val="ListParagraph"/>
              <w:numPr>
                <w:ilvl w:val="0"/>
                <w:numId w:val="5"/>
              </w:numPr>
              <w:rPr>
                <w:sz w:val="22"/>
                <w:szCs w:val="22"/>
              </w:rPr>
            </w:pPr>
            <w:r w:rsidRPr="00431FEC">
              <w:rPr>
                <w:sz w:val="22"/>
                <w:szCs w:val="22"/>
              </w:rPr>
              <w:t>Relies on banks and FI’s for card issuance</w:t>
            </w:r>
            <w:r w:rsidR="00C70E21">
              <w:rPr>
                <w:sz w:val="22"/>
                <w:szCs w:val="22"/>
              </w:rPr>
              <w:t>.</w:t>
            </w:r>
          </w:p>
          <w:p w14:paraId="463B9426" w14:textId="77777777" w:rsidR="00431FEC" w:rsidRPr="00C70E21" w:rsidRDefault="00431FEC" w:rsidP="00431FEC">
            <w:pPr>
              <w:pStyle w:val="ListParagraph"/>
              <w:numPr>
                <w:ilvl w:val="0"/>
                <w:numId w:val="5"/>
              </w:numPr>
              <w:rPr>
                <w:u w:val="single"/>
              </w:rPr>
            </w:pPr>
            <w:r w:rsidRPr="00431FEC">
              <w:rPr>
                <w:sz w:val="22"/>
                <w:szCs w:val="22"/>
              </w:rPr>
              <w:t>Intense competition from emerging FinTech companies</w:t>
            </w:r>
            <w:r w:rsidR="00C70E21">
              <w:rPr>
                <w:sz w:val="22"/>
                <w:szCs w:val="22"/>
              </w:rPr>
              <w:t>.</w:t>
            </w:r>
          </w:p>
          <w:p w14:paraId="72122610" w14:textId="33B3DE7B" w:rsidR="00C70E21" w:rsidRPr="00431FEC" w:rsidRDefault="00C70E21" w:rsidP="00431FEC">
            <w:pPr>
              <w:pStyle w:val="ListParagraph"/>
              <w:numPr>
                <w:ilvl w:val="0"/>
                <w:numId w:val="5"/>
              </w:numPr>
              <w:rPr>
                <w:u w:val="single"/>
              </w:rPr>
            </w:pPr>
            <w:r w:rsidRPr="00C70E21">
              <w:rPr>
                <w:sz w:val="22"/>
                <w:szCs w:val="22"/>
              </w:rPr>
              <w:t>Reliant on contractual relationships</w:t>
            </w:r>
            <w:r>
              <w:rPr>
                <w:u w:val="single"/>
              </w:rPr>
              <w:t>.</w:t>
            </w:r>
          </w:p>
        </w:tc>
      </w:tr>
      <w:tr w:rsidR="00431FEC" w14:paraId="3F062411" w14:textId="77777777" w:rsidTr="00431FEC">
        <w:tc>
          <w:tcPr>
            <w:tcW w:w="4505" w:type="dxa"/>
          </w:tcPr>
          <w:p w14:paraId="091FEEE4" w14:textId="56C91FA0" w:rsidR="00431FEC" w:rsidRDefault="00431FEC">
            <w:pPr>
              <w:rPr>
                <w:u w:val="single"/>
              </w:rPr>
            </w:pPr>
            <w:r>
              <w:rPr>
                <w:u w:val="single"/>
              </w:rPr>
              <w:t>Opportunities</w:t>
            </w:r>
          </w:p>
        </w:tc>
        <w:tc>
          <w:tcPr>
            <w:tcW w:w="4505" w:type="dxa"/>
          </w:tcPr>
          <w:p w14:paraId="291C556E" w14:textId="2D715DB3" w:rsidR="00431FEC" w:rsidRDefault="00431FEC">
            <w:pPr>
              <w:rPr>
                <w:u w:val="single"/>
              </w:rPr>
            </w:pPr>
            <w:r>
              <w:rPr>
                <w:u w:val="single"/>
              </w:rPr>
              <w:t>Threats</w:t>
            </w:r>
          </w:p>
        </w:tc>
      </w:tr>
      <w:tr w:rsidR="00431FEC" w14:paraId="7A8D22E9" w14:textId="77777777" w:rsidTr="00431FEC">
        <w:trPr>
          <w:trHeight w:val="2387"/>
        </w:trPr>
        <w:tc>
          <w:tcPr>
            <w:tcW w:w="4505" w:type="dxa"/>
          </w:tcPr>
          <w:p w14:paraId="4C52151C" w14:textId="1918F7C1" w:rsidR="00431FEC" w:rsidRPr="00C70E21" w:rsidRDefault="00431FEC" w:rsidP="00431FEC">
            <w:pPr>
              <w:pStyle w:val="ListParagraph"/>
              <w:numPr>
                <w:ilvl w:val="0"/>
                <w:numId w:val="6"/>
              </w:numPr>
              <w:rPr>
                <w:sz w:val="22"/>
                <w:szCs w:val="22"/>
              </w:rPr>
            </w:pPr>
            <w:r w:rsidRPr="00C70E21">
              <w:rPr>
                <w:sz w:val="22"/>
                <w:szCs w:val="22"/>
              </w:rPr>
              <w:t>Expand more into emerging markets</w:t>
            </w:r>
            <w:r w:rsidR="00C70E21">
              <w:rPr>
                <w:sz w:val="22"/>
                <w:szCs w:val="22"/>
              </w:rPr>
              <w:t>.</w:t>
            </w:r>
          </w:p>
          <w:p w14:paraId="1240E07E" w14:textId="6DE5678D" w:rsidR="00431FEC" w:rsidRPr="00C70E21" w:rsidRDefault="00431FEC" w:rsidP="00431FEC">
            <w:pPr>
              <w:pStyle w:val="ListParagraph"/>
              <w:numPr>
                <w:ilvl w:val="0"/>
                <w:numId w:val="6"/>
              </w:numPr>
              <w:rPr>
                <w:sz w:val="22"/>
                <w:szCs w:val="22"/>
              </w:rPr>
            </w:pPr>
            <w:r w:rsidRPr="00C70E21">
              <w:rPr>
                <w:sz w:val="22"/>
                <w:szCs w:val="22"/>
              </w:rPr>
              <w:t>Partner up with FinTech companies</w:t>
            </w:r>
            <w:r w:rsidR="00C70E21">
              <w:rPr>
                <w:sz w:val="22"/>
                <w:szCs w:val="22"/>
              </w:rPr>
              <w:t>.</w:t>
            </w:r>
          </w:p>
          <w:p w14:paraId="7E8E43A2" w14:textId="77777777" w:rsidR="00431FEC" w:rsidRDefault="00431FEC" w:rsidP="00431FEC">
            <w:pPr>
              <w:pStyle w:val="ListParagraph"/>
              <w:numPr>
                <w:ilvl w:val="0"/>
                <w:numId w:val="6"/>
              </w:numPr>
              <w:rPr>
                <w:sz w:val="22"/>
                <w:szCs w:val="22"/>
              </w:rPr>
            </w:pPr>
            <w:r w:rsidRPr="00C70E21">
              <w:rPr>
                <w:sz w:val="22"/>
                <w:szCs w:val="22"/>
              </w:rPr>
              <w:t>Explore the Cryptocurrency and blockchain</w:t>
            </w:r>
            <w:r w:rsidR="00C70E21" w:rsidRPr="00C70E21">
              <w:rPr>
                <w:sz w:val="22"/>
                <w:szCs w:val="22"/>
              </w:rPr>
              <w:t>, which may provide security benefits</w:t>
            </w:r>
            <w:r w:rsidR="00C70E21">
              <w:rPr>
                <w:sz w:val="22"/>
                <w:szCs w:val="22"/>
              </w:rPr>
              <w:t>.</w:t>
            </w:r>
          </w:p>
          <w:p w14:paraId="69A28879" w14:textId="2597B021" w:rsidR="00C70E21" w:rsidRPr="00C70E21" w:rsidRDefault="00C70E21" w:rsidP="00431FEC">
            <w:pPr>
              <w:pStyle w:val="ListParagraph"/>
              <w:numPr>
                <w:ilvl w:val="0"/>
                <w:numId w:val="6"/>
              </w:numPr>
              <w:rPr>
                <w:sz w:val="22"/>
                <w:szCs w:val="22"/>
              </w:rPr>
            </w:pPr>
            <w:r>
              <w:rPr>
                <w:sz w:val="22"/>
                <w:szCs w:val="22"/>
              </w:rPr>
              <w:t>Large shift from cash to digital transactions.</w:t>
            </w:r>
          </w:p>
        </w:tc>
        <w:tc>
          <w:tcPr>
            <w:tcW w:w="4505" w:type="dxa"/>
          </w:tcPr>
          <w:p w14:paraId="100FBF6E" w14:textId="5F336959" w:rsidR="00431FEC" w:rsidRPr="00C70E21" w:rsidRDefault="00C70E21" w:rsidP="00C70E21">
            <w:pPr>
              <w:pStyle w:val="ListParagraph"/>
              <w:numPr>
                <w:ilvl w:val="0"/>
                <w:numId w:val="6"/>
              </w:numPr>
            </w:pPr>
            <w:r>
              <w:rPr>
                <w:sz w:val="22"/>
                <w:szCs w:val="22"/>
              </w:rPr>
              <w:t>Economic recession can lead to decreased consumer consumption.</w:t>
            </w:r>
          </w:p>
          <w:p w14:paraId="5459D4D8" w14:textId="56748A92" w:rsidR="00C70E21" w:rsidRPr="00C70E21" w:rsidRDefault="00C70E21" w:rsidP="00C70E21">
            <w:pPr>
              <w:pStyle w:val="ListParagraph"/>
              <w:numPr>
                <w:ilvl w:val="0"/>
                <w:numId w:val="6"/>
              </w:numPr>
              <w:rPr>
                <w:sz w:val="22"/>
                <w:szCs w:val="22"/>
              </w:rPr>
            </w:pPr>
            <w:r w:rsidRPr="00C70E21">
              <w:rPr>
                <w:sz w:val="22"/>
                <w:szCs w:val="22"/>
              </w:rPr>
              <w:t>Pressure from competition to lead to pricing wars, decaying profit margins.</w:t>
            </w:r>
          </w:p>
          <w:p w14:paraId="71180F53" w14:textId="4014127D" w:rsidR="00C70E21" w:rsidRPr="00C70E21" w:rsidRDefault="00C70E21" w:rsidP="00C70E21">
            <w:pPr>
              <w:pStyle w:val="ListParagraph"/>
              <w:numPr>
                <w:ilvl w:val="0"/>
                <w:numId w:val="6"/>
              </w:numPr>
              <w:rPr>
                <w:sz w:val="22"/>
                <w:szCs w:val="22"/>
              </w:rPr>
            </w:pPr>
            <w:r w:rsidRPr="00C70E21">
              <w:rPr>
                <w:sz w:val="22"/>
                <w:szCs w:val="22"/>
              </w:rPr>
              <w:t>Regulatory changes can increase compliance costs and effect operations.</w:t>
            </w:r>
          </w:p>
          <w:p w14:paraId="1B5A842B" w14:textId="5D162193" w:rsidR="00C70E21" w:rsidRPr="00431FEC" w:rsidRDefault="00C70E21" w:rsidP="00C70E21">
            <w:pPr>
              <w:pStyle w:val="ListParagraph"/>
              <w:numPr>
                <w:ilvl w:val="0"/>
                <w:numId w:val="6"/>
              </w:numPr>
            </w:pPr>
            <w:r w:rsidRPr="00C70E21">
              <w:rPr>
                <w:sz w:val="22"/>
                <w:szCs w:val="22"/>
              </w:rPr>
              <w:t>Cybersecurity threats.</w:t>
            </w:r>
          </w:p>
        </w:tc>
      </w:tr>
    </w:tbl>
    <w:p w14:paraId="13AEC34B" w14:textId="77777777" w:rsidR="00F27E65" w:rsidRDefault="00F27E65">
      <w:pPr>
        <w:rPr>
          <w:u w:val="single"/>
        </w:rPr>
      </w:pPr>
    </w:p>
    <w:p w14:paraId="1C875C4C" w14:textId="65FC1B43" w:rsidR="00C70E21" w:rsidRDefault="00F27E65">
      <w:pPr>
        <w:rPr>
          <w:u w:val="single"/>
        </w:rPr>
      </w:pPr>
      <w:r>
        <w:rPr>
          <w:u w:val="single"/>
        </w:rPr>
        <w:t>PESTLE</w:t>
      </w:r>
    </w:p>
    <w:p w14:paraId="651051C0" w14:textId="77777777" w:rsidR="00F27E65" w:rsidRDefault="00F27E65">
      <w:pPr>
        <w:rPr>
          <w:u w:val="single"/>
        </w:rPr>
      </w:pPr>
    </w:p>
    <w:tbl>
      <w:tblPr>
        <w:tblStyle w:val="TableGrid"/>
        <w:tblW w:w="0" w:type="auto"/>
        <w:tblLook w:val="04A0" w:firstRow="1" w:lastRow="0" w:firstColumn="1" w:lastColumn="0" w:noHBand="0" w:noVBand="1"/>
      </w:tblPr>
      <w:tblGrid>
        <w:gridCol w:w="4505"/>
        <w:gridCol w:w="4505"/>
      </w:tblGrid>
      <w:tr w:rsidR="00C70E21" w14:paraId="1C1C1345" w14:textId="77777777" w:rsidTr="00C70E21">
        <w:tc>
          <w:tcPr>
            <w:tcW w:w="4505" w:type="dxa"/>
          </w:tcPr>
          <w:p w14:paraId="23F3FAF1" w14:textId="3F1DD7B4" w:rsidR="00C70E21" w:rsidRDefault="00C70E21">
            <w:pPr>
              <w:rPr>
                <w:u w:val="single"/>
              </w:rPr>
            </w:pPr>
            <w:r>
              <w:rPr>
                <w:u w:val="single"/>
              </w:rPr>
              <w:t>Political</w:t>
            </w:r>
          </w:p>
        </w:tc>
        <w:tc>
          <w:tcPr>
            <w:tcW w:w="4505" w:type="dxa"/>
          </w:tcPr>
          <w:p w14:paraId="61EEAAD2" w14:textId="0C8185CE" w:rsidR="00C70E21" w:rsidRDefault="00C70E21">
            <w:pPr>
              <w:rPr>
                <w:u w:val="single"/>
              </w:rPr>
            </w:pPr>
            <w:r>
              <w:rPr>
                <w:u w:val="single"/>
              </w:rPr>
              <w:t>Economical</w:t>
            </w:r>
          </w:p>
        </w:tc>
      </w:tr>
      <w:tr w:rsidR="00C70E21" w14:paraId="5895990B" w14:textId="77777777" w:rsidTr="00F27E65">
        <w:trPr>
          <w:trHeight w:val="1516"/>
        </w:trPr>
        <w:tc>
          <w:tcPr>
            <w:tcW w:w="4505" w:type="dxa"/>
          </w:tcPr>
          <w:p w14:paraId="18BAD66C" w14:textId="0534A9A6" w:rsidR="00C70E21" w:rsidRPr="00C70E21" w:rsidRDefault="00C70E21" w:rsidP="00C70E21">
            <w:pPr>
              <w:pStyle w:val="ListParagraph"/>
              <w:numPr>
                <w:ilvl w:val="0"/>
                <w:numId w:val="7"/>
              </w:numPr>
              <w:rPr>
                <w:sz w:val="22"/>
                <w:szCs w:val="22"/>
              </w:rPr>
            </w:pPr>
            <w:r w:rsidRPr="00C70E21">
              <w:rPr>
                <w:sz w:val="22"/>
                <w:szCs w:val="22"/>
              </w:rPr>
              <w:t>Government intervention, imposing restrictions</w:t>
            </w:r>
          </w:p>
          <w:p w14:paraId="7C1BF91B" w14:textId="291F7D93" w:rsidR="00C70E21" w:rsidRPr="00C70E21" w:rsidRDefault="00C70E21" w:rsidP="00C70E21">
            <w:pPr>
              <w:pStyle w:val="ListParagraph"/>
              <w:numPr>
                <w:ilvl w:val="0"/>
                <w:numId w:val="7"/>
              </w:numPr>
            </w:pPr>
            <w:r w:rsidRPr="00C70E21">
              <w:rPr>
                <w:sz w:val="22"/>
                <w:szCs w:val="22"/>
              </w:rPr>
              <w:t>UK to leave EU</w:t>
            </w:r>
            <w:r>
              <w:rPr>
                <w:sz w:val="22"/>
                <w:szCs w:val="22"/>
              </w:rPr>
              <w:t>, affecting data privacy laws (GDPR)</w:t>
            </w:r>
          </w:p>
        </w:tc>
        <w:tc>
          <w:tcPr>
            <w:tcW w:w="4505" w:type="dxa"/>
          </w:tcPr>
          <w:p w14:paraId="6F49F2B4" w14:textId="77777777" w:rsidR="00C70E21" w:rsidRPr="00C70E21" w:rsidRDefault="00C70E21" w:rsidP="00C70E21">
            <w:pPr>
              <w:pStyle w:val="ListParagraph"/>
              <w:numPr>
                <w:ilvl w:val="0"/>
                <w:numId w:val="8"/>
              </w:numPr>
              <w:rPr>
                <w:sz w:val="22"/>
                <w:szCs w:val="22"/>
              </w:rPr>
            </w:pPr>
            <w:r w:rsidRPr="00C70E21">
              <w:rPr>
                <w:sz w:val="22"/>
                <w:szCs w:val="22"/>
              </w:rPr>
              <w:t>Recession or economic downturn can affect transaction volume.</w:t>
            </w:r>
          </w:p>
          <w:p w14:paraId="53E411C3" w14:textId="0FB85BFF" w:rsidR="00C70E21" w:rsidRDefault="00C70E21" w:rsidP="00C70E21">
            <w:pPr>
              <w:pStyle w:val="ListParagraph"/>
              <w:numPr>
                <w:ilvl w:val="0"/>
                <w:numId w:val="8"/>
              </w:numPr>
              <w:rPr>
                <w:sz w:val="22"/>
                <w:szCs w:val="22"/>
              </w:rPr>
            </w:pPr>
            <w:r w:rsidRPr="00C70E21">
              <w:rPr>
                <w:sz w:val="22"/>
                <w:szCs w:val="22"/>
              </w:rPr>
              <w:t>Currency exchange rates can impact financial results</w:t>
            </w:r>
            <w:r>
              <w:rPr>
                <w:sz w:val="22"/>
                <w:szCs w:val="22"/>
              </w:rPr>
              <w:t>.</w:t>
            </w:r>
          </w:p>
          <w:p w14:paraId="5830861B" w14:textId="2E83C20E" w:rsidR="00C70E21" w:rsidRPr="00C70E21" w:rsidRDefault="00C70E21" w:rsidP="00C70E21">
            <w:pPr>
              <w:pStyle w:val="ListParagraph"/>
              <w:numPr>
                <w:ilvl w:val="0"/>
                <w:numId w:val="8"/>
              </w:numPr>
              <w:rPr>
                <w:sz w:val="22"/>
                <w:szCs w:val="22"/>
              </w:rPr>
            </w:pPr>
            <w:r>
              <w:rPr>
                <w:sz w:val="22"/>
                <w:szCs w:val="22"/>
              </w:rPr>
              <w:t>Increase in use of digital payments.</w:t>
            </w:r>
          </w:p>
        </w:tc>
      </w:tr>
      <w:tr w:rsidR="00C70E21" w14:paraId="53BB5C84" w14:textId="77777777" w:rsidTr="00C70E21">
        <w:tc>
          <w:tcPr>
            <w:tcW w:w="4505" w:type="dxa"/>
          </w:tcPr>
          <w:p w14:paraId="7E1D0FA9" w14:textId="28818575" w:rsidR="00C70E21" w:rsidRDefault="00C70E21">
            <w:pPr>
              <w:rPr>
                <w:u w:val="single"/>
              </w:rPr>
            </w:pPr>
            <w:r>
              <w:rPr>
                <w:u w:val="single"/>
              </w:rPr>
              <w:t>Social</w:t>
            </w:r>
          </w:p>
        </w:tc>
        <w:tc>
          <w:tcPr>
            <w:tcW w:w="4505" w:type="dxa"/>
          </w:tcPr>
          <w:p w14:paraId="3BEED057" w14:textId="736DC0E7" w:rsidR="00C70E21" w:rsidRDefault="00C70E21">
            <w:pPr>
              <w:rPr>
                <w:u w:val="single"/>
              </w:rPr>
            </w:pPr>
            <w:r>
              <w:rPr>
                <w:u w:val="single"/>
              </w:rPr>
              <w:t>Technological</w:t>
            </w:r>
          </w:p>
        </w:tc>
      </w:tr>
      <w:tr w:rsidR="00C70E21" w14:paraId="78C5AEC7" w14:textId="77777777" w:rsidTr="00F27E65">
        <w:trPr>
          <w:trHeight w:val="973"/>
        </w:trPr>
        <w:tc>
          <w:tcPr>
            <w:tcW w:w="4505" w:type="dxa"/>
          </w:tcPr>
          <w:p w14:paraId="1269D98B" w14:textId="3A55FAD2" w:rsidR="00C70E21" w:rsidRPr="00F27E65" w:rsidRDefault="00C70E21" w:rsidP="00F27E65">
            <w:pPr>
              <w:pStyle w:val="ListParagraph"/>
              <w:numPr>
                <w:ilvl w:val="0"/>
                <w:numId w:val="9"/>
              </w:numPr>
              <w:rPr>
                <w:sz w:val="22"/>
                <w:szCs w:val="22"/>
              </w:rPr>
            </w:pPr>
            <w:r w:rsidRPr="00F27E65">
              <w:rPr>
                <w:sz w:val="22"/>
                <w:szCs w:val="22"/>
              </w:rPr>
              <w:t>Promoting financial inclusion</w:t>
            </w:r>
            <w:r w:rsidR="00F27E65" w:rsidRPr="00F27E65">
              <w:rPr>
                <w:sz w:val="22"/>
                <w:szCs w:val="22"/>
              </w:rPr>
              <w:t>.</w:t>
            </w:r>
          </w:p>
          <w:p w14:paraId="124229D3" w14:textId="0F840E7A" w:rsidR="00C70E21" w:rsidRPr="00F27E65" w:rsidRDefault="00C70E21" w:rsidP="00F27E65">
            <w:pPr>
              <w:pStyle w:val="ListParagraph"/>
              <w:numPr>
                <w:ilvl w:val="0"/>
                <w:numId w:val="9"/>
              </w:numPr>
              <w:rPr>
                <w:sz w:val="22"/>
                <w:szCs w:val="22"/>
              </w:rPr>
            </w:pPr>
            <w:r w:rsidRPr="00F27E65">
              <w:rPr>
                <w:sz w:val="22"/>
                <w:szCs w:val="22"/>
              </w:rPr>
              <w:t>Adjusting products for consumer preferences</w:t>
            </w:r>
            <w:r w:rsidR="00F27E65" w:rsidRPr="00F27E65">
              <w:rPr>
                <w:sz w:val="22"/>
                <w:szCs w:val="22"/>
              </w:rPr>
              <w:t>.</w:t>
            </w:r>
          </w:p>
          <w:p w14:paraId="55D915A9" w14:textId="050FAF06" w:rsidR="00C70E21" w:rsidRPr="00C70E21" w:rsidRDefault="00C70E21">
            <w:pPr>
              <w:rPr>
                <w:sz w:val="22"/>
                <w:szCs w:val="22"/>
              </w:rPr>
            </w:pPr>
          </w:p>
        </w:tc>
        <w:tc>
          <w:tcPr>
            <w:tcW w:w="4505" w:type="dxa"/>
          </w:tcPr>
          <w:p w14:paraId="22B056CA" w14:textId="3692D72F" w:rsidR="00C70E21" w:rsidRPr="00F27E65" w:rsidRDefault="00F27E65" w:rsidP="00F27E65">
            <w:pPr>
              <w:pStyle w:val="ListParagraph"/>
              <w:numPr>
                <w:ilvl w:val="0"/>
                <w:numId w:val="9"/>
              </w:numPr>
              <w:rPr>
                <w:sz w:val="22"/>
                <w:szCs w:val="22"/>
              </w:rPr>
            </w:pPr>
            <w:r w:rsidRPr="00F27E65">
              <w:rPr>
                <w:sz w:val="22"/>
                <w:szCs w:val="22"/>
              </w:rPr>
              <w:t>Advancement in technology, Blockchain and Crypto.</w:t>
            </w:r>
          </w:p>
          <w:p w14:paraId="0420C8D8" w14:textId="5700037E" w:rsidR="00F27E65" w:rsidRPr="00F27E65" w:rsidRDefault="00F27E65" w:rsidP="00F27E65">
            <w:pPr>
              <w:pStyle w:val="ListParagraph"/>
              <w:numPr>
                <w:ilvl w:val="0"/>
                <w:numId w:val="9"/>
              </w:numPr>
              <w:rPr>
                <w:sz w:val="22"/>
                <w:szCs w:val="22"/>
              </w:rPr>
            </w:pPr>
            <w:r w:rsidRPr="00F27E65">
              <w:rPr>
                <w:sz w:val="22"/>
                <w:szCs w:val="22"/>
              </w:rPr>
              <w:t>Cybersecurity threats.</w:t>
            </w:r>
          </w:p>
        </w:tc>
      </w:tr>
      <w:tr w:rsidR="00C70E21" w14:paraId="5A5D1EFC" w14:textId="77777777" w:rsidTr="00C70E21">
        <w:tc>
          <w:tcPr>
            <w:tcW w:w="4505" w:type="dxa"/>
          </w:tcPr>
          <w:p w14:paraId="52CEFDDB" w14:textId="54657873" w:rsidR="00C70E21" w:rsidRDefault="00C70E21">
            <w:pPr>
              <w:rPr>
                <w:u w:val="single"/>
              </w:rPr>
            </w:pPr>
            <w:r>
              <w:rPr>
                <w:u w:val="single"/>
              </w:rPr>
              <w:t>Legal</w:t>
            </w:r>
          </w:p>
        </w:tc>
        <w:tc>
          <w:tcPr>
            <w:tcW w:w="4505" w:type="dxa"/>
          </w:tcPr>
          <w:p w14:paraId="69ED943F" w14:textId="3B9AC36C" w:rsidR="00C70E21" w:rsidRDefault="00F27E65">
            <w:pPr>
              <w:rPr>
                <w:u w:val="single"/>
              </w:rPr>
            </w:pPr>
            <w:r>
              <w:rPr>
                <w:u w:val="single"/>
              </w:rPr>
              <w:t>Environmental</w:t>
            </w:r>
          </w:p>
        </w:tc>
      </w:tr>
      <w:tr w:rsidR="00C70E21" w14:paraId="747DD13B" w14:textId="77777777" w:rsidTr="00F27E65">
        <w:trPr>
          <w:trHeight w:val="1264"/>
        </w:trPr>
        <w:tc>
          <w:tcPr>
            <w:tcW w:w="4505" w:type="dxa"/>
          </w:tcPr>
          <w:p w14:paraId="0D9BBA73" w14:textId="77777777" w:rsidR="00C70E21" w:rsidRDefault="00F27E65" w:rsidP="00F27E65">
            <w:pPr>
              <w:pStyle w:val="ListParagraph"/>
              <w:numPr>
                <w:ilvl w:val="0"/>
                <w:numId w:val="10"/>
              </w:numPr>
              <w:rPr>
                <w:sz w:val="22"/>
                <w:szCs w:val="22"/>
              </w:rPr>
            </w:pPr>
            <w:r>
              <w:rPr>
                <w:sz w:val="22"/>
                <w:szCs w:val="22"/>
              </w:rPr>
              <w:t>Antitrust and competition law compliance</w:t>
            </w:r>
          </w:p>
          <w:p w14:paraId="417A8B2E" w14:textId="09EE5F9F" w:rsidR="00F27E65" w:rsidRPr="00F27E65" w:rsidRDefault="00F27E65" w:rsidP="00F27E65">
            <w:pPr>
              <w:pStyle w:val="ListParagraph"/>
              <w:numPr>
                <w:ilvl w:val="0"/>
                <w:numId w:val="10"/>
              </w:numPr>
              <w:rPr>
                <w:sz w:val="22"/>
                <w:szCs w:val="22"/>
              </w:rPr>
            </w:pPr>
            <w:r>
              <w:rPr>
                <w:sz w:val="22"/>
                <w:szCs w:val="22"/>
              </w:rPr>
              <w:t>Anti-Money laundering, Anti-terrorist financing</w:t>
            </w:r>
          </w:p>
        </w:tc>
        <w:tc>
          <w:tcPr>
            <w:tcW w:w="4505" w:type="dxa"/>
          </w:tcPr>
          <w:p w14:paraId="36A5C9B0" w14:textId="77777777" w:rsidR="00C70E21" w:rsidRDefault="00F27E65" w:rsidP="00F27E65">
            <w:pPr>
              <w:pStyle w:val="ListParagraph"/>
              <w:numPr>
                <w:ilvl w:val="0"/>
                <w:numId w:val="10"/>
              </w:numPr>
              <w:rPr>
                <w:sz w:val="22"/>
                <w:szCs w:val="22"/>
              </w:rPr>
            </w:pPr>
            <w:r>
              <w:rPr>
                <w:sz w:val="22"/>
                <w:szCs w:val="22"/>
              </w:rPr>
              <w:t>Minimizing environmental footprint</w:t>
            </w:r>
          </w:p>
          <w:p w14:paraId="64543703" w14:textId="77777777" w:rsidR="00F27E65" w:rsidRDefault="00F27E65" w:rsidP="00F27E65">
            <w:pPr>
              <w:pStyle w:val="ListParagraph"/>
              <w:numPr>
                <w:ilvl w:val="0"/>
                <w:numId w:val="10"/>
              </w:numPr>
              <w:rPr>
                <w:sz w:val="22"/>
                <w:szCs w:val="22"/>
              </w:rPr>
            </w:pPr>
            <w:r>
              <w:rPr>
                <w:sz w:val="22"/>
                <w:szCs w:val="22"/>
              </w:rPr>
              <w:t>Promoting awareness to ESG and sustainability</w:t>
            </w:r>
          </w:p>
          <w:p w14:paraId="153A3131" w14:textId="7F9FB5EF" w:rsidR="00F27E65" w:rsidRPr="00F27E65" w:rsidRDefault="00F27E65" w:rsidP="00F27E65">
            <w:pPr>
              <w:pStyle w:val="ListParagraph"/>
              <w:rPr>
                <w:sz w:val="22"/>
                <w:szCs w:val="22"/>
              </w:rPr>
            </w:pPr>
          </w:p>
        </w:tc>
      </w:tr>
    </w:tbl>
    <w:p w14:paraId="6FEEA12B" w14:textId="77777777" w:rsidR="00C70E21" w:rsidRDefault="00C70E21">
      <w:pPr>
        <w:rPr>
          <w:u w:val="single"/>
        </w:rPr>
      </w:pPr>
    </w:p>
    <w:p w14:paraId="680F38B4" w14:textId="77777777" w:rsidR="00F27E65" w:rsidRDefault="00F27E65">
      <w:pPr>
        <w:rPr>
          <w:u w:val="single"/>
        </w:rPr>
      </w:pPr>
    </w:p>
    <w:p w14:paraId="1C9A0C0B" w14:textId="77777777" w:rsidR="00F27E65" w:rsidRDefault="00F27E65">
      <w:pPr>
        <w:rPr>
          <w:u w:val="single"/>
        </w:rPr>
      </w:pPr>
    </w:p>
    <w:p w14:paraId="384027C1" w14:textId="77777777" w:rsidR="00F27E65" w:rsidRDefault="00F27E65">
      <w:pPr>
        <w:rPr>
          <w:u w:val="single"/>
        </w:rPr>
      </w:pPr>
    </w:p>
    <w:p w14:paraId="51B3A3F3" w14:textId="77777777" w:rsidR="00F27E65" w:rsidRDefault="00F27E65">
      <w:pPr>
        <w:rPr>
          <w:u w:val="single"/>
        </w:rPr>
      </w:pPr>
    </w:p>
    <w:p w14:paraId="76BD207B" w14:textId="77777777" w:rsidR="00F27E65" w:rsidRDefault="00F27E65">
      <w:pPr>
        <w:rPr>
          <w:u w:val="single"/>
        </w:rPr>
      </w:pPr>
    </w:p>
    <w:p w14:paraId="2E2642EF" w14:textId="77777777" w:rsidR="00F27E65" w:rsidRDefault="00F27E65">
      <w:pPr>
        <w:rPr>
          <w:u w:val="single"/>
        </w:rPr>
      </w:pPr>
    </w:p>
    <w:p w14:paraId="4246F698" w14:textId="77777777" w:rsidR="00F27E65" w:rsidRPr="00431FEC" w:rsidRDefault="00F27E65">
      <w:pPr>
        <w:rPr>
          <w:u w:val="single"/>
        </w:rPr>
      </w:pPr>
    </w:p>
    <w:p w14:paraId="430ADB12" w14:textId="404FA004" w:rsidR="000E306C" w:rsidRDefault="00AB15D4" w:rsidP="00C34BAE">
      <w:hyperlink r:id="rId8" w:history="1">
        <w:r w:rsidRPr="00BF4215">
          <w:rPr>
            <w:rStyle w:val="Hyperlink"/>
          </w:rPr>
          <w:t>https://annualreport.visa.com/financials/default.aspx</w:t>
        </w:r>
      </w:hyperlink>
    </w:p>
    <w:p w14:paraId="27E83192" w14:textId="77777777" w:rsidR="00AB15D4" w:rsidRDefault="00AB15D4" w:rsidP="00C34BAE"/>
    <w:p w14:paraId="13E86A7C" w14:textId="5084A43A" w:rsidR="00AB15D4" w:rsidRDefault="00AB15D4" w:rsidP="00C34BAE">
      <w:hyperlink r:id="rId9" w:history="1">
        <w:r w:rsidRPr="00BF4215">
          <w:rPr>
            <w:rStyle w:val="Hyperlink"/>
          </w:rPr>
          <w:t>https://www.visa.co.uk/about-visa.html</w:t>
        </w:r>
      </w:hyperlink>
    </w:p>
    <w:p w14:paraId="4ECC0203" w14:textId="77777777" w:rsidR="00AB15D4" w:rsidRDefault="00AB15D4" w:rsidP="00C34BAE"/>
    <w:p w14:paraId="243673A6" w14:textId="23A7B319" w:rsidR="00AB15D4" w:rsidRDefault="00AB15D4" w:rsidP="00C34BAE">
      <w:hyperlink r:id="rId10" w:history="1">
        <w:r w:rsidRPr="00BF4215">
          <w:rPr>
            <w:rStyle w:val="Hyperlink"/>
          </w:rPr>
          <w:t>https://s29.q4cdn.com/385744025/files/doc_downloads/2022/Visa-Inc-Fiscal-2022-Annual-Report.pdf</w:t>
        </w:r>
      </w:hyperlink>
    </w:p>
    <w:p w14:paraId="457BA82C" w14:textId="77777777" w:rsidR="00AB15D4" w:rsidRDefault="00AB15D4" w:rsidP="00C34BAE"/>
    <w:p w14:paraId="4018C3BC" w14:textId="2FC8A782" w:rsidR="00AB15D4" w:rsidRDefault="00AB15D4" w:rsidP="00C34BAE">
      <w:hyperlink r:id="rId11" w:history="1">
        <w:r w:rsidRPr="00BF4215">
          <w:rPr>
            <w:rStyle w:val="Hyperlink"/>
          </w:rPr>
          <w:t>https://www.globaldata.com/company-profile/visa-inc/competitors/</w:t>
        </w:r>
      </w:hyperlink>
    </w:p>
    <w:p w14:paraId="0F6FD199" w14:textId="77777777" w:rsidR="00AB15D4" w:rsidRDefault="00AB15D4" w:rsidP="00C34BAE"/>
    <w:p w14:paraId="011D568E" w14:textId="02A7E4D6" w:rsidR="00AB15D4" w:rsidRDefault="00AB15D4" w:rsidP="00C34BAE">
      <w:hyperlink r:id="rId12" w:history="1">
        <w:r w:rsidRPr="00BF4215">
          <w:rPr>
            <w:rStyle w:val="Hyperlink"/>
          </w:rPr>
          <w:t>https://www.investopedia.com/how-visa-makes-money-4799098</w:t>
        </w:r>
      </w:hyperlink>
    </w:p>
    <w:p w14:paraId="3F86C5AD" w14:textId="77777777" w:rsidR="00AB15D4" w:rsidRDefault="00AB15D4" w:rsidP="00C34BAE"/>
    <w:p w14:paraId="6BD6B3C7" w14:textId="3682DEB2" w:rsidR="00B81505" w:rsidRDefault="00B81505" w:rsidP="00C34BAE">
      <w:hyperlink r:id="rId13" w:history="1">
        <w:r w:rsidRPr="00BF4215">
          <w:rPr>
            <w:rStyle w:val="Hyperlink"/>
          </w:rPr>
          <w:t>https://www.hivelr.com/2023/02/visa-inc-v-porters-five-forces-industry-and-competition-analysis/</w:t>
        </w:r>
      </w:hyperlink>
    </w:p>
    <w:p w14:paraId="1A290AB4" w14:textId="77777777" w:rsidR="00B81505" w:rsidRDefault="00B81505" w:rsidP="00C34BAE"/>
    <w:p w14:paraId="5F546D15" w14:textId="20980CBC" w:rsidR="00B81505" w:rsidRDefault="002D6CA6" w:rsidP="00C34BAE">
      <w:hyperlink r:id="rId14" w:history="1">
        <w:r w:rsidRPr="00BF4215">
          <w:rPr>
            <w:rStyle w:val="Hyperlink"/>
          </w:rPr>
          <w:t>https://help.globalfy.com/hc/en-us/articles/11089096323483-In-which-countries-does-my-Visa-Debit-Card-do-not-work-</w:t>
        </w:r>
      </w:hyperlink>
    </w:p>
    <w:p w14:paraId="33B26AB5" w14:textId="77777777" w:rsidR="002D6CA6" w:rsidRDefault="002D6CA6" w:rsidP="00C34BAE"/>
    <w:p w14:paraId="7BA235F6" w14:textId="02459C5F" w:rsidR="002D6CA6" w:rsidRDefault="00E171A0" w:rsidP="00C34BAE">
      <w:hyperlink r:id="rId15" w:history="1">
        <w:r w:rsidRPr="00BF4215">
          <w:rPr>
            <w:rStyle w:val="Hyperlink"/>
          </w:rPr>
          <w:t>https://s25.q4cdn.com/479285134/files/doc_financials/2022/AR/MA.12.31.2022-10-K-as-filed.pdf</w:t>
        </w:r>
      </w:hyperlink>
    </w:p>
    <w:p w14:paraId="65B32CFB" w14:textId="77777777" w:rsidR="00E171A0" w:rsidRPr="00C34BAE" w:rsidRDefault="00E171A0" w:rsidP="00C34BAE"/>
    <w:sectPr w:rsidR="00E171A0" w:rsidRPr="00C34BAE" w:rsidSect="00847B5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2625"/>
    <w:multiLevelType w:val="hybridMultilevel"/>
    <w:tmpl w:val="8E84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A68D4"/>
    <w:multiLevelType w:val="hybridMultilevel"/>
    <w:tmpl w:val="C55CC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B027A"/>
    <w:multiLevelType w:val="hybridMultilevel"/>
    <w:tmpl w:val="4F24A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7250B"/>
    <w:multiLevelType w:val="hybridMultilevel"/>
    <w:tmpl w:val="7B223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45961"/>
    <w:multiLevelType w:val="hybridMultilevel"/>
    <w:tmpl w:val="30D8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0916A5"/>
    <w:multiLevelType w:val="hybridMultilevel"/>
    <w:tmpl w:val="E8D49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F0889"/>
    <w:multiLevelType w:val="hybridMultilevel"/>
    <w:tmpl w:val="45462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AA2B6F"/>
    <w:multiLevelType w:val="hybridMultilevel"/>
    <w:tmpl w:val="E5B4B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B2229A"/>
    <w:multiLevelType w:val="hybridMultilevel"/>
    <w:tmpl w:val="2708E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CE5E20"/>
    <w:multiLevelType w:val="hybridMultilevel"/>
    <w:tmpl w:val="2196F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E519BE"/>
    <w:multiLevelType w:val="hybridMultilevel"/>
    <w:tmpl w:val="648E1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828007">
    <w:abstractNumId w:val="7"/>
  </w:num>
  <w:num w:numId="2" w16cid:durableId="912930565">
    <w:abstractNumId w:val="2"/>
  </w:num>
  <w:num w:numId="3" w16cid:durableId="1376469038">
    <w:abstractNumId w:val="8"/>
  </w:num>
  <w:num w:numId="4" w16cid:durableId="327056930">
    <w:abstractNumId w:val="5"/>
  </w:num>
  <w:num w:numId="5" w16cid:durableId="1543790193">
    <w:abstractNumId w:val="9"/>
  </w:num>
  <w:num w:numId="6" w16cid:durableId="651329454">
    <w:abstractNumId w:val="0"/>
  </w:num>
  <w:num w:numId="7" w16cid:durableId="2129816657">
    <w:abstractNumId w:val="6"/>
  </w:num>
  <w:num w:numId="8" w16cid:durableId="2140340967">
    <w:abstractNumId w:val="3"/>
  </w:num>
  <w:num w:numId="9" w16cid:durableId="516044337">
    <w:abstractNumId w:val="4"/>
  </w:num>
  <w:num w:numId="10" w16cid:durableId="1858277122">
    <w:abstractNumId w:val="10"/>
  </w:num>
  <w:num w:numId="11" w16cid:durableId="634800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F4"/>
    <w:rsid w:val="000E306C"/>
    <w:rsid w:val="001B0772"/>
    <w:rsid w:val="00262A69"/>
    <w:rsid w:val="002D6CA6"/>
    <w:rsid w:val="002D7601"/>
    <w:rsid w:val="002E20A3"/>
    <w:rsid w:val="00314E5E"/>
    <w:rsid w:val="003B09F4"/>
    <w:rsid w:val="00431FEC"/>
    <w:rsid w:val="0045536A"/>
    <w:rsid w:val="005201B5"/>
    <w:rsid w:val="005D0E71"/>
    <w:rsid w:val="00601052"/>
    <w:rsid w:val="0061579A"/>
    <w:rsid w:val="00723C51"/>
    <w:rsid w:val="00747083"/>
    <w:rsid w:val="00847B5E"/>
    <w:rsid w:val="008E09C5"/>
    <w:rsid w:val="00982754"/>
    <w:rsid w:val="00A22D4A"/>
    <w:rsid w:val="00AB15D4"/>
    <w:rsid w:val="00B72C99"/>
    <w:rsid w:val="00B81505"/>
    <w:rsid w:val="00B903ED"/>
    <w:rsid w:val="00C17E6E"/>
    <w:rsid w:val="00C34BAE"/>
    <w:rsid w:val="00C70E21"/>
    <w:rsid w:val="00D9281F"/>
    <w:rsid w:val="00E171A0"/>
    <w:rsid w:val="00F10988"/>
    <w:rsid w:val="00F27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2123C"/>
  <w15:chartTrackingRefBased/>
  <w15:docId w15:val="{3FCE9E1D-34F0-6543-BB1D-763F2C47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708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AB15D4"/>
    <w:rPr>
      <w:color w:val="0563C1" w:themeColor="hyperlink"/>
      <w:u w:val="single"/>
    </w:rPr>
  </w:style>
  <w:style w:type="character" w:styleId="UnresolvedMention">
    <w:name w:val="Unresolved Mention"/>
    <w:basedOn w:val="DefaultParagraphFont"/>
    <w:uiPriority w:val="99"/>
    <w:semiHidden/>
    <w:unhideWhenUsed/>
    <w:rsid w:val="00AB15D4"/>
    <w:rPr>
      <w:color w:val="605E5C"/>
      <w:shd w:val="clear" w:color="auto" w:fill="E1DFDD"/>
    </w:rPr>
  </w:style>
  <w:style w:type="paragraph" w:styleId="ListParagraph">
    <w:name w:val="List Paragraph"/>
    <w:basedOn w:val="Normal"/>
    <w:uiPriority w:val="34"/>
    <w:qFormat/>
    <w:rsid w:val="00262A69"/>
    <w:pPr>
      <w:ind w:left="720"/>
      <w:contextualSpacing/>
    </w:pPr>
  </w:style>
  <w:style w:type="table" w:styleId="TableGrid">
    <w:name w:val="Table Grid"/>
    <w:basedOn w:val="TableNormal"/>
    <w:uiPriority w:val="39"/>
    <w:rsid w:val="00431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11751">
      <w:bodyDiv w:val="1"/>
      <w:marLeft w:val="0"/>
      <w:marRight w:val="0"/>
      <w:marTop w:val="0"/>
      <w:marBottom w:val="0"/>
      <w:divBdr>
        <w:top w:val="none" w:sz="0" w:space="0" w:color="auto"/>
        <w:left w:val="none" w:sz="0" w:space="0" w:color="auto"/>
        <w:bottom w:val="none" w:sz="0" w:space="0" w:color="auto"/>
        <w:right w:val="none" w:sz="0" w:space="0" w:color="auto"/>
      </w:divBdr>
      <w:divsChild>
        <w:div w:id="1533374509">
          <w:marLeft w:val="0"/>
          <w:marRight w:val="0"/>
          <w:marTop w:val="0"/>
          <w:marBottom w:val="0"/>
          <w:divBdr>
            <w:top w:val="single" w:sz="2" w:space="0" w:color="auto"/>
            <w:left w:val="single" w:sz="2" w:space="0" w:color="auto"/>
            <w:bottom w:val="single" w:sz="6" w:space="0" w:color="auto"/>
            <w:right w:val="single" w:sz="2" w:space="0" w:color="auto"/>
          </w:divBdr>
          <w:divsChild>
            <w:div w:id="786699768">
              <w:marLeft w:val="0"/>
              <w:marRight w:val="0"/>
              <w:marTop w:val="100"/>
              <w:marBottom w:val="100"/>
              <w:divBdr>
                <w:top w:val="single" w:sz="2" w:space="0" w:color="D9D9E3"/>
                <w:left w:val="single" w:sz="2" w:space="0" w:color="D9D9E3"/>
                <w:bottom w:val="single" w:sz="2" w:space="0" w:color="D9D9E3"/>
                <w:right w:val="single" w:sz="2" w:space="0" w:color="D9D9E3"/>
              </w:divBdr>
              <w:divsChild>
                <w:div w:id="618610990">
                  <w:marLeft w:val="0"/>
                  <w:marRight w:val="0"/>
                  <w:marTop w:val="0"/>
                  <w:marBottom w:val="0"/>
                  <w:divBdr>
                    <w:top w:val="single" w:sz="2" w:space="0" w:color="D9D9E3"/>
                    <w:left w:val="single" w:sz="2" w:space="0" w:color="D9D9E3"/>
                    <w:bottom w:val="single" w:sz="2" w:space="0" w:color="D9D9E3"/>
                    <w:right w:val="single" w:sz="2" w:space="0" w:color="D9D9E3"/>
                  </w:divBdr>
                  <w:divsChild>
                    <w:div w:id="1290042778">
                      <w:marLeft w:val="0"/>
                      <w:marRight w:val="0"/>
                      <w:marTop w:val="0"/>
                      <w:marBottom w:val="0"/>
                      <w:divBdr>
                        <w:top w:val="single" w:sz="2" w:space="0" w:color="D9D9E3"/>
                        <w:left w:val="single" w:sz="2" w:space="0" w:color="D9D9E3"/>
                        <w:bottom w:val="single" w:sz="2" w:space="0" w:color="D9D9E3"/>
                        <w:right w:val="single" w:sz="2" w:space="0" w:color="D9D9E3"/>
                      </w:divBdr>
                      <w:divsChild>
                        <w:div w:id="937644190">
                          <w:marLeft w:val="0"/>
                          <w:marRight w:val="0"/>
                          <w:marTop w:val="0"/>
                          <w:marBottom w:val="0"/>
                          <w:divBdr>
                            <w:top w:val="single" w:sz="2" w:space="0" w:color="D9D9E3"/>
                            <w:left w:val="single" w:sz="2" w:space="0" w:color="D9D9E3"/>
                            <w:bottom w:val="single" w:sz="2" w:space="0" w:color="D9D9E3"/>
                            <w:right w:val="single" w:sz="2" w:space="0" w:color="D9D9E3"/>
                          </w:divBdr>
                          <w:divsChild>
                            <w:div w:id="1718311543">
                              <w:marLeft w:val="0"/>
                              <w:marRight w:val="0"/>
                              <w:marTop w:val="0"/>
                              <w:marBottom w:val="0"/>
                              <w:divBdr>
                                <w:top w:val="single" w:sz="2" w:space="0" w:color="D9D9E3"/>
                                <w:left w:val="single" w:sz="2" w:space="0" w:color="D9D9E3"/>
                                <w:bottom w:val="single" w:sz="2" w:space="0" w:color="D9D9E3"/>
                                <w:right w:val="single" w:sz="2" w:space="0" w:color="D9D9E3"/>
                              </w:divBdr>
                              <w:divsChild>
                                <w:div w:id="1992440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nualreport.visa.com/financials/default.aspx" TargetMode="External"/><Relationship Id="rId13" Type="http://schemas.openxmlformats.org/officeDocument/2006/relationships/hyperlink" Target="https://www.hivelr.com/2023/02/visa-inc-v-porters-five-forces-industry-and-competition-analysis/" TargetMode="Externa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hyperlink" Target="https://www.investopedia.com/how-visa-makes-money-479909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s://www.globaldata.com/company-profile/visa-inc/competitors/" TargetMode="External"/><Relationship Id="rId5" Type="http://schemas.openxmlformats.org/officeDocument/2006/relationships/chart" Target="charts/chart1.xml"/><Relationship Id="rId15" Type="http://schemas.openxmlformats.org/officeDocument/2006/relationships/hyperlink" Target="https://s25.q4cdn.com/479285134/files/doc_financials/2022/AR/MA.12.31.2022-10-K-as-filed.pdf" TargetMode="External"/><Relationship Id="rId10" Type="http://schemas.openxmlformats.org/officeDocument/2006/relationships/hyperlink" Target="https://s29.q4cdn.com/385744025/files/doc_downloads/2022/Visa-Inc-Fiscal-2022-Annual-Report.pdf" TargetMode="External"/><Relationship Id="rId4" Type="http://schemas.openxmlformats.org/officeDocument/2006/relationships/webSettings" Target="webSettings.xml"/><Relationship Id="rId9" Type="http://schemas.openxmlformats.org/officeDocument/2006/relationships/hyperlink" Target="https://www.visa.co.uk/about-visa.html" TargetMode="External"/><Relationship Id="rId14" Type="http://schemas.openxmlformats.org/officeDocument/2006/relationships/hyperlink" Target="https://help.globalfy.com/hc/en-us/articles/11089096323483-In-which-countries-does-my-Visa-Debit-Card-do-not-wor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Users/tausifbhuiyan/Documents/Quill%20Capital/Task%205%20Market%20Research%20Re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tausifbhuiyan/Documents/Quill%20Capital/Task%205%20Market%20Research%20Repo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tausifbhuiyan/Documents/Quill%20Capital/Task%205%20Market%20Research%20Repor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GB" sz="1050"/>
              <a:t>Revenue</a:t>
            </a:r>
            <a:r>
              <a:rPr lang="en-GB" sz="1050" baseline="0"/>
              <a:t> Drivers as % of Net Revenue</a:t>
            </a:r>
            <a:endParaRPr lang="en-GB" sz="1050"/>
          </a:p>
        </c:rich>
      </c:tx>
      <c:layout>
        <c:manualLayout>
          <c:xMode val="edge"/>
          <c:yMode val="edge"/>
          <c:x val="0.2421527779558327"/>
          <c:y val="1.7336030049118753E-2"/>
        </c:manualLayout>
      </c:layout>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2792678196200046E-2"/>
          <c:y val="0.10737873310476467"/>
          <c:w val="0.8625331716309802"/>
          <c:h val="0.67009170805397389"/>
        </c:manualLayout>
      </c:layout>
      <c:barChart>
        <c:barDir val="col"/>
        <c:grouping val="percentStacked"/>
        <c:varyColors val="0"/>
        <c:ser>
          <c:idx val="0"/>
          <c:order val="0"/>
          <c:tx>
            <c:strRef>
              <c:f>Sheet1!$B$12</c:f>
              <c:strCache>
                <c:ptCount val="1"/>
                <c:pt idx="0">
                  <c:v>Service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Sheet1!$C$11:$E$11</c:f>
              <c:numCache>
                <c:formatCode>General</c:formatCode>
                <c:ptCount val="3"/>
                <c:pt idx="0">
                  <c:v>2022</c:v>
                </c:pt>
                <c:pt idx="1">
                  <c:v>2021</c:v>
                </c:pt>
                <c:pt idx="2">
                  <c:v>2020</c:v>
                </c:pt>
              </c:numCache>
            </c:numRef>
          </c:cat>
          <c:val>
            <c:numRef>
              <c:f>Sheet1!$C$12:$E$12</c:f>
              <c:numCache>
                <c:formatCode>0.00%</c:formatCode>
                <c:ptCount val="3"/>
                <c:pt idx="0">
                  <c:v>0.33735639439464715</c:v>
                </c:pt>
                <c:pt idx="1">
                  <c:v>0.35338137472283815</c:v>
                </c:pt>
                <c:pt idx="2">
                  <c:v>0.34387934058225184</c:v>
                </c:pt>
              </c:numCache>
            </c:numRef>
          </c:val>
          <c:extLst>
            <c:ext xmlns:c16="http://schemas.microsoft.com/office/drawing/2014/chart" uri="{C3380CC4-5D6E-409C-BE32-E72D297353CC}">
              <c16:uniqueId val="{00000000-3A01-7E47-A248-0A1A5A8B9173}"/>
            </c:ext>
          </c:extLst>
        </c:ser>
        <c:ser>
          <c:idx val="1"/>
          <c:order val="1"/>
          <c:tx>
            <c:strRef>
              <c:f>Sheet1!$B$13</c:f>
              <c:strCache>
                <c:ptCount val="1"/>
                <c:pt idx="0">
                  <c:v>Data Processing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Sheet1!$C$11:$E$11</c:f>
              <c:numCache>
                <c:formatCode>General</c:formatCode>
                <c:ptCount val="3"/>
                <c:pt idx="0">
                  <c:v>2022</c:v>
                </c:pt>
                <c:pt idx="1">
                  <c:v>2021</c:v>
                </c:pt>
                <c:pt idx="2">
                  <c:v>2020</c:v>
                </c:pt>
              </c:numCache>
            </c:numRef>
          </c:cat>
          <c:val>
            <c:numRef>
              <c:f>Sheet1!$C$13:$E$13</c:f>
              <c:numCache>
                <c:formatCode>0.00%</c:formatCode>
                <c:ptCount val="3"/>
                <c:pt idx="0">
                  <c:v>0.36454993056432267</c:v>
                </c:pt>
                <c:pt idx="1">
                  <c:v>0.39393939393939392</c:v>
                </c:pt>
                <c:pt idx="2">
                  <c:v>0.3849526481936163</c:v>
                </c:pt>
              </c:numCache>
            </c:numRef>
          </c:val>
          <c:extLst>
            <c:ext xmlns:c16="http://schemas.microsoft.com/office/drawing/2014/chart" uri="{C3380CC4-5D6E-409C-BE32-E72D297353CC}">
              <c16:uniqueId val="{00000001-3A01-7E47-A248-0A1A5A8B9173}"/>
            </c:ext>
          </c:extLst>
        </c:ser>
        <c:ser>
          <c:idx val="2"/>
          <c:order val="2"/>
          <c:tx>
            <c:strRef>
              <c:f>Sheet1!$B$14</c:f>
              <c:strCache>
                <c:ptCount val="1"/>
                <c:pt idx="0">
                  <c:v>International Transaction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Sheet1!$C$14:$E$14</c:f>
              <c:numCache>
                <c:formatCode>0.00%</c:formatCode>
                <c:ptCount val="3"/>
                <c:pt idx="0">
                  <c:v>0.24782224466607752</c:v>
                </c:pt>
                <c:pt idx="1">
                  <c:v>0.20109632914510964</c:v>
                </c:pt>
                <c:pt idx="2">
                  <c:v>0.22094002104524729</c:v>
                </c:pt>
              </c:numCache>
            </c:numRef>
          </c:val>
          <c:extLst>
            <c:ext xmlns:c16="http://schemas.microsoft.com/office/drawing/2014/chart" uri="{C3380CC4-5D6E-409C-BE32-E72D297353CC}">
              <c16:uniqueId val="{00000002-3A01-7E47-A248-0A1A5A8B9173}"/>
            </c:ext>
          </c:extLst>
        </c:ser>
        <c:ser>
          <c:idx val="3"/>
          <c:order val="3"/>
          <c:tx>
            <c:strRef>
              <c:f>Sheet1!$B$15</c:f>
              <c:strCache>
                <c:ptCount val="1"/>
                <c:pt idx="0">
                  <c:v>Other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Sheet1!$C$15:$E$15</c:f>
              <c:numCache>
                <c:formatCode>0.00%</c:formatCode>
                <c:ptCount val="3"/>
                <c:pt idx="0">
                  <c:v>5.0271430374952658E-2</c:v>
                </c:pt>
                <c:pt idx="1">
                  <c:v>5.1582902192658292E-2</c:v>
                </c:pt>
                <c:pt idx="2">
                  <c:v>5.0227990178884602E-2</c:v>
                </c:pt>
              </c:numCache>
            </c:numRef>
          </c:val>
          <c:extLst>
            <c:ext xmlns:c16="http://schemas.microsoft.com/office/drawing/2014/chart" uri="{C3380CC4-5D6E-409C-BE32-E72D297353CC}">
              <c16:uniqueId val="{00000003-3A01-7E47-A248-0A1A5A8B9173}"/>
            </c:ext>
          </c:extLst>
        </c:ser>
        <c:ser>
          <c:idx val="4"/>
          <c:order val="4"/>
          <c:tx>
            <c:strRef>
              <c:f>Sheet1!$B$16</c:f>
              <c:strCache>
                <c:ptCount val="1"/>
                <c:pt idx="0">
                  <c:v>Client Incentives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Sheet1!$C$16:$E$16</c:f>
            </c:numRef>
          </c:val>
          <c:extLst>
            <c:ext xmlns:c16="http://schemas.microsoft.com/office/drawing/2014/chart" uri="{C3380CC4-5D6E-409C-BE32-E72D297353CC}">
              <c16:uniqueId val="{00000004-3A01-7E47-A248-0A1A5A8B9173}"/>
            </c:ext>
          </c:extLst>
        </c:ser>
        <c:dLbls>
          <c:dLblPos val="ctr"/>
          <c:showLegendKey val="0"/>
          <c:showVal val="1"/>
          <c:showCatName val="0"/>
          <c:showSerName val="0"/>
          <c:showPercent val="0"/>
          <c:showBubbleSize val="0"/>
        </c:dLbls>
        <c:gapWidth val="150"/>
        <c:overlap val="100"/>
        <c:axId val="712925647"/>
        <c:axId val="711239519"/>
      </c:barChart>
      <c:catAx>
        <c:axId val="712925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1239519"/>
        <c:crosses val="autoZero"/>
        <c:auto val="1"/>
        <c:lblAlgn val="ctr"/>
        <c:lblOffset val="100"/>
        <c:noMultiLvlLbl val="0"/>
      </c:catAx>
      <c:valAx>
        <c:axId val="71123951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925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US</a:t>
            </a:r>
            <a:r>
              <a:rPr lang="en-GB" baseline="0"/>
              <a:t> vs Interntional % of Revenue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Sheet1!$B$27</c:f>
              <c:strCache>
                <c:ptCount val="1"/>
                <c:pt idx="0">
                  <c:v>U.S</c:v>
                </c:pt>
              </c:strCache>
            </c:strRef>
          </c:tx>
          <c:spPr>
            <a:solidFill>
              <a:schemeClr val="accent1"/>
            </a:solidFill>
            <a:ln>
              <a:noFill/>
            </a:ln>
            <a:effectLst/>
          </c:spPr>
          <c:invertIfNegative val="0"/>
          <c:cat>
            <c:numRef>
              <c:f>Sheet1!$C$26:$E$26</c:f>
              <c:numCache>
                <c:formatCode>General</c:formatCode>
                <c:ptCount val="3"/>
                <c:pt idx="0">
                  <c:v>2022</c:v>
                </c:pt>
                <c:pt idx="1">
                  <c:v>2021</c:v>
                </c:pt>
                <c:pt idx="2">
                  <c:v>2020</c:v>
                </c:pt>
              </c:numCache>
            </c:numRef>
          </c:cat>
          <c:val>
            <c:numRef>
              <c:f>Sheet1!$C$27:$E$27</c:f>
              <c:numCache>
                <c:formatCode>0.00%</c:formatCode>
                <c:ptCount val="3"/>
                <c:pt idx="0">
                  <c:v>0.43845104060047763</c:v>
                </c:pt>
                <c:pt idx="1">
                  <c:v>0.46297448662103297</c:v>
                </c:pt>
                <c:pt idx="2">
                  <c:v>0.46347157374347708</c:v>
                </c:pt>
              </c:numCache>
            </c:numRef>
          </c:val>
          <c:extLst>
            <c:ext xmlns:c16="http://schemas.microsoft.com/office/drawing/2014/chart" uri="{C3380CC4-5D6E-409C-BE32-E72D297353CC}">
              <c16:uniqueId val="{00000000-2FD1-4B49-B820-0BB883675B5A}"/>
            </c:ext>
          </c:extLst>
        </c:ser>
        <c:ser>
          <c:idx val="1"/>
          <c:order val="1"/>
          <c:tx>
            <c:strRef>
              <c:f>Sheet1!$B$28</c:f>
              <c:strCache>
                <c:ptCount val="1"/>
                <c:pt idx="0">
                  <c:v>International</c:v>
                </c:pt>
              </c:strCache>
            </c:strRef>
          </c:tx>
          <c:spPr>
            <a:solidFill>
              <a:schemeClr val="accent2"/>
            </a:solidFill>
            <a:ln>
              <a:noFill/>
            </a:ln>
            <a:effectLst/>
          </c:spPr>
          <c:invertIfNegative val="0"/>
          <c:cat>
            <c:numRef>
              <c:f>Sheet1!$C$26:$E$26</c:f>
              <c:numCache>
                <c:formatCode>General</c:formatCode>
                <c:ptCount val="3"/>
                <c:pt idx="0">
                  <c:v>2022</c:v>
                </c:pt>
                <c:pt idx="1">
                  <c:v>2021</c:v>
                </c:pt>
                <c:pt idx="2">
                  <c:v>2020</c:v>
                </c:pt>
              </c:numCache>
            </c:numRef>
          </c:cat>
          <c:val>
            <c:numRef>
              <c:f>Sheet1!$C$28:$E$28</c:f>
              <c:numCache>
                <c:formatCode>0.00%</c:formatCode>
                <c:ptCount val="3"/>
                <c:pt idx="0">
                  <c:v>0.56154895939952232</c:v>
                </c:pt>
                <c:pt idx="1">
                  <c:v>0.53702551337896698</c:v>
                </c:pt>
                <c:pt idx="2">
                  <c:v>0.53652842625652297</c:v>
                </c:pt>
              </c:numCache>
            </c:numRef>
          </c:val>
          <c:extLst>
            <c:ext xmlns:c16="http://schemas.microsoft.com/office/drawing/2014/chart" uri="{C3380CC4-5D6E-409C-BE32-E72D297353CC}">
              <c16:uniqueId val="{00000001-2FD1-4B49-B820-0BB883675B5A}"/>
            </c:ext>
          </c:extLst>
        </c:ser>
        <c:dLbls>
          <c:showLegendKey val="0"/>
          <c:showVal val="0"/>
          <c:showCatName val="0"/>
          <c:showSerName val="0"/>
          <c:showPercent val="0"/>
          <c:showBubbleSize val="0"/>
        </c:dLbls>
        <c:gapWidth val="219"/>
        <c:overlap val="-27"/>
        <c:axId val="705514655"/>
        <c:axId val="651705071"/>
      </c:barChart>
      <c:catAx>
        <c:axId val="7055146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1705071"/>
        <c:crosses val="autoZero"/>
        <c:auto val="1"/>
        <c:lblAlgn val="ctr"/>
        <c:lblOffset val="100"/>
        <c:noMultiLvlLbl val="0"/>
      </c:catAx>
      <c:valAx>
        <c:axId val="65170507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55146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Expenses as % of Gross</a:t>
            </a:r>
            <a:r>
              <a:rPr lang="en-GB" baseline="0"/>
              <a:t> Revenue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498381452318462"/>
          <c:y val="0.12980099502487563"/>
          <c:w val="0.85057174103237099"/>
          <c:h val="0.68450934304853683"/>
        </c:manualLayout>
      </c:layout>
      <c:barChart>
        <c:barDir val="col"/>
        <c:grouping val="clustered"/>
        <c:varyColors val="0"/>
        <c:ser>
          <c:idx val="0"/>
          <c:order val="0"/>
          <c:tx>
            <c:strRef>
              <c:f>Sheet1!$G$34</c:f>
              <c:strCache>
                <c:ptCount val="1"/>
                <c:pt idx="0">
                  <c:v>Personnel</c:v>
                </c:pt>
              </c:strCache>
            </c:strRef>
          </c:tx>
          <c:spPr>
            <a:solidFill>
              <a:schemeClr val="accent1"/>
            </a:solidFill>
            <a:ln>
              <a:noFill/>
            </a:ln>
            <a:effectLst/>
          </c:spPr>
          <c:invertIfNegative val="0"/>
          <c:cat>
            <c:numRef>
              <c:f>Sheet1!$H$33:$J$33</c:f>
              <c:numCache>
                <c:formatCode>General</c:formatCode>
                <c:ptCount val="3"/>
                <c:pt idx="0">
                  <c:v>2022</c:v>
                </c:pt>
                <c:pt idx="1">
                  <c:v>2021</c:v>
                </c:pt>
                <c:pt idx="2">
                  <c:v>2020</c:v>
                </c:pt>
              </c:numCache>
            </c:numRef>
          </c:cat>
          <c:val>
            <c:numRef>
              <c:f>Sheet1!$H$34:$J$34</c:f>
              <c:numCache>
                <c:formatCode>0.00%</c:formatCode>
                <c:ptCount val="3"/>
                <c:pt idx="0">
                  <c:v>0.12599419265244288</c:v>
                </c:pt>
                <c:pt idx="1">
                  <c:v>0.13057403301305739</c:v>
                </c:pt>
                <c:pt idx="2">
                  <c:v>0.1327604349351105</c:v>
                </c:pt>
              </c:numCache>
            </c:numRef>
          </c:val>
          <c:extLst>
            <c:ext xmlns:c16="http://schemas.microsoft.com/office/drawing/2014/chart" uri="{C3380CC4-5D6E-409C-BE32-E72D297353CC}">
              <c16:uniqueId val="{00000000-B28D-914A-8AFC-48B9AAB9935C}"/>
            </c:ext>
          </c:extLst>
        </c:ser>
        <c:ser>
          <c:idx val="1"/>
          <c:order val="1"/>
          <c:tx>
            <c:strRef>
              <c:f>Sheet1!$G$35</c:f>
              <c:strCache>
                <c:ptCount val="1"/>
                <c:pt idx="0">
                  <c:v>Marketing</c:v>
                </c:pt>
              </c:strCache>
            </c:strRef>
          </c:tx>
          <c:spPr>
            <a:solidFill>
              <a:schemeClr val="accent2"/>
            </a:solidFill>
            <a:ln>
              <a:noFill/>
            </a:ln>
            <a:effectLst/>
          </c:spPr>
          <c:invertIfNegative val="0"/>
          <c:val>
            <c:numRef>
              <c:f>Sheet1!$H$35:$J$35</c:f>
              <c:numCache>
                <c:formatCode>0.00%</c:formatCode>
                <c:ptCount val="3"/>
                <c:pt idx="0">
                  <c:v>3.3733114505744226E-2</c:v>
                </c:pt>
                <c:pt idx="1">
                  <c:v>3.49839862034984E-2</c:v>
                </c:pt>
                <c:pt idx="2">
                  <c:v>3.4058225184145911E-2</c:v>
                </c:pt>
              </c:numCache>
            </c:numRef>
          </c:val>
          <c:extLst>
            <c:ext xmlns:c16="http://schemas.microsoft.com/office/drawing/2014/chart" uri="{C3380CC4-5D6E-409C-BE32-E72D297353CC}">
              <c16:uniqueId val="{00000001-B28D-914A-8AFC-48B9AAB9935C}"/>
            </c:ext>
          </c:extLst>
        </c:ser>
        <c:ser>
          <c:idx val="2"/>
          <c:order val="2"/>
          <c:tx>
            <c:strRef>
              <c:f>Sheet1!$G$36</c:f>
              <c:strCache>
                <c:ptCount val="1"/>
                <c:pt idx="0">
                  <c:v>Networking and processing</c:v>
                </c:pt>
              </c:strCache>
            </c:strRef>
          </c:tx>
          <c:spPr>
            <a:solidFill>
              <a:schemeClr val="accent3"/>
            </a:solidFill>
            <a:ln>
              <a:noFill/>
            </a:ln>
            <a:effectLst/>
          </c:spPr>
          <c:invertIfNegative val="0"/>
          <c:val>
            <c:numRef>
              <c:f>Sheet1!$H$36:$J$36</c:f>
              <c:numCache>
                <c:formatCode>0.00%</c:formatCode>
                <c:ptCount val="3"/>
                <c:pt idx="0">
                  <c:v>1.8760257543239491E-2</c:v>
                </c:pt>
                <c:pt idx="1">
                  <c:v>2.2480906627248092E-2</c:v>
                </c:pt>
                <c:pt idx="2">
                  <c:v>2.5499824622939319E-2</c:v>
                </c:pt>
              </c:numCache>
            </c:numRef>
          </c:val>
          <c:extLst>
            <c:ext xmlns:c16="http://schemas.microsoft.com/office/drawing/2014/chart" uri="{C3380CC4-5D6E-409C-BE32-E72D297353CC}">
              <c16:uniqueId val="{00000002-B28D-914A-8AFC-48B9AAB9935C}"/>
            </c:ext>
          </c:extLst>
        </c:ser>
        <c:ser>
          <c:idx val="3"/>
          <c:order val="3"/>
          <c:tx>
            <c:strRef>
              <c:f>Sheet1!$G$37</c:f>
              <c:strCache>
                <c:ptCount val="1"/>
                <c:pt idx="0">
                  <c:v>Professional fees</c:v>
                </c:pt>
              </c:strCache>
            </c:strRef>
          </c:tx>
          <c:spPr>
            <a:solidFill>
              <a:schemeClr val="accent4"/>
            </a:solidFill>
            <a:ln>
              <a:noFill/>
            </a:ln>
            <a:effectLst/>
          </c:spPr>
          <c:invertIfNegative val="0"/>
          <c:val>
            <c:numRef>
              <c:f>Sheet1!$H$37:$J$37</c:f>
              <c:numCache>
                <c:formatCode>0.00%</c:formatCode>
                <c:ptCount val="3"/>
                <c:pt idx="0">
                  <c:v>1.2750915288473677E-2</c:v>
                </c:pt>
                <c:pt idx="1">
                  <c:v>1.2410692288741068E-2</c:v>
                </c:pt>
                <c:pt idx="2">
                  <c:v>1.4310768151525781E-2</c:v>
                </c:pt>
              </c:numCache>
            </c:numRef>
          </c:val>
          <c:extLst>
            <c:ext xmlns:c16="http://schemas.microsoft.com/office/drawing/2014/chart" uri="{C3380CC4-5D6E-409C-BE32-E72D297353CC}">
              <c16:uniqueId val="{00000003-B28D-914A-8AFC-48B9AAB9935C}"/>
            </c:ext>
          </c:extLst>
        </c:ser>
        <c:ser>
          <c:idx val="4"/>
          <c:order val="4"/>
          <c:tx>
            <c:strRef>
              <c:f>Sheet1!$G$38</c:f>
              <c:strCache>
                <c:ptCount val="1"/>
                <c:pt idx="0">
                  <c:v>D&amp;A</c:v>
                </c:pt>
              </c:strCache>
            </c:strRef>
          </c:tx>
          <c:spPr>
            <a:solidFill>
              <a:schemeClr val="accent5"/>
            </a:solidFill>
            <a:ln>
              <a:noFill/>
            </a:ln>
            <a:effectLst/>
          </c:spPr>
          <c:invertIfNegative val="0"/>
          <c:val>
            <c:numRef>
              <c:f>Sheet1!$H$38:$J$38</c:f>
              <c:numCache>
                <c:formatCode>0.00%</c:formatCode>
                <c:ptCount val="3"/>
                <c:pt idx="0">
                  <c:v>2.1739679333417496E-2</c:v>
                </c:pt>
                <c:pt idx="1">
                  <c:v>2.4759793052475981E-2</c:v>
                </c:pt>
                <c:pt idx="2">
                  <c:v>2.6902841108383025E-2</c:v>
                </c:pt>
              </c:numCache>
            </c:numRef>
          </c:val>
          <c:extLst>
            <c:ext xmlns:c16="http://schemas.microsoft.com/office/drawing/2014/chart" uri="{C3380CC4-5D6E-409C-BE32-E72D297353CC}">
              <c16:uniqueId val="{00000004-B28D-914A-8AFC-48B9AAB9935C}"/>
            </c:ext>
          </c:extLst>
        </c:ser>
        <c:ser>
          <c:idx val="5"/>
          <c:order val="5"/>
          <c:tx>
            <c:strRef>
              <c:f>Sheet1!$G$39</c:f>
              <c:strCache>
                <c:ptCount val="1"/>
                <c:pt idx="0">
                  <c:v>G&amp;A</c:v>
                </c:pt>
              </c:strCache>
            </c:strRef>
          </c:tx>
          <c:spPr>
            <a:solidFill>
              <a:schemeClr val="accent6"/>
            </a:solidFill>
            <a:ln>
              <a:noFill/>
            </a:ln>
            <a:effectLst/>
          </c:spPr>
          <c:invertIfNegative val="0"/>
          <c:val>
            <c:numRef>
              <c:f>Sheet1!$H$39:$J$39</c:f>
              <c:numCache>
                <c:formatCode>0.00%</c:formatCode>
                <c:ptCount val="3"/>
                <c:pt idx="0">
                  <c:v>3.0147708622648657E-2</c:v>
                </c:pt>
                <c:pt idx="1">
                  <c:v>3.0333826065533382E-2</c:v>
                </c:pt>
                <c:pt idx="2">
                  <c:v>3.8442651701157488E-2</c:v>
                </c:pt>
              </c:numCache>
            </c:numRef>
          </c:val>
          <c:extLst>
            <c:ext xmlns:c16="http://schemas.microsoft.com/office/drawing/2014/chart" uri="{C3380CC4-5D6E-409C-BE32-E72D297353CC}">
              <c16:uniqueId val="{00000005-B28D-914A-8AFC-48B9AAB9935C}"/>
            </c:ext>
          </c:extLst>
        </c:ser>
        <c:dLbls>
          <c:showLegendKey val="0"/>
          <c:showVal val="0"/>
          <c:showCatName val="0"/>
          <c:showSerName val="0"/>
          <c:showPercent val="0"/>
          <c:showBubbleSize val="0"/>
        </c:dLbls>
        <c:gapWidth val="75"/>
        <c:overlap val="-25"/>
        <c:axId val="614431439"/>
        <c:axId val="267724367"/>
      </c:barChart>
      <c:catAx>
        <c:axId val="614431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724367"/>
        <c:crosses val="autoZero"/>
        <c:auto val="1"/>
        <c:lblAlgn val="ctr"/>
        <c:lblOffset val="100"/>
        <c:noMultiLvlLbl val="0"/>
      </c:catAx>
      <c:valAx>
        <c:axId val="26772436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4431439"/>
        <c:crosses val="autoZero"/>
        <c:crossBetween val="between"/>
      </c:valAx>
      <c:spPr>
        <a:noFill/>
        <a:ln>
          <a:noFill/>
        </a:ln>
        <a:effectLst/>
      </c:spPr>
    </c:plotArea>
    <c:legend>
      <c:legendPos val="b"/>
      <c:layout>
        <c:manualLayout>
          <c:xMode val="edge"/>
          <c:yMode val="edge"/>
          <c:x val="0"/>
          <c:y val="0.87997336153876293"/>
          <c:w val="1"/>
          <c:h val="0.120026638461237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1076</Words>
  <Characters>6500</Characters>
  <Application>Microsoft Office Word</Application>
  <DocSecurity>0</DocSecurity>
  <Lines>116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Tausif Bhuiyan</dc:creator>
  <cp:keywords/>
  <dc:description/>
  <cp:lastModifiedBy>Tausif Bhuiyan</cp:lastModifiedBy>
  <cp:revision>9</cp:revision>
  <dcterms:created xsi:type="dcterms:W3CDTF">2023-09-29T10:21:00Z</dcterms:created>
  <dcterms:modified xsi:type="dcterms:W3CDTF">2023-09-29T15:09:00Z</dcterms:modified>
</cp:coreProperties>
</file>