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BD470" w14:textId="7E27D2EF" w:rsidR="00601052" w:rsidRDefault="003B09F4" w:rsidP="003B09F4">
      <w:pPr>
        <w:jc w:val="center"/>
        <w:rPr>
          <w:b/>
          <w:bCs/>
          <w:u w:val="single"/>
        </w:rPr>
      </w:pPr>
      <w:r w:rsidRPr="00C34BAE">
        <w:rPr>
          <w:b/>
          <w:bCs/>
          <w:u w:val="single"/>
        </w:rPr>
        <w:t>Visa Inc.</w:t>
      </w:r>
    </w:p>
    <w:p w14:paraId="3E1BEDB2" w14:textId="77777777" w:rsidR="00C34BAE" w:rsidRDefault="00C34BAE" w:rsidP="003B09F4">
      <w:pPr>
        <w:jc w:val="center"/>
        <w:rPr>
          <w:b/>
          <w:bCs/>
          <w:u w:val="single"/>
        </w:rPr>
      </w:pPr>
    </w:p>
    <w:p w14:paraId="0D2BB3AF" w14:textId="3E4FA53B" w:rsidR="00C34BAE" w:rsidRDefault="00C34BAE" w:rsidP="00C34BAE">
      <w:r>
        <w:t>Visa is a global leader, that operates in the financial services industry. They offer secure payment technology to connect consumers, business, banks and governments, allowing them to use digital currencies over cash and cheques.</w:t>
      </w:r>
      <w:r w:rsidR="00747083">
        <w:t xml:space="preserve"> This industry is driven by </w:t>
      </w:r>
      <w:r w:rsidR="00747083" w:rsidRPr="00747083">
        <w:t xml:space="preserve">technological and payment systems innovation. </w:t>
      </w:r>
      <w:r w:rsidR="00747083" w:rsidRPr="00605097">
        <w:rPr>
          <w:highlight w:val="cyan"/>
        </w:rPr>
        <w:t>Vis’s strategy is based on accelerating the revenue growth in consumer payments, new flows and value-added </w:t>
      </w:r>
      <w:commentRangeStart w:id="0"/>
      <w:r w:rsidR="00747083" w:rsidRPr="00605097">
        <w:rPr>
          <w:highlight w:val="cyan"/>
        </w:rPr>
        <w:t>services</w:t>
      </w:r>
      <w:commentRangeEnd w:id="0"/>
      <w:r w:rsidR="00605097">
        <w:rPr>
          <w:rStyle w:val="CommentReference"/>
        </w:rPr>
        <w:commentReference w:id="0"/>
      </w:r>
      <w:r w:rsidR="00747083" w:rsidRPr="00605097">
        <w:rPr>
          <w:highlight w:val="cyan"/>
        </w:rPr>
        <w:t>.</w:t>
      </w:r>
    </w:p>
    <w:p w14:paraId="1845DDFB" w14:textId="77777777" w:rsidR="00747083" w:rsidRDefault="00747083" w:rsidP="00C34BAE"/>
    <w:p w14:paraId="29319EA4" w14:textId="75AA31E6" w:rsidR="00747083" w:rsidRDefault="00747083" w:rsidP="00747083">
      <w:pPr>
        <w:rPr>
          <w:lang w:eastAsia="en-GB"/>
        </w:rPr>
      </w:pPr>
      <w:r w:rsidRPr="00747083">
        <w:rPr>
          <w:lang w:eastAsia="en-GB"/>
        </w:rPr>
        <w:t>Mastercard</w:t>
      </w:r>
      <w:r w:rsidR="00B72C99">
        <w:rPr>
          <w:lang w:eastAsia="en-GB"/>
        </w:rPr>
        <w:t xml:space="preserve"> (MA)</w:t>
      </w:r>
      <w:r w:rsidRPr="00747083">
        <w:rPr>
          <w:lang w:eastAsia="en-GB"/>
        </w:rPr>
        <w:t xml:space="preserve"> and American Express</w:t>
      </w:r>
      <w:r w:rsidR="00B72C99">
        <w:rPr>
          <w:lang w:eastAsia="en-GB"/>
        </w:rPr>
        <w:t xml:space="preserve"> (AXP)</w:t>
      </w:r>
      <w:r w:rsidRPr="00747083">
        <w:rPr>
          <w:lang w:eastAsia="en-GB"/>
        </w:rPr>
        <w:t xml:space="preserve"> are two prominent peers of Visa Inc. within the competitive landscape of the global financial services industry. Like Visa, both companies operate in the payment technology sector, providing a range of credit card and payment processing services. </w:t>
      </w:r>
      <w:r w:rsidR="00B72C99" w:rsidRPr="00605097">
        <w:rPr>
          <w:highlight w:val="cyan"/>
          <w:lang w:eastAsia="en-GB"/>
        </w:rPr>
        <w:t>MA</w:t>
      </w:r>
      <w:r w:rsidRPr="00605097">
        <w:rPr>
          <w:highlight w:val="cyan"/>
          <w:lang w:eastAsia="en-GB"/>
        </w:rPr>
        <w:t xml:space="preserve">, with its extensive network, competes head-to-head with Visa in facilitating secure and efficient electronic transactions worldwide. </w:t>
      </w:r>
      <w:r w:rsidR="00B72C99" w:rsidRPr="00605097">
        <w:rPr>
          <w:highlight w:val="cyan"/>
          <w:lang w:eastAsia="en-GB"/>
        </w:rPr>
        <w:t>AXP</w:t>
      </w:r>
      <w:r w:rsidRPr="00605097">
        <w:rPr>
          <w:highlight w:val="cyan"/>
          <w:lang w:eastAsia="en-GB"/>
        </w:rPr>
        <w:t xml:space="preserve">, on the other hand, offers premium card services and operates its own payment network. Together, these three compete for market share and innovation in an industry that continues to evolve rapidly in response to changing consumer preferences and emerging </w:t>
      </w:r>
      <w:commentRangeStart w:id="1"/>
      <w:r w:rsidRPr="00605097">
        <w:rPr>
          <w:highlight w:val="cyan"/>
          <w:lang w:eastAsia="en-GB"/>
        </w:rPr>
        <w:t>technologies</w:t>
      </w:r>
      <w:commentRangeEnd w:id="1"/>
      <w:r w:rsidR="00605097">
        <w:rPr>
          <w:rStyle w:val="CommentReference"/>
        </w:rPr>
        <w:commentReference w:id="1"/>
      </w:r>
      <w:r w:rsidRPr="00605097">
        <w:rPr>
          <w:highlight w:val="cyan"/>
          <w:lang w:eastAsia="en-GB"/>
        </w:rPr>
        <w:t>.</w:t>
      </w:r>
    </w:p>
    <w:p w14:paraId="7E898B38" w14:textId="77777777" w:rsidR="00F27E65" w:rsidRPr="00F27E65" w:rsidRDefault="00F27E65" w:rsidP="00F27E65"/>
    <w:p w14:paraId="376AFA0E" w14:textId="5878F37C" w:rsidR="00F27E65" w:rsidRPr="00F27E65" w:rsidRDefault="00F27E65" w:rsidP="00F27E65">
      <w:r w:rsidRPr="00F27E65">
        <w:t>Mastercard, Visa's primary competitor, has consistently exhibited strong financial performance. It focuses on diversifying its portfolio with a wide range of payment services and strategic acquisitions. Mastercard's emphasis on digital payments and partnerships with fintech companies has contributed to its growth.</w:t>
      </w:r>
    </w:p>
    <w:p w14:paraId="4121E999" w14:textId="5E9CAC60" w:rsidR="00B81505" w:rsidRDefault="00B81505" w:rsidP="00747083">
      <w:pPr>
        <w:rPr>
          <w:lang w:eastAsia="en-GB"/>
        </w:rPr>
      </w:pPr>
    </w:p>
    <w:p w14:paraId="4CA12202" w14:textId="6B8DDB08" w:rsidR="00B81505" w:rsidRDefault="002D6CA6" w:rsidP="002D6CA6">
      <w:r w:rsidRPr="002D6CA6">
        <w:t xml:space="preserve">Visa Inc. continues to experience significant growth, yet there remain untapped market opportunities that </w:t>
      </w:r>
      <w:r>
        <w:t>should be</w:t>
      </w:r>
      <w:r w:rsidRPr="002D6CA6">
        <w:t xml:space="preserve"> explor</w:t>
      </w:r>
      <w:r>
        <w:t>ed</w:t>
      </w:r>
      <w:r w:rsidRPr="002D6CA6">
        <w:t xml:space="preserve">. The realm of payment options is vast, encompassing conventional methods like cash, checks, and wire transfers, as well as an array of electronic payment solutions. The ever-advancing landscape of technology </w:t>
      </w:r>
      <w:r>
        <w:t>developed</w:t>
      </w:r>
      <w:r w:rsidRPr="002D6CA6">
        <w:t xml:space="preserve"> alternative</w:t>
      </w:r>
      <w:r>
        <w:t xml:space="preserve"> </w:t>
      </w:r>
      <w:r w:rsidRPr="002D6CA6">
        <w:t>payment</w:t>
      </w:r>
      <w:r>
        <w:t xml:space="preserve"> methods</w:t>
      </w:r>
      <w:r w:rsidRPr="002D6CA6">
        <w:t>, including cryptocurrencies and blockchain-based systems. These emerging options have the potential to challenge Visa's traditional payment solutions, serving as viable substitute for those seeking innovative and decentralized means of conducting financial transactions.</w:t>
      </w:r>
    </w:p>
    <w:p w14:paraId="1A77398B" w14:textId="77777777" w:rsidR="002D6CA6" w:rsidRDefault="002D6CA6" w:rsidP="002D6CA6"/>
    <w:p w14:paraId="4570FEBD" w14:textId="6D90CE7A" w:rsidR="002D6CA6" w:rsidRDefault="002D6CA6" w:rsidP="002D6CA6">
      <w:r>
        <w:t xml:space="preserve">Although Visa operates in over 200 countries, places like UAE, Venezuela and </w:t>
      </w:r>
      <w:r w:rsidR="0061579A">
        <w:t>Libya are yet to be operated in, and provide markets that they may invest within. This potential will help contribute to maintaining market share</w:t>
      </w:r>
      <w:r w:rsidR="00A22D4A">
        <w:t xml:space="preserve">. </w:t>
      </w:r>
      <w:r w:rsidR="00A22D4A" w:rsidRPr="00605097">
        <w:rPr>
          <w:highlight w:val="cyan"/>
        </w:rPr>
        <w:t xml:space="preserve">Real-time Payment (RTP) Networks have been developed in multiple markets and gives rise to opportunity for Visa to partner with for value added </w:t>
      </w:r>
      <w:commentRangeStart w:id="2"/>
      <w:r w:rsidR="00A22D4A" w:rsidRPr="00605097">
        <w:rPr>
          <w:highlight w:val="cyan"/>
        </w:rPr>
        <w:t>services</w:t>
      </w:r>
      <w:commentRangeEnd w:id="2"/>
      <w:r w:rsidR="00605097">
        <w:rPr>
          <w:rStyle w:val="CommentReference"/>
        </w:rPr>
        <w:commentReference w:id="2"/>
      </w:r>
      <w:r w:rsidR="00A22D4A" w:rsidRPr="00605097">
        <w:rPr>
          <w:highlight w:val="cyan"/>
        </w:rPr>
        <w:t>.</w:t>
      </w:r>
    </w:p>
    <w:p w14:paraId="4EEC88B8" w14:textId="16B2838B" w:rsidR="00A22D4A" w:rsidRPr="002D6CA6" w:rsidRDefault="00A22D4A" w:rsidP="002D6CA6">
      <w:r>
        <w:rPr>
          <w:noProof/>
          <w:lang w:val="en-US"/>
        </w:rPr>
        <w:lastRenderedPageBreak/>
        <w:drawing>
          <wp:anchor distT="0" distB="0" distL="114300" distR="114300" simplePos="0" relativeHeight="251659264" behindDoc="0" locked="0" layoutInCell="1" allowOverlap="1" wp14:anchorId="6EC9AB09" wp14:editId="14FFB272">
            <wp:simplePos x="0" y="0"/>
            <wp:positionH relativeFrom="column">
              <wp:posOffset>933463</wp:posOffset>
            </wp:positionH>
            <wp:positionV relativeFrom="paragraph">
              <wp:posOffset>176489</wp:posOffset>
            </wp:positionV>
            <wp:extent cx="3900170" cy="2197735"/>
            <wp:effectExtent l="0" t="0" r="11430" b="12065"/>
            <wp:wrapSquare wrapText="bothSides"/>
            <wp:docPr id="68301974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F3CE5F3-65BB-3BCA-4964-F9862BA55D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5F1FE3E2" w14:textId="77777777" w:rsidR="00B81505" w:rsidRPr="002D6CA6" w:rsidRDefault="00B81505" w:rsidP="002D6CA6"/>
    <w:p w14:paraId="050D0188" w14:textId="04F5F3EA" w:rsidR="00B81505" w:rsidRDefault="00B81505" w:rsidP="00747083">
      <w:pPr>
        <w:rPr>
          <w:lang w:eastAsia="en-GB"/>
        </w:rPr>
      </w:pPr>
    </w:p>
    <w:p w14:paraId="3111E646" w14:textId="2C801F90" w:rsidR="00B81505" w:rsidRDefault="00B81505" w:rsidP="00747083">
      <w:pPr>
        <w:rPr>
          <w:lang w:eastAsia="en-GB"/>
        </w:rPr>
      </w:pPr>
    </w:p>
    <w:p w14:paraId="3D4C884C" w14:textId="107FECF7" w:rsidR="00B81505" w:rsidRDefault="00B81505" w:rsidP="00747083">
      <w:pPr>
        <w:rPr>
          <w:lang w:eastAsia="en-GB"/>
        </w:rPr>
      </w:pPr>
    </w:p>
    <w:p w14:paraId="2384D4F4" w14:textId="77777777" w:rsidR="00B81505" w:rsidRDefault="00B81505" w:rsidP="00747083">
      <w:pPr>
        <w:rPr>
          <w:lang w:eastAsia="en-GB"/>
        </w:rPr>
      </w:pPr>
    </w:p>
    <w:p w14:paraId="2C11F763" w14:textId="6163F921" w:rsidR="005201B5" w:rsidRDefault="005201B5" w:rsidP="00747083">
      <w:pPr>
        <w:rPr>
          <w:lang w:eastAsia="en-GB"/>
        </w:rPr>
      </w:pPr>
    </w:p>
    <w:p w14:paraId="225813D8" w14:textId="77777777" w:rsidR="00B81505" w:rsidRDefault="00B81505" w:rsidP="00747083">
      <w:pPr>
        <w:rPr>
          <w:lang w:eastAsia="en-GB"/>
        </w:rPr>
      </w:pPr>
    </w:p>
    <w:p w14:paraId="58DC0433" w14:textId="77777777" w:rsidR="00B81505" w:rsidRDefault="00B81505" w:rsidP="00747083">
      <w:pPr>
        <w:rPr>
          <w:lang w:eastAsia="en-GB"/>
        </w:rPr>
      </w:pPr>
    </w:p>
    <w:p w14:paraId="2F7A6937" w14:textId="77777777" w:rsidR="00B81505" w:rsidRDefault="00B81505" w:rsidP="00747083">
      <w:pPr>
        <w:rPr>
          <w:lang w:eastAsia="en-GB"/>
        </w:rPr>
      </w:pPr>
    </w:p>
    <w:p w14:paraId="0C9CC71C" w14:textId="41AEF57A" w:rsidR="00B81505" w:rsidRDefault="00B81505" w:rsidP="00747083">
      <w:pPr>
        <w:rPr>
          <w:lang w:eastAsia="en-GB"/>
        </w:rPr>
      </w:pPr>
    </w:p>
    <w:p w14:paraId="10306EA7" w14:textId="691B5A65" w:rsidR="00B81505" w:rsidRDefault="00B81505" w:rsidP="00747083">
      <w:pPr>
        <w:rPr>
          <w:lang w:eastAsia="en-GB"/>
        </w:rPr>
      </w:pPr>
    </w:p>
    <w:p w14:paraId="1D962AF9" w14:textId="77777777" w:rsidR="00B81505" w:rsidRDefault="00B81505" w:rsidP="00747083">
      <w:pPr>
        <w:rPr>
          <w:lang w:eastAsia="en-GB"/>
        </w:rPr>
      </w:pPr>
    </w:p>
    <w:p w14:paraId="4712D9F7" w14:textId="77777777" w:rsidR="00A22D4A" w:rsidRDefault="00A22D4A" w:rsidP="00747083">
      <w:pPr>
        <w:rPr>
          <w:lang w:eastAsia="en-GB"/>
        </w:rPr>
      </w:pPr>
    </w:p>
    <w:p w14:paraId="2473A54C" w14:textId="574682C0" w:rsidR="00262A69" w:rsidRDefault="00262A69" w:rsidP="00747083">
      <w:pPr>
        <w:rPr>
          <w:lang w:eastAsia="en-GB"/>
        </w:rPr>
      </w:pPr>
      <w:r>
        <w:rPr>
          <w:lang w:eastAsia="en-GB"/>
        </w:rPr>
        <w:t>The revenue generated by Visa Inc. is sectioned into 4 primary segments: Services, Data Processing, International Transactions and Other.</w:t>
      </w:r>
    </w:p>
    <w:p w14:paraId="3D16A1BA" w14:textId="77777777" w:rsidR="00262A69" w:rsidRDefault="00262A69" w:rsidP="00747083">
      <w:pPr>
        <w:rPr>
          <w:lang w:eastAsia="en-GB"/>
        </w:rPr>
      </w:pPr>
    </w:p>
    <w:p w14:paraId="57A7AB70" w14:textId="77777777" w:rsidR="00605097" w:rsidRDefault="00605097" w:rsidP="00605097">
      <w:pPr>
        <w:ind w:left="360"/>
      </w:pPr>
      <w:r w:rsidRPr="00DC04B7">
        <w:rPr>
          <w:rFonts w:cs="Calibri"/>
          <w:shd w:val="clear" w:color="auto" w:fill="00FF00"/>
        </w:rPr>
        <w:t>The key revenue drivers for Visa Inc are payment volume on visa products for purchased goods and services.</w:t>
      </w:r>
      <w:r w:rsidRPr="00DC04B7">
        <w:rPr>
          <w:rFonts w:cs="Calibri"/>
        </w:rPr>
        <w:t xml:space="preserve"> </w:t>
      </w:r>
    </w:p>
    <w:p w14:paraId="5668DBE6" w14:textId="77777777" w:rsidR="00605097" w:rsidRPr="00DC04B7" w:rsidRDefault="00605097" w:rsidP="00605097">
      <w:pPr>
        <w:ind w:left="360"/>
        <w:rPr>
          <w:rFonts w:cs="Calibri"/>
        </w:rPr>
      </w:pPr>
    </w:p>
    <w:p w14:paraId="0FC8FC32" w14:textId="77777777" w:rsidR="00605097" w:rsidRDefault="00605097" w:rsidP="00605097">
      <w:pPr>
        <w:ind w:left="360"/>
      </w:pPr>
      <w:r w:rsidRPr="00DC04B7">
        <w:rPr>
          <w:rFonts w:cs="Calibri"/>
          <w:shd w:val="clear" w:color="auto" w:fill="00FF00"/>
        </w:rPr>
        <w:t>Revenue per transaction * transaction volume.</w:t>
      </w:r>
      <w:r w:rsidRPr="00DC04B7">
        <w:rPr>
          <w:rFonts w:cs="Calibri"/>
        </w:rPr>
        <w:t xml:space="preserve"> </w:t>
      </w:r>
    </w:p>
    <w:p w14:paraId="2C7FC463" w14:textId="77777777" w:rsidR="00605097" w:rsidRPr="00044299" w:rsidRDefault="00605097" w:rsidP="00605097">
      <w:pPr>
        <w:ind w:left="360"/>
        <w:rPr>
          <w:rFonts w:cs="Calibri"/>
          <w:shd w:val="clear" w:color="auto" w:fill="00FF00"/>
        </w:rPr>
      </w:pPr>
      <w:r w:rsidRPr="00DC04B7">
        <w:rPr>
          <w:rFonts w:cs="Calibri"/>
          <w:shd w:val="clear" w:color="auto" w:fill="00FF00"/>
        </w:rPr>
        <w:t>Based on payments volume and number of transactions, Visa is one of the world’s largest electronic payments system.</w:t>
      </w:r>
    </w:p>
    <w:p w14:paraId="4C1B8AC6" w14:textId="77777777" w:rsidR="00605097" w:rsidRDefault="00605097" w:rsidP="00747083">
      <w:pPr>
        <w:rPr>
          <w:lang w:eastAsia="en-GB"/>
        </w:rPr>
      </w:pPr>
    </w:p>
    <w:p w14:paraId="107E2282" w14:textId="77777777" w:rsidR="00262A69" w:rsidRDefault="00262A69" w:rsidP="00262A69">
      <w:pPr>
        <w:pStyle w:val="ListParagraph"/>
        <w:numPr>
          <w:ilvl w:val="0"/>
          <w:numId w:val="2"/>
        </w:numPr>
      </w:pPr>
      <w:r>
        <w:rPr>
          <w:lang w:eastAsia="en-GB"/>
        </w:rPr>
        <w:t xml:space="preserve">Services consists of services provided to support clients in the usage of Visa’s </w:t>
      </w:r>
      <w:r w:rsidRPr="00262A69">
        <w:rPr>
          <w:lang w:eastAsia="en-GB"/>
        </w:rPr>
        <w:t>payment services. This counts for 34% of total gross revenue</w:t>
      </w:r>
      <w:r w:rsidRPr="00262A69">
        <w:t xml:space="preserve"> down from previous years but</w:t>
      </w:r>
      <w:r w:rsidRPr="00262A69">
        <w:rPr>
          <w:lang w:eastAsia="en-GB"/>
        </w:rPr>
        <w:t xml:space="preserve"> has grown by 16% from FY21 to FY22. </w:t>
      </w:r>
    </w:p>
    <w:p w14:paraId="208E3603" w14:textId="431801AD" w:rsidR="00262A69" w:rsidRDefault="00262A69" w:rsidP="00262A69">
      <w:pPr>
        <w:pStyle w:val="ListParagraph"/>
        <w:numPr>
          <w:ilvl w:val="0"/>
          <w:numId w:val="2"/>
        </w:numPr>
      </w:pPr>
      <w:r w:rsidRPr="00262A69">
        <w:t xml:space="preserve">Data Processing includes revenue generated </w:t>
      </w:r>
      <w:r w:rsidR="00314E5E">
        <w:t>from</w:t>
      </w:r>
      <w:r w:rsidRPr="00262A69">
        <w:t xml:space="preserve"> the company's clearing, settlement, authorization, value-added, network access, and other similar services.</w:t>
      </w:r>
      <w:r>
        <w:t xml:space="preserve"> This counted for </w:t>
      </w:r>
      <w:r w:rsidR="00B903ED">
        <w:t>around</w:t>
      </w:r>
      <w:r>
        <w:t xml:space="preserve"> </w:t>
      </w:r>
      <w:r w:rsidR="00B903ED">
        <w:t>36</w:t>
      </w:r>
      <w:r w:rsidR="00314E5E">
        <w:t>% of revenue FY22 and has grown by 13% from last year.</w:t>
      </w:r>
    </w:p>
    <w:p w14:paraId="515A02C8" w14:textId="64031D11" w:rsidR="00314E5E" w:rsidRDefault="00314E5E" w:rsidP="00314E5E">
      <w:pPr>
        <w:pStyle w:val="ListParagraph"/>
        <w:numPr>
          <w:ilvl w:val="0"/>
          <w:numId w:val="2"/>
        </w:numPr>
      </w:pPr>
      <w:r>
        <w:t>International transaction is a key growing area of Visa’s revenue and is generated fro</w:t>
      </w:r>
      <w:r w:rsidRPr="00314E5E">
        <w:t>m cross-border transaction processing and currency conversion.</w:t>
      </w:r>
      <w:r>
        <w:t xml:space="preserve"> In FY22 this counted towards 25% of revenue and has grown by 50% vs FY21.</w:t>
      </w:r>
    </w:p>
    <w:p w14:paraId="317E5D47" w14:textId="0C61DEAB" w:rsidR="00314E5E" w:rsidRPr="00262A69" w:rsidRDefault="00314E5E" w:rsidP="00314E5E">
      <w:pPr>
        <w:pStyle w:val="ListParagraph"/>
        <w:numPr>
          <w:ilvl w:val="0"/>
          <w:numId w:val="2"/>
        </w:numPr>
      </w:pPr>
      <w:r>
        <w:t xml:space="preserve">Other revenue consists of revenue earned </w:t>
      </w:r>
      <w:r w:rsidRPr="00314E5E">
        <w:t>from license fees, value-added services, account holder services, certification, and more.</w:t>
      </w:r>
      <w:r>
        <w:t xml:space="preserve"> This is the </w:t>
      </w:r>
      <w:r w:rsidR="00C17E6E">
        <w:t>segments</w:t>
      </w:r>
      <w:r>
        <w:t xml:space="preserve"> that generates the least proportion of revenue at 5% in FY22, although it has grown by 19% vs FY21.</w:t>
      </w:r>
    </w:p>
    <w:p w14:paraId="19DF5B66" w14:textId="25DEDC61" w:rsidR="00262A69" w:rsidRDefault="00262A69" w:rsidP="00747083">
      <w:pPr>
        <w:rPr>
          <w:lang w:eastAsia="en-GB"/>
        </w:rPr>
      </w:pPr>
    </w:p>
    <w:p w14:paraId="37862EFA" w14:textId="71B9403D" w:rsidR="00262A69" w:rsidRDefault="005D0E71" w:rsidP="00747083">
      <w:pPr>
        <w:rPr>
          <w:lang w:eastAsia="en-GB"/>
        </w:rPr>
      </w:pPr>
      <w:r>
        <w:rPr>
          <w:noProof/>
          <w:lang w:val="en-US"/>
        </w:rPr>
        <w:lastRenderedPageBreak/>
        <w:drawing>
          <wp:anchor distT="0" distB="0" distL="114300" distR="114300" simplePos="0" relativeHeight="251658240" behindDoc="0" locked="0" layoutInCell="1" allowOverlap="1" wp14:anchorId="58291807" wp14:editId="0878952E">
            <wp:simplePos x="0" y="0"/>
            <wp:positionH relativeFrom="column">
              <wp:posOffset>894715</wp:posOffset>
            </wp:positionH>
            <wp:positionV relativeFrom="paragraph">
              <wp:posOffset>56623</wp:posOffset>
            </wp:positionV>
            <wp:extent cx="3531140" cy="2033081"/>
            <wp:effectExtent l="0" t="0" r="12700" b="12065"/>
            <wp:wrapSquare wrapText="bothSides"/>
            <wp:docPr id="333764134"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24AF85-C9D7-F578-6F9A-4E4388EB5C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B393A1F" w14:textId="77777777" w:rsidR="00262A69" w:rsidRDefault="00262A69" w:rsidP="00747083">
      <w:pPr>
        <w:rPr>
          <w:lang w:eastAsia="en-GB"/>
        </w:rPr>
      </w:pPr>
    </w:p>
    <w:p w14:paraId="417EC7BE" w14:textId="77777777" w:rsidR="00262A69" w:rsidRDefault="00262A69" w:rsidP="00747083">
      <w:pPr>
        <w:rPr>
          <w:lang w:eastAsia="en-GB"/>
        </w:rPr>
      </w:pPr>
    </w:p>
    <w:p w14:paraId="1728B79C" w14:textId="77777777" w:rsidR="00262A69" w:rsidRDefault="00262A69" w:rsidP="00747083">
      <w:pPr>
        <w:rPr>
          <w:lang w:eastAsia="en-GB"/>
        </w:rPr>
      </w:pPr>
    </w:p>
    <w:p w14:paraId="47835745" w14:textId="7B6BDF72" w:rsidR="00F10988" w:rsidRDefault="00F10988" w:rsidP="00747083">
      <w:pPr>
        <w:rPr>
          <w:lang w:eastAsia="en-GB"/>
        </w:rPr>
      </w:pPr>
    </w:p>
    <w:p w14:paraId="14B94AFC" w14:textId="1C3CD671" w:rsidR="00747083" w:rsidRPr="00747083" w:rsidRDefault="00747083" w:rsidP="00747083">
      <w:pPr>
        <w:rPr>
          <w:lang w:eastAsia="en-GB"/>
        </w:rPr>
      </w:pPr>
    </w:p>
    <w:p w14:paraId="6F9FCC26" w14:textId="77777777" w:rsidR="00747083" w:rsidRPr="00747083" w:rsidRDefault="00747083" w:rsidP="00747083">
      <w:pPr>
        <w:rPr>
          <w:lang w:eastAsia="en-GB"/>
        </w:rPr>
      </w:pPr>
    </w:p>
    <w:p w14:paraId="7C2824DB" w14:textId="6DB650DD" w:rsidR="00747083" w:rsidRPr="00747083" w:rsidRDefault="00747083" w:rsidP="00747083"/>
    <w:p w14:paraId="3A1A2B38" w14:textId="746EB600" w:rsidR="000E306C" w:rsidRDefault="000E306C" w:rsidP="00747083"/>
    <w:p w14:paraId="7EC384EF" w14:textId="77777777" w:rsidR="005D0E71" w:rsidRDefault="005D0E71" w:rsidP="00747083"/>
    <w:p w14:paraId="140BEEA5" w14:textId="77777777" w:rsidR="005D0E71" w:rsidRDefault="005D0E71" w:rsidP="00747083"/>
    <w:p w14:paraId="247E6B77" w14:textId="77777777" w:rsidR="005D0E71" w:rsidRDefault="005D0E71" w:rsidP="00747083"/>
    <w:p w14:paraId="5416FE38" w14:textId="77777777" w:rsidR="005D0E71" w:rsidRDefault="005D0E71" w:rsidP="00747083"/>
    <w:p w14:paraId="2380AD51" w14:textId="04F2EA63" w:rsidR="005D0E71" w:rsidRDefault="005D0E71" w:rsidP="00747083">
      <w:r>
        <w:t>Visa Inc reports its’ revenue between US and International. The International revenue has been a growing portion of Visa’s revenue and has a 56% of revenue in FY22.</w:t>
      </w:r>
      <w:r w:rsidR="00B81505">
        <w:t xml:space="preserve"> This can be seen as result of acquisitions of Tint AB and Currencycloud, in Europe and UK respectively.</w:t>
      </w:r>
    </w:p>
    <w:p w14:paraId="1DE0CE91" w14:textId="456AB8F4" w:rsidR="005D0E71" w:rsidRDefault="002D7601" w:rsidP="00747083">
      <w:r>
        <w:rPr>
          <w:noProof/>
          <w:lang w:val="en-US"/>
        </w:rPr>
        <w:drawing>
          <wp:anchor distT="0" distB="0" distL="114300" distR="114300" simplePos="0" relativeHeight="251660288" behindDoc="0" locked="0" layoutInCell="1" allowOverlap="1" wp14:anchorId="7058E374" wp14:editId="4ACC53CB">
            <wp:simplePos x="0" y="0"/>
            <wp:positionH relativeFrom="column">
              <wp:posOffset>388620</wp:posOffset>
            </wp:positionH>
            <wp:positionV relativeFrom="paragraph">
              <wp:posOffset>162</wp:posOffset>
            </wp:positionV>
            <wp:extent cx="4425545" cy="2552700"/>
            <wp:effectExtent l="0" t="0" r="6985" b="12700"/>
            <wp:wrapSquare wrapText="bothSides"/>
            <wp:docPr id="875583062"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94DA61A-FD19-1FE5-2C6A-DF628BCFC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5BAD3E8D" w14:textId="068F6036" w:rsidR="002D7601" w:rsidRPr="00747083" w:rsidRDefault="002D7601" w:rsidP="00747083"/>
    <w:p w14:paraId="1F91D701" w14:textId="78F26D8C" w:rsidR="000E306C" w:rsidRDefault="000E306C" w:rsidP="00C34BAE"/>
    <w:p w14:paraId="1115A405" w14:textId="77777777" w:rsidR="00F27E65" w:rsidRDefault="00F27E65" w:rsidP="00F27E65"/>
    <w:p w14:paraId="2D35C465" w14:textId="77777777" w:rsidR="00F27E65" w:rsidRDefault="00F27E65" w:rsidP="00F27E65"/>
    <w:p w14:paraId="06D597A5" w14:textId="77777777" w:rsidR="00F27E65" w:rsidRDefault="00F27E65" w:rsidP="00F27E65"/>
    <w:p w14:paraId="3D76B503" w14:textId="77777777" w:rsidR="00F27E65" w:rsidRDefault="00F27E65" w:rsidP="00F27E65"/>
    <w:p w14:paraId="56CC5008" w14:textId="77777777" w:rsidR="00F27E65" w:rsidRDefault="00F27E65" w:rsidP="00F27E65"/>
    <w:p w14:paraId="346F4713" w14:textId="77777777" w:rsidR="00F27E65" w:rsidRDefault="00F27E65" w:rsidP="00F27E65"/>
    <w:p w14:paraId="0E8045CE" w14:textId="77777777" w:rsidR="00F27E65" w:rsidRDefault="00F27E65" w:rsidP="00F27E65"/>
    <w:p w14:paraId="026843EE" w14:textId="77777777" w:rsidR="00F27E65" w:rsidRDefault="00F27E65" w:rsidP="00F27E65"/>
    <w:p w14:paraId="00ED4F02" w14:textId="77777777" w:rsidR="00F27E65" w:rsidRDefault="00F27E65" w:rsidP="00F27E65"/>
    <w:p w14:paraId="3B28E6ED" w14:textId="77777777" w:rsidR="00F27E65" w:rsidRDefault="00F27E65" w:rsidP="00F27E65"/>
    <w:p w14:paraId="68F27287" w14:textId="77777777" w:rsidR="00F27E65" w:rsidRDefault="00F27E65" w:rsidP="00F27E65"/>
    <w:p w14:paraId="55428CA6" w14:textId="77777777" w:rsidR="00F27E65" w:rsidRDefault="00F27E65" w:rsidP="00F27E65"/>
    <w:p w14:paraId="398EFCA2" w14:textId="382096B6" w:rsidR="00AB15D4" w:rsidRDefault="002D7601" w:rsidP="00F27E65">
      <w:pPr>
        <w:pStyle w:val="ListParagraph"/>
        <w:numPr>
          <w:ilvl w:val="0"/>
          <w:numId w:val="11"/>
        </w:numPr>
      </w:pPr>
      <w:r>
        <w:t>Main cost relates to personnel exposes, which has increased due to high number of employees, reflecting the strategy to invest in growth and acquisitions. In FY22 this was 13% of gross revenue.</w:t>
      </w:r>
    </w:p>
    <w:p w14:paraId="22C5A556" w14:textId="55C96E97" w:rsidR="002D7601" w:rsidRDefault="002D7601" w:rsidP="002D7601">
      <w:pPr>
        <w:pStyle w:val="ListParagraph"/>
        <w:numPr>
          <w:ilvl w:val="0"/>
          <w:numId w:val="3"/>
        </w:numPr>
      </w:pPr>
      <w:r>
        <w:t xml:space="preserve">The marketing expenses was 3% of revenue, and increased by 18% vs FY21 due to higher spending on </w:t>
      </w:r>
      <w:r w:rsidR="00982754">
        <w:t>World Cup, Olympics and Paralympics in 2022</w:t>
      </w:r>
    </w:p>
    <w:p w14:paraId="5DCF167B" w14:textId="77777777" w:rsidR="00982754" w:rsidRDefault="00982754" w:rsidP="00982754"/>
    <w:p w14:paraId="633229FA" w14:textId="078AC107" w:rsidR="00982754" w:rsidRPr="00982754" w:rsidRDefault="00982754" w:rsidP="00982754">
      <w:pPr>
        <w:rPr>
          <w:u w:val="single"/>
        </w:rPr>
      </w:pPr>
      <w:r w:rsidRPr="00982754">
        <w:rPr>
          <w:u w:val="single"/>
        </w:rPr>
        <w:t>Industry and Market trends</w:t>
      </w:r>
    </w:p>
    <w:p w14:paraId="5C5AB779" w14:textId="77777777" w:rsidR="00982754" w:rsidRDefault="00982754"/>
    <w:p w14:paraId="7CF7931B" w14:textId="68AEE32C" w:rsidR="00431FEC" w:rsidRDefault="00982754">
      <w:r>
        <w:t>Over the last decade, there has been a large growth and demand towards digital pay</w:t>
      </w:r>
      <w:r w:rsidR="00431FEC">
        <w:t>ments and e-commerce. This increase has led to more revenue generated from processing fees and cross-border transactions. The use of contactless payments has also enabled more revenue to be generated from value-added services.</w:t>
      </w:r>
    </w:p>
    <w:p w14:paraId="754E71F7" w14:textId="77777777" w:rsidR="00431FEC" w:rsidRDefault="00431FEC"/>
    <w:p w14:paraId="2A031253" w14:textId="77777777" w:rsidR="00431FEC" w:rsidRDefault="00431FEC">
      <w:r>
        <w:t>There has been large investment and collaboration into FinTech companies, to provide innovative payment solution and revenue growth opportunities.</w:t>
      </w:r>
    </w:p>
    <w:p w14:paraId="5F597212" w14:textId="77777777" w:rsidR="00431FEC" w:rsidRDefault="00431FEC"/>
    <w:p w14:paraId="33C82F15" w14:textId="77777777" w:rsidR="00431FEC" w:rsidRDefault="00431FEC"/>
    <w:p w14:paraId="357FCDCE" w14:textId="77777777" w:rsidR="00F27E65" w:rsidRDefault="00F27E65"/>
    <w:p w14:paraId="475F9C21" w14:textId="77777777" w:rsidR="00F27E65" w:rsidRDefault="00F27E65"/>
    <w:p w14:paraId="1A30BB1D" w14:textId="77777777" w:rsidR="00F27E65" w:rsidRDefault="00F27E65"/>
    <w:p w14:paraId="0A101478" w14:textId="77777777" w:rsidR="00F27E65" w:rsidRDefault="00F27E65"/>
    <w:p w14:paraId="34874BBB" w14:textId="77777777" w:rsidR="00F27E65" w:rsidRDefault="00F27E65"/>
    <w:p w14:paraId="1C5DCA25" w14:textId="77777777" w:rsidR="00F27E65" w:rsidRDefault="00F27E65"/>
    <w:p w14:paraId="5FCA290B" w14:textId="77777777" w:rsidR="00F27E65" w:rsidRDefault="00F27E65"/>
    <w:p w14:paraId="2338F831" w14:textId="77777777" w:rsidR="00F27E65" w:rsidRDefault="00F27E65"/>
    <w:p w14:paraId="2D778291" w14:textId="77777777" w:rsidR="00F27E65" w:rsidRDefault="00F27E65"/>
    <w:p w14:paraId="7FC5E5AE" w14:textId="77777777" w:rsidR="00F27E65" w:rsidRDefault="00F27E65"/>
    <w:p w14:paraId="0BF16F80" w14:textId="77777777" w:rsidR="00F27E65" w:rsidRDefault="00F27E65"/>
    <w:p w14:paraId="22C14035" w14:textId="77777777" w:rsidR="00F27E65" w:rsidRDefault="00F27E65"/>
    <w:p w14:paraId="3C7C57BF" w14:textId="77777777" w:rsidR="00F27E65" w:rsidRDefault="00F27E65"/>
    <w:p w14:paraId="53794C6E" w14:textId="77777777" w:rsidR="00F27E65" w:rsidRDefault="00F27E65"/>
    <w:p w14:paraId="1EE627D0" w14:textId="77777777" w:rsidR="00F27E65" w:rsidRDefault="00F27E65"/>
    <w:p w14:paraId="55B5E321" w14:textId="77777777" w:rsidR="00431FEC" w:rsidRDefault="00431FEC">
      <w:pPr>
        <w:rPr>
          <w:u w:val="single"/>
        </w:rPr>
      </w:pPr>
      <w:r w:rsidRPr="00431FEC">
        <w:rPr>
          <w:u w:val="single"/>
        </w:rPr>
        <w:t>SWOT Analysis</w:t>
      </w:r>
    </w:p>
    <w:p w14:paraId="0781A14D" w14:textId="77777777" w:rsidR="00431FEC" w:rsidRDefault="00431FEC">
      <w:pPr>
        <w:rPr>
          <w:u w:val="single"/>
        </w:rPr>
      </w:pPr>
    </w:p>
    <w:p w14:paraId="44CC71DF" w14:textId="77777777" w:rsidR="00431FEC" w:rsidRDefault="00431FEC">
      <w:pPr>
        <w:rPr>
          <w:u w:val="single"/>
        </w:rPr>
      </w:pPr>
    </w:p>
    <w:tbl>
      <w:tblPr>
        <w:tblStyle w:val="TableGrid"/>
        <w:tblW w:w="0" w:type="auto"/>
        <w:tblLook w:val="04A0" w:firstRow="1" w:lastRow="0" w:firstColumn="1" w:lastColumn="0" w:noHBand="0" w:noVBand="1"/>
      </w:tblPr>
      <w:tblGrid>
        <w:gridCol w:w="4505"/>
        <w:gridCol w:w="4505"/>
      </w:tblGrid>
      <w:tr w:rsidR="00431FEC" w14:paraId="55C1E322" w14:textId="77777777" w:rsidTr="00431FEC">
        <w:tc>
          <w:tcPr>
            <w:tcW w:w="4505" w:type="dxa"/>
          </w:tcPr>
          <w:p w14:paraId="48F42ECE" w14:textId="37FF0A22" w:rsidR="00431FEC" w:rsidRDefault="00431FEC">
            <w:pPr>
              <w:rPr>
                <w:u w:val="single"/>
              </w:rPr>
            </w:pPr>
            <w:r>
              <w:rPr>
                <w:u w:val="single"/>
              </w:rPr>
              <w:t>Strength</w:t>
            </w:r>
          </w:p>
        </w:tc>
        <w:tc>
          <w:tcPr>
            <w:tcW w:w="4505" w:type="dxa"/>
          </w:tcPr>
          <w:p w14:paraId="5AB46635" w14:textId="0DF35152" w:rsidR="00431FEC" w:rsidRDefault="00431FEC">
            <w:pPr>
              <w:rPr>
                <w:u w:val="single"/>
              </w:rPr>
            </w:pPr>
            <w:r>
              <w:rPr>
                <w:u w:val="single"/>
              </w:rPr>
              <w:t>Weaknesses</w:t>
            </w:r>
          </w:p>
        </w:tc>
      </w:tr>
      <w:tr w:rsidR="00431FEC" w14:paraId="3D4B343D" w14:textId="77777777" w:rsidTr="00431FEC">
        <w:trPr>
          <w:trHeight w:val="1595"/>
        </w:trPr>
        <w:tc>
          <w:tcPr>
            <w:tcW w:w="4505" w:type="dxa"/>
          </w:tcPr>
          <w:p w14:paraId="7EC12852" w14:textId="6F6A3CA0" w:rsidR="00431FEC" w:rsidRPr="00431FEC" w:rsidRDefault="00431FEC" w:rsidP="00431FEC">
            <w:pPr>
              <w:pStyle w:val="ListParagraph"/>
              <w:numPr>
                <w:ilvl w:val="0"/>
                <w:numId w:val="5"/>
              </w:numPr>
              <w:rPr>
                <w:sz w:val="22"/>
                <w:szCs w:val="22"/>
              </w:rPr>
            </w:pPr>
            <w:r w:rsidRPr="00431FEC">
              <w:rPr>
                <w:sz w:val="22"/>
                <w:szCs w:val="22"/>
              </w:rPr>
              <w:t>Leading operator for digital transactions</w:t>
            </w:r>
          </w:p>
          <w:p w14:paraId="48E1AA2E" w14:textId="75EBC141" w:rsidR="00431FEC" w:rsidRPr="00431FEC" w:rsidRDefault="00431FEC" w:rsidP="00431FEC">
            <w:pPr>
              <w:pStyle w:val="ListParagraph"/>
              <w:numPr>
                <w:ilvl w:val="0"/>
                <w:numId w:val="5"/>
              </w:numPr>
              <w:rPr>
                <w:sz w:val="22"/>
                <w:szCs w:val="22"/>
              </w:rPr>
            </w:pPr>
            <w:r w:rsidRPr="00431FEC">
              <w:rPr>
                <w:sz w:val="22"/>
                <w:szCs w:val="22"/>
              </w:rPr>
              <w:t>Engages in strategic partnerships.</w:t>
            </w:r>
          </w:p>
          <w:p w14:paraId="514482FA" w14:textId="545C7DC0" w:rsidR="00431FEC" w:rsidRPr="00431FEC" w:rsidRDefault="00431FEC" w:rsidP="00431FEC">
            <w:pPr>
              <w:pStyle w:val="ListParagraph"/>
              <w:numPr>
                <w:ilvl w:val="0"/>
                <w:numId w:val="5"/>
              </w:numPr>
              <w:rPr>
                <w:sz w:val="22"/>
                <w:szCs w:val="22"/>
              </w:rPr>
            </w:pPr>
            <w:r w:rsidRPr="00431FEC">
              <w:rPr>
                <w:sz w:val="22"/>
                <w:szCs w:val="22"/>
              </w:rPr>
              <w:t>Has global presence, with large brand recognition</w:t>
            </w:r>
            <w:r>
              <w:rPr>
                <w:sz w:val="22"/>
                <w:szCs w:val="22"/>
              </w:rPr>
              <w:t>.</w:t>
            </w:r>
          </w:p>
          <w:p w14:paraId="5E24404A" w14:textId="77777777" w:rsidR="00431FEC" w:rsidRPr="00C70E21" w:rsidRDefault="00431FEC" w:rsidP="00431FEC">
            <w:pPr>
              <w:pStyle w:val="ListParagraph"/>
              <w:numPr>
                <w:ilvl w:val="0"/>
                <w:numId w:val="5"/>
              </w:numPr>
            </w:pPr>
            <w:r w:rsidRPr="00431FEC">
              <w:rPr>
                <w:sz w:val="22"/>
                <w:szCs w:val="22"/>
              </w:rPr>
              <w:t>Caters to a diverse range of customers</w:t>
            </w:r>
            <w:r>
              <w:rPr>
                <w:sz w:val="22"/>
                <w:szCs w:val="22"/>
              </w:rPr>
              <w:t>.</w:t>
            </w:r>
          </w:p>
          <w:p w14:paraId="0A336E11" w14:textId="7FCBFD84" w:rsidR="00C70E21" w:rsidRPr="00431FEC" w:rsidRDefault="00C70E21" w:rsidP="00431FEC">
            <w:pPr>
              <w:pStyle w:val="ListParagraph"/>
              <w:numPr>
                <w:ilvl w:val="0"/>
                <w:numId w:val="5"/>
              </w:numPr>
            </w:pPr>
            <w:r>
              <w:rPr>
                <w:sz w:val="22"/>
                <w:szCs w:val="22"/>
              </w:rPr>
              <w:t>Low credit risk, with strong cash flows.</w:t>
            </w:r>
          </w:p>
        </w:tc>
        <w:tc>
          <w:tcPr>
            <w:tcW w:w="4505" w:type="dxa"/>
          </w:tcPr>
          <w:p w14:paraId="54CB47C9" w14:textId="182A435E" w:rsidR="00431FEC" w:rsidRPr="00431FEC" w:rsidRDefault="00431FEC" w:rsidP="00431FEC">
            <w:pPr>
              <w:pStyle w:val="ListParagraph"/>
              <w:numPr>
                <w:ilvl w:val="0"/>
                <w:numId w:val="5"/>
              </w:numPr>
              <w:rPr>
                <w:sz w:val="22"/>
                <w:szCs w:val="22"/>
              </w:rPr>
            </w:pPr>
            <w:r w:rsidRPr="00431FEC">
              <w:rPr>
                <w:sz w:val="22"/>
                <w:szCs w:val="22"/>
              </w:rPr>
              <w:t>Operates in a heavily regulated environment</w:t>
            </w:r>
            <w:r w:rsidR="00C70E21">
              <w:rPr>
                <w:sz w:val="22"/>
                <w:szCs w:val="22"/>
              </w:rPr>
              <w:t>.</w:t>
            </w:r>
          </w:p>
          <w:p w14:paraId="210109B0" w14:textId="28672C3D" w:rsidR="00431FEC" w:rsidRPr="00431FEC" w:rsidRDefault="00431FEC" w:rsidP="00431FEC">
            <w:pPr>
              <w:pStyle w:val="ListParagraph"/>
              <w:numPr>
                <w:ilvl w:val="0"/>
                <w:numId w:val="5"/>
              </w:numPr>
              <w:rPr>
                <w:sz w:val="22"/>
                <w:szCs w:val="22"/>
              </w:rPr>
            </w:pPr>
            <w:r w:rsidRPr="00431FEC">
              <w:rPr>
                <w:sz w:val="22"/>
                <w:szCs w:val="22"/>
              </w:rPr>
              <w:t>Relies on banks and FI’s for card issuance</w:t>
            </w:r>
            <w:r w:rsidR="00C70E21">
              <w:rPr>
                <w:sz w:val="22"/>
                <w:szCs w:val="22"/>
              </w:rPr>
              <w:t>.</w:t>
            </w:r>
          </w:p>
          <w:p w14:paraId="463B9426" w14:textId="77777777" w:rsidR="00431FEC" w:rsidRPr="00C70E21" w:rsidRDefault="00431FEC" w:rsidP="00431FEC">
            <w:pPr>
              <w:pStyle w:val="ListParagraph"/>
              <w:numPr>
                <w:ilvl w:val="0"/>
                <w:numId w:val="5"/>
              </w:numPr>
              <w:rPr>
                <w:u w:val="single"/>
              </w:rPr>
            </w:pPr>
            <w:r w:rsidRPr="00431FEC">
              <w:rPr>
                <w:sz w:val="22"/>
                <w:szCs w:val="22"/>
              </w:rPr>
              <w:t>Intense competition from emerging FinTech companies</w:t>
            </w:r>
            <w:r w:rsidR="00C70E21">
              <w:rPr>
                <w:sz w:val="22"/>
                <w:szCs w:val="22"/>
              </w:rPr>
              <w:t>.</w:t>
            </w:r>
          </w:p>
          <w:p w14:paraId="72122610" w14:textId="33B3DE7B" w:rsidR="00C70E21" w:rsidRPr="00431FEC" w:rsidRDefault="00C70E21" w:rsidP="00431FEC">
            <w:pPr>
              <w:pStyle w:val="ListParagraph"/>
              <w:numPr>
                <w:ilvl w:val="0"/>
                <w:numId w:val="5"/>
              </w:numPr>
              <w:rPr>
                <w:u w:val="single"/>
              </w:rPr>
            </w:pPr>
            <w:r w:rsidRPr="00C70E21">
              <w:rPr>
                <w:sz w:val="22"/>
                <w:szCs w:val="22"/>
              </w:rPr>
              <w:t>Reliant on contractual relationships</w:t>
            </w:r>
            <w:r>
              <w:rPr>
                <w:u w:val="single"/>
              </w:rPr>
              <w:t>.</w:t>
            </w:r>
          </w:p>
        </w:tc>
      </w:tr>
      <w:tr w:rsidR="00431FEC" w14:paraId="3F062411" w14:textId="77777777" w:rsidTr="00431FEC">
        <w:tc>
          <w:tcPr>
            <w:tcW w:w="4505" w:type="dxa"/>
          </w:tcPr>
          <w:p w14:paraId="091FEEE4" w14:textId="56C91FA0" w:rsidR="00431FEC" w:rsidRDefault="00431FEC">
            <w:pPr>
              <w:rPr>
                <w:u w:val="single"/>
              </w:rPr>
            </w:pPr>
            <w:r>
              <w:rPr>
                <w:u w:val="single"/>
              </w:rPr>
              <w:t>Opportunities</w:t>
            </w:r>
          </w:p>
        </w:tc>
        <w:tc>
          <w:tcPr>
            <w:tcW w:w="4505" w:type="dxa"/>
          </w:tcPr>
          <w:p w14:paraId="291C556E" w14:textId="2D715DB3" w:rsidR="00431FEC" w:rsidRDefault="00431FEC">
            <w:pPr>
              <w:rPr>
                <w:u w:val="single"/>
              </w:rPr>
            </w:pPr>
            <w:r>
              <w:rPr>
                <w:u w:val="single"/>
              </w:rPr>
              <w:t>Threats</w:t>
            </w:r>
          </w:p>
        </w:tc>
      </w:tr>
      <w:tr w:rsidR="00431FEC" w14:paraId="7A8D22E9" w14:textId="77777777" w:rsidTr="00431FEC">
        <w:trPr>
          <w:trHeight w:val="2387"/>
        </w:trPr>
        <w:tc>
          <w:tcPr>
            <w:tcW w:w="4505" w:type="dxa"/>
          </w:tcPr>
          <w:p w14:paraId="4C52151C" w14:textId="1918F7C1" w:rsidR="00431FEC" w:rsidRPr="00C70E21" w:rsidRDefault="00431FEC" w:rsidP="00431FEC">
            <w:pPr>
              <w:pStyle w:val="ListParagraph"/>
              <w:numPr>
                <w:ilvl w:val="0"/>
                <w:numId w:val="6"/>
              </w:numPr>
              <w:rPr>
                <w:sz w:val="22"/>
                <w:szCs w:val="22"/>
              </w:rPr>
            </w:pPr>
            <w:r w:rsidRPr="00C70E21">
              <w:rPr>
                <w:sz w:val="22"/>
                <w:szCs w:val="22"/>
              </w:rPr>
              <w:t>Expand more into emerging markets</w:t>
            </w:r>
            <w:r w:rsidR="00C70E21">
              <w:rPr>
                <w:sz w:val="22"/>
                <w:szCs w:val="22"/>
              </w:rPr>
              <w:t>.</w:t>
            </w:r>
          </w:p>
          <w:p w14:paraId="1240E07E" w14:textId="6DE5678D" w:rsidR="00431FEC" w:rsidRPr="00C70E21" w:rsidRDefault="00431FEC" w:rsidP="00431FEC">
            <w:pPr>
              <w:pStyle w:val="ListParagraph"/>
              <w:numPr>
                <w:ilvl w:val="0"/>
                <w:numId w:val="6"/>
              </w:numPr>
              <w:rPr>
                <w:sz w:val="22"/>
                <w:szCs w:val="22"/>
              </w:rPr>
            </w:pPr>
            <w:r w:rsidRPr="00C70E21">
              <w:rPr>
                <w:sz w:val="22"/>
                <w:szCs w:val="22"/>
              </w:rPr>
              <w:t>Partner up with FinTech companies</w:t>
            </w:r>
            <w:r w:rsidR="00C70E21">
              <w:rPr>
                <w:sz w:val="22"/>
                <w:szCs w:val="22"/>
              </w:rPr>
              <w:t>.</w:t>
            </w:r>
          </w:p>
          <w:p w14:paraId="7E8E43A2" w14:textId="77777777" w:rsidR="00431FEC" w:rsidRDefault="00431FEC" w:rsidP="00431FEC">
            <w:pPr>
              <w:pStyle w:val="ListParagraph"/>
              <w:numPr>
                <w:ilvl w:val="0"/>
                <w:numId w:val="6"/>
              </w:numPr>
              <w:rPr>
                <w:sz w:val="22"/>
                <w:szCs w:val="22"/>
              </w:rPr>
            </w:pPr>
            <w:r w:rsidRPr="00C70E21">
              <w:rPr>
                <w:sz w:val="22"/>
                <w:szCs w:val="22"/>
              </w:rPr>
              <w:t>Explore the Cryptocurrency and blockchain</w:t>
            </w:r>
            <w:r w:rsidR="00C70E21" w:rsidRPr="00C70E21">
              <w:rPr>
                <w:sz w:val="22"/>
                <w:szCs w:val="22"/>
              </w:rPr>
              <w:t>, which may provide security benefits</w:t>
            </w:r>
            <w:r w:rsidR="00C70E21">
              <w:rPr>
                <w:sz w:val="22"/>
                <w:szCs w:val="22"/>
              </w:rPr>
              <w:t>.</w:t>
            </w:r>
          </w:p>
          <w:p w14:paraId="69A28879" w14:textId="2597B021" w:rsidR="00C70E21" w:rsidRPr="00C70E21" w:rsidRDefault="00C70E21" w:rsidP="00431FEC">
            <w:pPr>
              <w:pStyle w:val="ListParagraph"/>
              <w:numPr>
                <w:ilvl w:val="0"/>
                <w:numId w:val="6"/>
              </w:numPr>
              <w:rPr>
                <w:sz w:val="22"/>
                <w:szCs w:val="22"/>
              </w:rPr>
            </w:pPr>
            <w:r>
              <w:rPr>
                <w:sz w:val="22"/>
                <w:szCs w:val="22"/>
              </w:rPr>
              <w:t>Large shift from cash to digital transactions.</w:t>
            </w:r>
          </w:p>
        </w:tc>
        <w:tc>
          <w:tcPr>
            <w:tcW w:w="4505" w:type="dxa"/>
          </w:tcPr>
          <w:p w14:paraId="100FBF6E" w14:textId="5F336959" w:rsidR="00431FEC" w:rsidRPr="00C70E21" w:rsidRDefault="00C70E21" w:rsidP="00C70E21">
            <w:pPr>
              <w:pStyle w:val="ListParagraph"/>
              <w:numPr>
                <w:ilvl w:val="0"/>
                <w:numId w:val="6"/>
              </w:numPr>
            </w:pPr>
            <w:r>
              <w:rPr>
                <w:sz w:val="22"/>
                <w:szCs w:val="22"/>
              </w:rPr>
              <w:t>Economic recession can lead to decreased consumer consumption.</w:t>
            </w:r>
          </w:p>
          <w:p w14:paraId="5459D4D8" w14:textId="56748A92" w:rsidR="00C70E21" w:rsidRPr="00C70E21" w:rsidRDefault="00C70E21" w:rsidP="00C70E21">
            <w:pPr>
              <w:pStyle w:val="ListParagraph"/>
              <w:numPr>
                <w:ilvl w:val="0"/>
                <w:numId w:val="6"/>
              </w:numPr>
              <w:rPr>
                <w:sz w:val="22"/>
                <w:szCs w:val="22"/>
              </w:rPr>
            </w:pPr>
            <w:r w:rsidRPr="00C70E21">
              <w:rPr>
                <w:sz w:val="22"/>
                <w:szCs w:val="22"/>
              </w:rPr>
              <w:t>Pressure from competition to lead to pricing wars, decaying profit margins.</w:t>
            </w:r>
          </w:p>
          <w:p w14:paraId="71180F53" w14:textId="4014127D" w:rsidR="00C70E21" w:rsidRPr="00C70E21" w:rsidRDefault="00C70E21" w:rsidP="00C70E21">
            <w:pPr>
              <w:pStyle w:val="ListParagraph"/>
              <w:numPr>
                <w:ilvl w:val="0"/>
                <w:numId w:val="6"/>
              </w:numPr>
              <w:rPr>
                <w:sz w:val="22"/>
                <w:szCs w:val="22"/>
              </w:rPr>
            </w:pPr>
            <w:r w:rsidRPr="00C70E21">
              <w:rPr>
                <w:sz w:val="22"/>
                <w:szCs w:val="22"/>
              </w:rPr>
              <w:t>Regulatory changes can increase compliance costs and effect operations.</w:t>
            </w:r>
          </w:p>
          <w:p w14:paraId="1B5A842B" w14:textId="5D162193" w:rsidR="00C70E21" w:rsidRPr="00431FEC" w:rsidRDefault="00C70E21" w:rsidP="00C70E21">
            <w:pPr>
              <w:pStyle w:val="ListParagraph"/>
              <w:numPr>
                <w:ilvl w:val="0"/>
                <w:numId w:val="6"/>
              </w:numPr>
            </w:pPr>
            <w:r w:rsidRPr="00C70E21">
              <w:rPr>
                <w:sz w:val="22"/>
                <w:szCs w:val="22"/>
              </w:rPr>
              <w:t>Cybersecurity threats.</w:t>
            </w:r>
          </w:p>
        </w:tc>
      </w:tr>
    </w:tbl>
    <w:p w14:paraId="13AEC34B" w14:textId="77777777" w:rsidR="00F27E65" w:rsidRDefault="00F27E65">
      <w:pPr>
        <w:rPr>
          <w:u w:val="single"/>
        </w:rPr>
      </w:pPr>
    </w:p>
    <w:p w14:paraId="09ED1F4A" w14:textId="77777777" w:rsidR="00605097" w:rsidRPr="00DC04B7" w:rsidRDefault="00605097" w:rsidP="00605097">
      <w:pPr>
        <w:pStyle w:val="CommentText"/>
        <w:rPr>
          <w:b/>
          <w:bCs/>
          <w:highlight w:val="green"/>
          <w:u w:val="single"/>
        </w:rPr>
      </w:pPr>
      <w:r w:rsidRPr="00DC04B7">
        <w:rPr>
          <w:b/>
          <w:bCs/>
          <w:highlight w:val="green"/>
          <w:u w:val="single"/>
        </w:rPr>
        <w:t>Strengths</w:t>
      </w:r>
    </w:p>
    <w:p w14:paraId="68D60F88" w14:textId="77777777" w:rsidR="00605097" w:rsidRPr="00DC04B7" w:rsidRDefault="00605097" w:rsidP="00605097">
      <w:pPr>
        <w:pStyle w:val="CommentText"/>
        <w:numPr>
          <w:ilvl w:val="0"/>
          <w:numId w:val="12"/>
        </w:numPr>
        <w:spacing w:after="160"/>
        <w:rPr>
          <w:highlight w:val="green"/>
        </w:rPr>
      </w:pPr>
      <w:r w:rsidRPr="00DC04B7">
        <w:rPr>
          <w:highlight w:val="green"/>
        </w:rPr>
        <w:t>Strong and secure payment infrastructure</w:t>
      </w:r>
    </w:p>
    <w:p w14:paraId="771EB057" w14:textId="77777777" w:rsidR="00605097" w:rsidRPr="00DC04B7" w:rsidRDefault="00605097" w:rsidP="00605097">
      <w:pPr>
        <w:pStyle w:val="TableStyle2"/>
        <w:numPr>
          <w:ilvl w:val="0"/>
          <w:numId w:val="12"/>
        </w:numPr>
        <w:rPr>
          <w:rFonts w:ascii="Times New Roman" w:hAnsi="Times New Roman"/>
          <w:highlight w:val="green"/>
          <w:lang w:val="en-US"/>
        </w:rPr>
      </w:pPr>
      <w:r w:rsidRPr="00DC04B7">
        <w:rPr>
          <w:rFonts w:ascii="Times New Roman" w:hAnsi="Times New Roman"/>
          <w:highlight w:val="green"/>
          <w:lang w:val="en-US"/>
        </w:rPr>
        <w:t>Strong distribution network</w:t>
      </w:r>
    </w:p>
    <w:p w14:paraId="6F5FF4EF" w14:textId="77777777" w:rsidR="00605097" w:rsidRPr="00DC04B7" w:rsidRDefault="00605097" w:rsidP="00605097">
      <w:pPr>
        <w:pStyle w:val="CommentText"/>
        <w:numPr>
          <w:ilvl w:val="0"/>
          <w:numId w:val="12"/>
        </w:numPr>
        <w:spacing w:after="160"/>
        <w:rPr>
          <w:highlight w:val="green"/>
        </w:rPr>
      </w:pPr>
      <w:r w:rsidRPr="00DC04B7">
        <w:rPr>
          <w:highlight w:val="green"/>
        </w:rPr>
        <w:t>Market leadership and strong brand value</w:t>
      </w:r>
    </w:p>
    <w:p w14:paraId="4F44746D" w14:textId="77777777" w:rsidR="00605097" w:rsidRPr="00DC04B7" w:rsidRDefault="00605097" w:rsidP="00605097">
      <w:pPr>
        <w:pStyle w:val="CommentText"/>
        <w:numPr>
          <w:ilvl w:val="0"/>
          <w:numId w:val="12"/>
        </w:numPr>
        <w:spacing w:after="160"/>
        <w:rPr>
          <w:highlight w:val="green"/>
        </w:rPr>
      </w:pPr>
      <w:r w:rsidRPr="00DC04B7">
        <w:rPr>
          <w:highlight w:val="green"/>
        </w:rPr>
        <w:t>Strong strategic partnerships with card issuers and merchants</w:t>
      </w:r>
    </w:p>
    <w:p w14:paraId="10336054" w14:textId="77777777" w:rsidR="00605097" w:rsidRPr="00DC04B7" w:rsidRDefault="00605097" w:rsidP="00605097">
      <w:pPr>
        <w:pStyle w:val="CommentText"/>
        <w:numPr>
          <w:ilvl w:val="0"/>
          <w:numId w:val="12"/>
        </w:numPr>
        <w:spacing w:after="160"/>
        <w:rPr>
          <w:highlight w:val="green"/>
        </w:rPr>
      </w:pPr>
      <w:r w:rsidRPr="00DC04B7">
        <w:rPr>
          <w:highlight w:val="green"/>
        </w:rPr>
        <w:t>Resilient business model that protects against inflation</w:t>
      </w:r>
    </w:p>
    <w:p w14:paraId="1E032B1E" w14:textId="77777777" w:rsidR="00605097" w:rsidRPr="00DC04B7" w:rsidRDefault="00605097" w:rsidP="00605097">
      <w:pPr>
        <w:pStyle w:val="CommentText"/>
        <w:rPr>
          <w:b/>
          <w:bCs/>
          <w:highlight w:val="green"/>
          <w:u w:val="single"/>
        </w:rPr>
      </w:pPr>
      <w:r w:rsidRPr="00DC04B7">
        <w:rPr>
          <w:b/>
          <w:bCs/>
          <w:highlight w:val="green"/>
          <w:u w:val="single"/>
        </w:rPr>
        <w:t>Weakness</w:t>
      </w:r>
    </w:p>
    <w:p w14:paraId="7A99E501" w14:textId="77777777" w:rsidR="00605097" w:rsidRPr="00DC04B7" w:rsidRDefault="00605097" w:rsidP="00605097">
      <w:pPr>
        <w:pStyle w:val="CommentText"/>
        <w:numPr>
          <w:ilvl w:val="0"/>
          <w:numId w:val="13"/>
        </w:numPr>
        <w:spacing w:after="160"/>
        <w:rPr>
          <w:highlight w:val="green"/>
        </w:rPr>
      </w:pPr>
      <w:r w:rsidRPr="00DC04B7">
        <w:rPr>
          <w:highlight w:val="green"/>
        </w:rPr>
        <w:t>Lack diversification in business model</w:t>
      </w:r>
    </w:p>
    <w:p w14:paraId="7CF33FA9" w14:textId="77777777" w:rsidR="00605097" w:rsidRPr="00DC04B7" w:rsidRDefault="00605097" w:rsidP="00605097">
      <w:pPr>
        <w:pStyle w:val="CommentText"/>
        <w:numPr>
          <w:ilvl w:val="0"/>
          <w:numId w:val="13"/>
        </w:numPr>
        <w:spacing w:after="160"/>
        <w:rPr>
          <w:highlight w:val="green"/>
        </w:rPr>
      </w:pPr>
      <w:r w:rsidRPr="00DC04B7">
        <w:rPr>
          <w:highlight w:val="green"/>
        </w:rPr>
        <w:t>Lack of product development to combat new and emerging payment methods</w:t>
      </w:r>
    </w:p>
    <w:p w14:paraId="1ADE309B" w14:textId="77777777" w:rsidR="00605097" w:rsidRPr="00DC04B7" w:rsidRDefault="00605097" w:rsidP="00605097">
      <w:pPr>
        <w:pStyle w:val="CommentText"/>
        <w:numPr>
          <w:ilvl w:val="0"/>
          <w:numId w:val="13"/>
        </w:numPr>
        <w:spacing w:after="160"/>
        <w:rPr>
          <w:highlight w:val="green"/>
        </w:rPr>
      </w:pPr>
      <w:r w:rsidRPr="00DC04B7">
        <w:rPr>
          <w:highlight w:val="green"/>
        </w:rPr>
        <w:lastRenderedPageBreak/>
        <w:t>Lack of innovation</w:t>
      </w:r>
    </w:p>
    <w:p w14:paraId="58FB67AC" w14:textId="77777777" w:rsidR="00605097" w:rsidRPr="00DC04B7" w:rsidRDefault="00605097" w:rsidP="00605097">
      <w:pPr>
        <w:pStyle w:val="CommentText"/>
        <w:rPr>
          <w:b/>
          <w:bCs/>
          <w:highlight w:val="green"/>
          <w:u w:val="single"/>
        </w:rPr>
      </w:pPr>
      <w:r w:rsidRPr="00DC04B7">
        <w:rPr>
          <w:b/>
          <w:bCs/>
          <w:highlight w:val="green"/>
          <w:u w:val="single"/>
        </w:rPr>
        <w:t>Opportunities</w:t>
      </w:r>
    </w:p>
    <w:p w14:paraId="3FC5289F" w14:textId="77777777" w:rsidR="00605097" w:rsidRPr="00DC04B7" w:rsidRDefault="00605097" w:rsidP="00605097">
      <w:pPr>
        <w:pStyle w:val="CommentText"/>
        <w:numPr>
          <w:ilvl w:val="0"/>
          <w:numId w:val="14"/>
        </w:numPr>
        <w:spacing w:after="160"/>
        <w:rPr>
          <w:highlight w:val="green"/>
        </w:rPr>
      </w:pPr>
      <w:r w:rsidRPr="00DC04B7">
        <w:rPr>
          <w:highlight w:val="green"/>
        </w:rPr>
        <w:t>Increasing preference for online shopping and cash-less transactions due to the pandemic</w:t>
      </w:r>
    </w:p>
    <w:p w14:paraId="09B42E43" w14:textId="77777777" w:rsidR="00605097" w:rsidRPr="00DC04B7" w:rsidRDefault="00605097" w:rsidP="00605097">
      <w:pPr>
        <w:pStyle w:val="CommentText"/>
        <w:numPr>
          <w:ilvl w:val="0"/>
          <w:numId w:val="14"/>
        </w:numPr>
        <w:spacing w:after="160"/>
        <w:rPr>
          <w:highlight w:val="green"/>
        </w:rPr>
      </w:pPr>
      <w:r w:rsidRPr="00DC04B7">
        <w:rPr>
          <w:highlight w:val="green"/>
        </w:rPr>
        <w:t>Opportunities to collaborate with emerging competitors like PayPal and mobile wallets</w:t>
      </w:r>
    </w:p>
    <w:p w14:paraId="605F734A" w14:textId="77777777" w:rsidR="00605097" w:rsidRPr="00DC04B7" w:rsidRDefault="00605097" w:rsidP="00605097">
      <w:pPr>
        <w:pStyle w:val="CommentText"/>
        <w:numPr>
          <w:ilvl w:val="0"/>
          <w:numId w:val="14"/>
        </w:numPr>
        <w:spacing w:after="160"/>
        <w:rPr>
          <w:highlight w:val="green"/>
        </w:rPr>
      </w:pPr>
      <w:r w:rsidRPr="00DC04B7">
        <w:rPr>
          <w:highlight w:val="green"/>
        </w:rPr>
        <w:t xml:space="preserve">Loyal and large customer base that can be introduces with new or add on products </w:t>
      </w:r>
    </w:p>
    <w:p w14:paraId="48D6CB81" w14:textId="77777777" w:rsidR="00605097" w:rsidRPr="00DC04B7" w:rsidRDefault="00605097" w:rsidP="00605097">
      <w:pPr>
        <w:pStyle w:val="CommentText"/>
        <w:numPr>
          <w:ilvl w:val="0"/>
          <w:numId w:val="14"/>
        </w:numPr>
        <w:spacing w:after="160"/>
        <w:rPr>
          <w:highlight w:val="green"/>
        </w:rPr>
      </w:pPr>
      <w:r w:rsidRPr="00DC04B7">
        <w:rPr>
          <w:highlight w:val="green"/>
        </w:rPr>
        <w:t>Availability of vast data that can be researched for product development</w:t>
      </w:r>
    </w:p>
    <w:p w14:paraId="7349E3BC" w14:textId="77777777" w:rsidR="00605097" w:rsidRPr="00DC04B7" w:rsidRDefault="00605097" w:rsidP="00605097">
      <w:pPr>
        <w:pStyle w:val="CommentText"/>
        <w:rPr>
          <w:b/>
          <w:bCs/>
          <w:highlight w:val="green"/>
          <w:u w:val="single"/>
        </w:rPr>
      </w:pPr>
      <w:r w:rsidRPr="00DC04B7">
        <w:rPr>
          <w:b/>
          <w:bCs/>
          <w:highlight w:val="green"/>
          <w:u w:val="single"/>
        </w:rPr>
        <w:t>Threats</w:t>
      </w:r>
    </w:p>
    <w:p w14:paraId="74B29543" w14:textId="77777777" w:rsidR="00605097" w:rsidRPr="00DC04B7" w:rsidRDefault="00605097" w:rsidP="00605097">
      <w:pPr>
        <w:pStyle w:val="CommentText"/>
        <w:numPr>
          <w:ilvl w:val="0"/>
          <w:numId w:val="15"/>
        </w:numPr>
        <w:spacing w:after="160"/>
        <w:rPr>
          <w:highlight w:val="green"/>
        </w:rPr>
      </w:pPr>
      <w:r w:rsidRPr="00DC04B7">
        <w:rPr>
          <w:highlight w:val="green"/>
        </w:rPr>
        <w:t xml:space="preserve">Threat of becoming obsolete due to new and emerging payment technologies </w:t>
      </w:r>
    </w:p>
    <w:p w14:paraId="02150FD3" w14:textId="77777777" w:rsidR="00605097" w:rsidRPr="00DC04B7" w:rsidRDefault="00605097" w:rsidP="00605097">
      <w:pPr>
        <w:pStyle w:val="CommentText"/>
        <w:numPr>
          <w:ilvl w:val="0"/>
          <w:numId w:val="15"/>
        </w:numPr>
        <w:spacing w:after="160"/>
        <w:rPr>
          <w:highlight w:val="green"/>
        </w:rPr>
      </w:pPr>
      <w:r w:rsidRPr="00DC04B7">
        <w:rPr>
          <w:highlight w:val="green"/>
        </w:rPr>
        <w:t>Increased competition owing to duopoly market</w:t>
      </w:r>
    </w:p>
    <w:p w14:paraId="7D0CB517" w14:textId="77777777" w:rsidR="00605097" w:rsidRPr="00DC04B7" w:rsidRDefault="00605097" w:rsidP="00605097">
      <w:pPr>
        <w:pStyle w:val="CommentText"/>
        <w:numPr>
          <w:ilvl w:val="0"/>
          <w:numId w:val="15"/>
        </w:numPr>
        <w:spacing w:after="160"/>
        <w:rPr>
          <w:highlight w:val="green"/>
        </w:rPr>
      </w:pPr>
      <w:r w:rsidRPr="00DC04B7">
        <w:rPr>
          <w:highlight w:val="green"/>
        </w:rPr>
        <w:t>Lack of differentiation from competitor</w:t>
      </w:r>
    </w:p>
    <w:p w14:paraId="6B8C3056" w14:textId="77777777" w:rsidR="00605097" w:rsidRPr="00DC04B7" w:rsidRDefault="00605097" w:rsidP="00605097">
      <w:pPr>
        <w:pStyle w:val="CommentText"/>
        <w:numPr>
          <w:ilvl w:val="0"/>
          <w:numId w:val="15"/>
        </w:numPr>
        <w:spacing w:after="160"/>
        <w:rPr>
          <w:highlight w:val="green"/>
        </w:rPr>
      </w:pPr>
      <w:r w:rsidRPr="00DC04B7">
        <w:rPr>
          <w:highlight w:val="green"/>
        </w:rPr>
        <w:t>Large amount of personal data that needs to be secured for privacy</w:t>
      </w:r>
    </w:p>
    <w:p w14:paraId="7C274342" w14:textId="77777777" w:rsidR="00605097" w:rsidRPr="00DC04B7" w:rsidRDefault="00605097" w:rsidP="00605097">
      <w:pPr>
        <w:pStyle w:val="CommentText"/>
        <w:numPr>
          <w:ilvl w:val="0"/>
          <w:numId w:val="15"/>
        </w:numPr>
        <w:spacing w:after="160"/>
        <w:rPr>
          <w:highlight w:val="green"/>
        </w:rPr>
      </w:pPr>
      <w:r w:rsidRPr="00DC04B7">
        <w:rPr>
          <w:highlight w:val="green"/>
        </w:rPr>
        <w:t>Threat of fraudulent activities</w:t>
      </w:r>
    </w:p>
    <w:p w14:paraId="094C2A19" w14:textId="77777777" w:rsidR="00605097" w:rsidRPr="00DC04B7" w:rsidRDefault="00605097" w:rsidP="00605097">
      <w:pPr>
        <w:pStyle w:val="CommentText"/>
        <w:numPr>
          <w:ilvl w:val="0"/>
          <w:numId w:val="15"/>
        </w:numPr>
        <w:spacing w:after="160"/>
        <w:rPr>
          <w:highlight w:val="green"/>
        </w:rPr>
      </w:pPr>
      <w:r w:rsidRPr="00DC04B7">
        <w:rPr>
          <w:highlight w:val="green"/>
        </w:rPr>
        <w:t>Threat of money laundering and terrorism financing</w:t>
      </w:r>
    </w:p>
    <w:p w14:paraId="49F7C2F2" w14:textId="77777777" w:rsidR="00605097" w:rsidRDefault="00605097" w:rsidP="00605097">
      <w:pPr>
        <w:rPr>
          <w:b/>
        </w:rPr>
      </w:pPr>
    </w:p>
    <w:p w14:paraId="2C63C0ED" w14:textId="77777777" w:rsidR="00605097" w:rsidRDefault="00605097">
      <w:pPr>
        <w:rPr>
          <w:u w:val="single"/>
        </w:rPr>
      </w:pPr>
    </w:p>
    <w:p w14:paraId="1C875C4C" w14:textId="65FC1B43" w:rsidR="00C70E21" w:rsidRDefault="00F27E65">
      <w:pPr>
        <w:rPr>
          <w:u w:val="single"/>
        </w:rPr>
      </w:pPr>
      <w:r>
        <w:rPr>
          <w:u w:val="single"/>
        </w:rPr>
        <w:t>PESTLE</w:t>
      </w:r>
    </w:p>
    <w:p w14:paraId="651051C0" w14:textId="77777777" w:rsidR="00F27E65" w:rsidRDefault="00F27E65">
      <w:pPr>
        <w:rPr>
          <w:u w:val="single"/>
        </w:rPr>
      </w:pPr>
    </w:p>
    <w:tbl>
      <w:tblPr>
        <w:tblStyle w:val="TableGrid"/>
        <w:tblW w:w="0" w:type="auto"/>
        <w:tblLook w:val="04A0" w:firstRow="1" w:lastRow="0" w:firstColumn="1" w:lastColumn="0" w:noHBand="0" w:noVBand="1"/>
      </w:tblPr>
      <w:tblGrid>
        <w:gridCol w:w="4505"/>
        <w:gridCol w:w="4505"/>
      </w:tblGrid>
      <w:tr w:rsidR="00C70E21" w14:paraId="1C1C1345" w14:textId="77777777" w:rsidTr="00C70E21">
        <w:tc>
          <w:tcPr>
            <w:tcW w:w="4505" w:type="dxa"/>
          </w:tcPr>
          <w:p w14:paraId="23F3FAF1" w14:textId="3F1DD7B4" w:rsidR="00C70E21" w:rsidRDefault="00C70E21">
            <w:pPr>
              <w:rPr>
                <w:u w:val="single"/>
              </w:rPr>
            </w:pPr>
            <w:r>
              <w:rPr>
                <w:u w:val="single"/>
              </w:rPr>
              <w:t>Political</w:t>
            </w:r>
          </w:p>
        </w:tc>
        <w:tc>
          <w:tcPr>
            <w:tcW w:w="4505" w:type="dxa"/>
          </w:tcPr>
          <w:p w14:paraId="61EEAAD2" w14:textId="0C8185CE" w:rsidR="00C70E21" w:rsidRDefault="00C70E21">
            <w:pPr>
              <w:rPr>
                <w:u w:val="single"/>
              </w:rPr>
            </w:pPr>
            <w:r>
              <w:rPr>
                <w:u w:val="single"/>
              </w:rPr>
              <w:t>Economical</w:t>
            </w:r>
          </w:p>
        </w:tc>
      </w:tr>
      <w:tr w:rsidR="00C70E21" w14:paraId="5895990B" w14:textId="77777777" w:rsidTr="00F27E65">
        <w:trPr>
          <w:trHeight w:val="1516"/>
        </w:trPr>
        <w:tc>
          <w:tcPr>
            <w:tcW w:w="4505" w:type="dxa"/>
          </w:tcPr>
          <w:p w14:paraId="18BAD66C" w14:textId="0534A9A6" w:rsidR="00C70E21" w:rsidRPr="00C70E21" w:rsidRDefault="00C70E21" w:rsidP="00C70E21">
            <w:pPr>
              <w:pStyle w:val="ListParagraph"/>
              <w:numPr>
                <w:ilvl w:val="0"/>
                <w:numId w:val="7"/>
              </w:numPr>
              <w:rPr>
                <w:sz w:val="22"/>
                <w:szCs w:val="22"/>
              </w:rPr>
            </w:pPr>
            <w:r w:rsidRPr="00C70E21">
              <w:rPr>
                <w:sz w:val="22"/>
                <w:szCs w:val="22"/>
              </w:rPr>
              <w:t>Government intervention, imposing restrictions</w:t>
            </w:r>
          </w:p>
          <w:p w14:paraId="7C1BF91B" w14:textId="291F7D93" w:rsidR="00C70E21" w:rsidRPr="00C70E21" w:rsidRDefault="00C70E21" w:rsidP="00C70E21">
            <w:pPr>
              <w:pStyle w:val="ListParagraph"/>
              <w:numPr>
                <w:ilvl w:val="0"/>
                <w:numId w:val="7"/>
              </w:numPr>
            </w:pPr>
            <w:r w:rsidRPr="00C70E21">
              <w:rPr>
                <w:sz w:val="22"/>
                <w:szCs w:val="22"/>
              </w:rPr>
              <w:t>UK to leave EU</w:t>
            </w:r>
            <w:r>
              <w:rPr>
                <w:sz w:val="22"/>
                <w:szCs w:val="22"/>
              </w:rPr>
              <w:t>, affecting data privacy laws (GDPR)</w:t>
            </w:r>
          </w:p>
        </w:tc>
        <w:tc>
          <w:tcPr>
            <w:tcW w:w="4505" w:type="dxa"/>
          </w:tcPr>
          <w:p w14:paraId="6F49F2B4" w14:textId="77777777" w:rsidR="00C70E21" w:rsidRPr="00C70E21" w:rsidRDefault="00C70E21" w:rsidP="00C70E21">
            <w:pPr>
              <w:pStyle w:val="ListParagraph"/>
              <w:numPr>
                <w:ilvl w:val="0"/>
                <w:numId w:val="8"/>
              </w:numPr>
              <w:rPr>
                <w:sz w:val="22"/>
                <w:szCs w:val="22"/>
              </w:rPr>
            </w:pPr>
            <w:r w:rsidRPr="00C70E21">
              <w:rPr>
                <w:sz w:val="22"/>
                <w:szCs w:val="22"/>
              </w:rPr>
              <w:t>Recession or economic downturn can affect transaction volume.</w:t>
            </w:r>
          </w:p>
          <w:p w14:paraId="53E411C3" w14:textId="0FB85BFF" w:rsidR="00C70E21" w:rsidRDefault="00C70E21" w:rsidP="00C70E21">
            <w:pPr>
              <w:pStyle w:val="ListParagraph"/>
              <w:numPr>
                <w:ilvl w:val="0"/>
                <w:numId w:val="8"/>
              </w:numPr>
              <w:rPr>
                <w:sz w:val="22"/>
                <w:szCs w:val="22"/>
              </w:rPr>
            </w:pPr>
            <w:r w:rsidRPr="00C70E21">
              <w:rPr>
                <w:sz w:val="22"/>
                <w:szCs w:val="22"/>
              </w:rPr>
              <w:t>Currency exchange rates can impact financial results</w:t>
            </w:r>
            <w:r>
              <w:rPr>
                <w:sz w:val="22"/>
                <w:szCs w:val="22"/>
              </w:rPr>
              <w:t>.</w:t>
            </w:r>
          </w:p>
          <w:p w14:paraId="5830861B" w14:textId="2E83C20E" w:rsidR="00C70E21" w:rsidRPr="00C70E21" w:rsidRDefault="00C70E21" w:rsidP="00C70E21">
            <w:pPr>
              <w:pStyle w:val="ListParagraph"/>
              <w:numPr>
                <w:ilvl w:val="0"/>
                <w:numId w:val="8"/>
              </w:numPr>
              <w:rPr>
                <w:sz w:val="22"/>
                <w:szCs w:val="22"/>
              </w:rPr>
            </w:pPr>
            <w:r>
              <w:rPr>
                <w:sz w:val="22"/>
                <w:szCs w:val="22"/>
              </w:rPr>
              <w:t>Increase in use of digital payments.</w:t>
            </w:r>
          </w:p>
        </w:tc>
      </w:tr>
      <w:tr w:rsidR="00C70E21" w14:paraId="53BB5C84" w14:textId="77777777" w:rsidTr="00C70E21">
        <w:tc>
          <w:tcPr>
            <w:tcW w:w="4505" w:type="dxa"/>
          </w:tcPr>
          <w:p w14:paraId="7E1D0FA9" w14:textId="28818575" w:rsidR="00C70E21" w:rsidRDefault="00C70E21">
            <w:pPr>
              <w:rPr>
                <w:u w:val="single"/>
              </w:rPr>
            </w:pPr>
            <w:r>
              <w:rPr>
                <w:u w:val="single"/>
              </w:rPr>
              <w:t>Social</w:t>
            </w:r>
          </w:p>
        </w:tc>
        <w:tc>
          <w:tcPr>
            <w:tcW w:w="4505" w:type="dxa"/>
          </w:tcPr>
          <w:p w14:paraId="3BEED057" w14:textId="736DC0E7" w:rsidR="00C70E21" w:rsidRDefault="00C70E21">
            <w:pPr>
              <w:rPr>
                <w:u w:val="single"/>
              </w:rPr>
            </w:pPr>
            <w:r>
              <w:rPr>
                <w:u w:val="single"/>
              </w:rPr>
              <w:t>Technological</w:t>
            </w:r>
          </w:p>
        </w:tc>
      </w:tr>
      <w:tr w:rsidR="00C70E21" w14:paraId="78C5AEC7" w14:textId="77777777" w:rsidTr="00F27E65">
        <w:trPr>
          <w:trHeight w:val="973"/>
        </w:trPr>
        <w:tc>
          <w:tcPr>
            <w:tcW w:w="4505" w:type="dxa"/>
          </w:tcPr>
          <w:p w14:paraId="1269D98B" w14:textId="3A55FAD2" w:rsidR="00C70E21" w:rsidRPr="00F27E65" w:rsidRDefault="00C70E21" w:rsidP="00F27E65">
            <w:pPr>
              <w:pStyle w:val="ListParagraph"/>
              <w:numPr>
                <w:ilvl w:val="0"/>
                <w:numId w:val="9"/>
              </w:numPr>
              <w:rPr>
                <w:sz w:val="22"/>
                <w:szCs w:val="22"/>
              </w:rPr>
            </w:pPr>
            <w:r w:rsidRPr="00F27E65">
              <w:rPr>
                <w:sz w:val="22"/>
                <w:szCs w:val="22"/>
              </w:rPr>
              <w:t>Promoting financial inclusion</w:t>
            </w:r>
            <w:r w:rsidR="00F27E65" w:rsidRPr="00F27E65">
              <w:rPr>
                <w:sz w:val="22"/>
                <w:szCs w:val="22"/>
              </w:rPr>
              <w:t>.</w:t>
            </w:r>
          </w:p>
          <w:p w14:paraId="124229D3" w14:textId="0F840E7A" w:rsidR="00C70E21" w:rsidRPr="00F27E65" w:rsidRDefault="00C70E21" w:rsidP="00F27E65">
            <w:pPr>
              <w:pStyle w:val="ListParagraph"/>
              <w:numPr>
                <w:ilvl w:val="0"/>
                <w:numId w:val="9"/>
              </w:numPr>
              <w:rPr>
                <w:sz w:val="22"/>
                <w:szCs w:val="22"/>
              </w:rPr>
            </w:pPr>
            <w:r w:rsidRPr="00F27E65">
              <w:rPr>
                <w:sz w:val="22"/>
                <w:szCs w:val="22"/>
              </w:rPr>
              <w:t>Adjusting products for consumer preferences</w:t>
            </w:r>
            <w:r w:rsidR="00F27E65" w:rsidRPr="00F27E65">
              <w:rPr>
                <w:sz w:val="22"/>
                <w:szCs w:val="22"/>
              </w:rPr>
              <w:t>.</w:t>
            </w:r>
          </w:p>
          <w:p w14:paraId="55D915A9" w14:textId="050FAF06" w:rsidR="00C70E21" w:rsidRPr="00C70E21" w:rsidRDefault="00C70E21">
            <w:pPr>
              <w:rPr>
                <w:sz w:val="22"/>
                <w:szCs w:val="22"/>
              </w:rPr>
            </w:pPr>
          </w:p>
        </w:tc>
        <w:tc>
          <w:tcPr>
            <w:tcW w:w="4505" w:type="dxa"/>
          </w:tcPr>
          <w:p w14:paraId="22B056CA" w14:textId="3692D72F" w:rsidR="00C70E21" w:rsidRPr="00F27E65" w:rsidRDefault="00F27E65" w:rsidP="00F27E65">
            <w:pPr>
              <w:pStyle w:val="ListParagraph"/>
              <w:numPr>
                <w:ilvl w:val="0"/>
                <w:numId w:val="9"/>
              </w:numPr>
              <w:rPr>
                <w:sz w:val="22"/>
                <w:szCs w:val="22"/>
              </w:rPr>
            </w:pPr>
            <w:r w:rsidRPr="00F27E65">
              <w:rPr>
                <w:sz w:val="22"/>
                <w:szCs w:val="22"/>
              </w:rPr>
              <w:t>Advancement in technology, Blockchain and Crypto.</w:t>
            </w:r>
          </w:p>
          <w:p w14:paraId="0420C8D8" w14:textId="5700037E" w:rsidR="00F27E65" w:rsidRPr="00F27E65" w:rsidRDefault="00F27E65" w:rsidP="00F27E65">
            <w:pPr>
              <w:pStyle w:val="ListParagraph"/>
              <w:numPr>
                <w:ilvl w:val="0"/>
                <w:numId w:val="9"/>
              </w:numPr>
              <w:rPr>
                <w:sz w:val="22"/>
                <w:szCs w:val="22"/>
              </w:rPr>
            </w:pPr>
            <w:r w:rsidRPr="00F27E65">
              <w:rPr>
                <w:sz w:val="22"/>
                <w:szCs w:val="22"/>
              </w:rPr>
              <w:t>Cybersecurity threats.</w:t>
            </w:r>
          </w:p>
        </w:tc>
      </w:tr>
      <w:tr w:rsidR="00C70E21" w14:paraId="5A5D1EFC" w14:textId="77777777" w:rsidTr="00C70E21">
        <w:tc>
          <w:tcPr>
            <w:tcW w:w="4505" w:type="dxa"/>
          </w:tcPr>
          <w:p w14:paraId="52CEFDDB" w14:textId="54657873" w:rsidR="00C70E21" w:rsidRDefault="00C70E21">
            <w:pPr>
              <w:rPr>
                <w:u w:val="single"/>
              </w:rPr>
            </w:pPr>
            <w:r>
              <w:rPr>
                <w:u w:val="single"/>
              </w:rPr>
              <w:t>Legal</w:t>
            </w:r>
          </w:p>
        </w:tc>
        <w:tc>
          <w:tcPr>
            <w:tcW w:w="4505" w:type="dxa"/>
          </w:tcPr>
          <w:p w14:paraId="69ED943F" w14:textId="3B9AC36C" w:rsidR="00C70E21" w:rsidRDefault="00F27E65">
            <w:pPr>
              <w:rPr>
                <w:u w:val="single"/>
              </w:rPr>
            </w:pPr>
            <w:r>
              <w:rPr>
                <w:u w:val="single"/>
              </w:rPr>
              <w:t>Environmental</w:t>
            </w:r>
          </w:p>
        </w:tc>
      </w:tr>
      <w:tr w:rsidR="00C70E21" w14:paraId="747DD13B" w14:textId="77777777" w:rsidTr="00F27E65">
        <w:trPr>
          <w:trHeight w:val="1264"/>
        </w:trPr>
        <w:tc>
          <w:tcPr>
            <w:tcW w:w="4505" w:type="dxa"/>
          </w:tcPr>
          <w:p w14:paraId="0D9BBA73" w14:textId="77777777" w:rsidR="00C70E21" w:rsidRPr="00605097" w:rsidRDefault="00F27E65" w:rsidP="00F27E65">
            <w:pPr>
              <w:pStyle w:val="ListParagraph"/>
              <w:numPr>
                <w:ilvl w:val="0"/>
                <w:numId w:val="10"/>
              </w:numPr>
              <w:rPr>
                <w:sz w:val="22"/>
                <w:szCs w:val="22"/>
                <w:highlight w:val="cyan"/>
              </w:rPr>
            </w:pPr>
            <w:r w:rsidRPr="00605097">
              <w:rPr>
                <w:sz w:val="22"/>
                <w:szCs w:val="22"/>
                <w:highlight w:val="cyan"/>
              </w:rPr>
              <w:t>Antitrust and competition law compliance</w:t>
            </w:r>
          </w:p>
          <w:p w14:paraId="417A8B2E" w14:textId="09EE5F9F" w:rsidR="00F27E65" w:rsidRPr="00F27E65" w:rsidRDefault="00F27E65" w:rsidP="00F27E65">
            <w:pPr>
              <w:pStyle w:val="ListParagraph"/>
              <w:numPr>
                <w:ilvl w:val="0"/>
                <w:numId w:val="10"/>
              </w:numPr>
              <w:rPr>
                <w:sz w:val="22"/>
                <w:szCs w:val="22"/>
              </w:rPr>
            </w:pPr>
            <w:r w:rsidRPr="00605097">
              <w:rPr>
                <w:sz w:val="22"/>
                <w:szCs w:val="22"/>
                <w:highlight w:val="cyan"/>
              </w:rPr>
              <w:t xml:space="preserve">Anti-Money laundering, Anti-terrorist </w:t>
            </w:r>
            <w:bookmarkStart w:id="3" w:name="_GoBack"/>
            <w:commentRangeStart w:id="4"/>
            <w:r w:rsidRPr="00605097">
              <w:rPr>
                <w:sz w:val="22"/>
                <w:szCs w:val="22"/>
                <w:highlight w:val="cyan"/>
              </w:rPr>
              <w:t>financing</w:t>
            </w:r>
            <w:bookmarkEnd w:id="3"/>
            <w:commentRangeEnd w:id="4"/>
            <w:r w:rsidR="00605097">
              <w:rPr>
                <w:rStyle w:val="CommentReference"/>
              </w:rPr>
              <w:commentReference w:id="4"/>
            </w:r>
          </w:p>
        </w:tc>
        <w:tc>
          <w:tcPr>
            <w:tcW w:w="4505" w:type="dxa"/>
          </w:tcPr>
          <w:p w14:paraId="36A5C9B0" w14:textId="77777777" w:rsidR="00C70E21" w:rsidRDefault="00F27E65" w:rsidP="00F27E65">
            <w:pPr>
              <w:pStyle w:val="ListParagraph"/>
              <w:numPr>
                <w:ilvl w:val="0"/>
                <w:numId w:val="10"/>
              </w:numPr>
              <w:rPr>
                <w:sz w:val="22"/>
                <w:szCs w:val="22"/>
              </w:rPr>
            </w:pPr>
            <w:r>
              <w:rPr>
                <w:sz w:val="22"/>
                <w:szCs w:val="22"/>
              </w:rPr>
              <w:t>Minimizing environmental footprint</w:t>
            </w:r>
          </w:p>
          <w:p w14:paraId="64543703" w14:textId="77777777" w:rsidR="00F27E65" w:rsidRDefault="00F27E65" w:rsidP="00F27E65">
            <w:pPr>
              <w:pStyle w:val="ListParagraph"/>
              <w:numPr>
                <w:ilvl w:val="0"/>
                <w:numId w:val="10"/>
              </w:numPr>
              <w:rPr>
                <w:sz w:val="22"/>
                <w:szCs w:val="22"/>
              </w:rPr>
            </w:pPr>
            <w:r>
              <w:rPr>
                <w:sz w:val="22"/>
                <w:szCs w:val="22"/>
              </w:rPr>
              <w:t>Promoting awareness to ESG and sustainability</w:t>
            </w:r>
          </w:p>
          <w:p w14:paraId="153A3131" w14:textId="7F9FB5EF" w:rsidR="00F27E65" w:rsidRPr="00F27E65" w:rsidRDefault="00F27E65" w:rsidP="00F27E65">
            <w:pPr>
              <w:pStyle w:val="ListParagraph"/>
              <w:rPr>
                <w:sz w:val="22"/>
                <w:szCs w:val="22"/>
              </w:rPr>
            </w:pPr>
          </w:p>
        </w:tc>
      </w:tr>
    </w:tbl>
    <w:p w14:paraId="6FEEA12B" w14:textId="77777777" w:rsidR="00C70E21" w:rsidRDefault="00C70E21">
      <w:pPr>
        <w:rPr>
          <w:u w:val="single"/>
        </w:rPr>
      </w:pPr>
    </w:p>
    <w:p w14:paraId="680F38B4" w14:textId="77777777" w:rsidR="00F27E65" w:rsidRDefault="00F27E65">
      <w:pPr>
        <w:rPr>
          <w:u w:val="single"/>
        </w:rPr>
      </w:pPr>
    </w:p>
    <w:p w14:paraId="6A703D81" w14:textId="77777777" w:rsidR="00605097" w:rsidRPr="00DC04B7" w:rsidRDefault="00605097" w:rsidP="00605097">
      <w:pPr>
        <w:pStyle w:val="CommentText"/>
        <w:autoSpaceDN w:val="0"/>
        <w:rPr>
          <w:b/>
          <w:bCs/>
          <w:highlight w:val="green"/>
          <w:u w:val="single"/>
        </w:rPr>
      </w:pPr>
      <w:r w:rsidRPr="00DC04B7">
        <w:rPr>
          <w:b/>
          <w:bCs/>
          <w:highlight w:val="green"/>
          <w:u w:val="single"/>
        </w:rPr>
        <w:t>Political</w:t>
      </w:r>
    </w:p>
    <w:p w14:paraId="6EF45B72" w14:textId="77777777" w:rsidR="00605097" w:rsidRPr="00DC04B7" w:rsidRDefault="00605097" w:rsidP="00605097">
      <w:pPr>
        <w:pStyle w:val="CommentText"/>
        <w:numPr>
          <w:ilvl w:val="0"/>
          <w:numId w:val="16"/>
        </w:numPr>
        <w:autoSpaceDN w:val="0"/>
        <w:spacing w:after="160"/>
        <w:rPr>
          <w:highlight w:val="green"/>
        </w:rPr>
      </w:pPr>
      <w:r w:rsidRPr="00DC04B7">
        <w:rPr>
          <w:highlight w:val="green"/>
        </w:rPr>
        <w:t>Demonetization (India)</w:t>
      </w:r>
    </w:p>
    <w:p w14:paraId="2F651F99" w14:textId="77777777" w:rsidR="00605097" w:rsidRPr="00DC04B7" w:rsidRDefault="00605097" w:rsidP="00605097">
      <w:pPr>
        <w:pStyle w:val="CommentText"/>
        <w:numPr>
          <w:ilvl w:val="0"/>
          <w:numId w:val="16"/>
        </w:numPr>
        <w:autoSpaceDN w:val="0"/>
        <w:spacing w:after="160"/>
        <w:rPr>
          <w:highlight w:val="green"/>
        </w:rPr>
      </w:pPr>
      <w:r w:rsidRPr="00DC04B7">
        <w:rPr>
          <w:highlight w:val="green"/>
        </w:rPr>
        <w:t>Attitude of ruling party about cards instead of cash</w:t>
      </w:r>
    </w:p>
    <w:p w14:paraId="5579FBBC" w14:textId="77777777" w:rsidR="00605097" w:rsidRPr="00DC04B7" w:rsidRDefault="00605097" w:rsidP="00605097">
      <w:pPr>
        <w:pStyle w:val="CommentText"/>
        <w:numPr>
          <w:ilvl w:val="0"/>
          <w:numId w:val="16"/>
        </w:numPr>
        <w:autoSpaceDN w:val="0"/>
        <w:spacing w:after="160"/>
        <w:rPr>
          <w:highlight w:val="green"/>
        </w:rPr>
      </w:pPr>
      <w:r w:rsidRPr="00DC04B7">
        <w:rPr>
          <w:highlight w:val="green"/>
        </w:rPr>
        <w:t>Government backed local competitors</w:t>
      </w:r>
    </w:p>
    <w:p w14:paraId="43BB3C41" w14:textId="77777777" w:rsidR="00605097" w:rsidRPr="00DC04B7" w:rsidRDefault="00605097" w:rsidP="00605097">
      <w:pPr>
        <w:pStyle w:val="CommentText"/>
        <w:numPr>
          <w:ilvl w:val="0"/>
          <w:numId w:val="16"/>
        </w:numPr>
        <w:autoSpaceDN w:val="0"/>
        <w:spacing w:after="160"/>
        <w:rPr>
          <w:highlight w:val="green"/>
        </w:rPr>
      </w:pPr>
      <w:r w:rsidRPr="00DC04B7">
        <w:rPr>
          <w:highlight w:val="green"/>
        </w:rPr>
        <w:t>Tax legislations</w:t>
      </w:r>
    </w:p>
    <w:p w14:paraId="0103651B" w14:textId="77777777" w:rsidR="00605097" w:rsidRPr="00DC04B7" w:rsidRDefault="00605097" w:rsidP="00605097">
      <w:pPr>
        <w:pStyle w:val="CommentText"/>
        <w:rPr>
          <w:highlight w:val="green"/>
        </w:rPr>
      </w:pPr>
    </w:p>
    <w:p w14:paraId="7A4A67F7" w14:textId="77777777" w:rsidR="00605097" w:rsidRPr="00DC04B7" w:rsidRDefault="00605097" w:rsidP="00605097">
      <w:pPr>
        <w:pStyle w:val="CommentText"/>
        <w:rPr>
          <w:b/>
          <w:bCs/>
          <w:highlight w:val="green"/>
          <w:u w:val="single"/>
        </w:rPr>
      </w:pPr>
      <w:r w:rsidRPr="00DC04B7">
        <w:rPr>
          <w:b/>
          <w:bCs/>
          <w:highlight w:val="green"/>
          <w:u w:val="single"/>
        </w:rPr>
        <w:lastRenderedPageBreak/>
        <w:t>Social</w:t>
      </w:r>
    </w:p>
    <w:p w14:paraId="1383608D" w14:textId="77777777" w:rsidR="00605097" w:rsidRPr="00DC04B7" w:rsidRDefault="00605097" w:rsidP="00605097">
      <w:pPr>
        <w:pStyle w:val="CommentText"/>
        <w:numPr>
          <w:ilvl w:val="0"/>
          <w:numId w:val="17"/>
        </w:numPr>
        <w:autoSpaceDN w:val="0"/>
        <w:spacing w:after="160"/>
        <w:rPr>
          <w:highlight w:val="green"/>
        </w:rPr>
      </w:pPr>
      <w:r w:rsidRPr="00DC04B7">
        <w:rPr>
          <w:highlight w:val="green"/>
        </w:rPr>
        <w:t>Attitude towards credit cards/savings</w:t>
      </w:r>
    </w:p>
    <w:p w14:paraId="321BBCF1" w14:textId="77777777" w:rsidR="00605097" w:rsidRPr="00DC04B7" w:rsidRDefault="00605097" w:rsidP="00605097">
      <w:pPr>
        <w:pStyle w:val="CommentText"/>
        <w:numPr>
          <w:ilvl w:val="0"/>
          <w:numId w:val="17"/>
        </w:numPr>
        <w:autoSpaceDN w:val="0"/>
        <w:spacing w:after="160"/>
        <w:rPr>
          <w:highlight w:val="green"/>
        </w:rPr>
      </w:pPr>
      <w:r w:rsidRPr="00DC04B7">
        <w:rPr>
          <w:highlight w:val="green"/>
        </w:rPr>
        <w:t>Card penetration in developing countries</w:t>
      </w:r>
    </w:p>
    <w:p w14:paraId="6D2C3A79" w14:textId="77777777" w:rsidR="00605097" w:rsidRPr="00DC04B7" w:rsidRDefault="00605097" w:rsidP="00605097">
      <w:pPr>
        <w:pStyle w:val="CommentText"/>
        <w:numPr>
          <w:ilvl w:val="0"/>
          <w:numId w:val="17"/>
        </w:numPr>
        <w:autoSpaceDN w:val="0"/>
        <w:spacing w:after="160"/>
        <w:rPr>
          <w:highlight w:val="green"/>
        </w:rPr>
      </w:pPr>
      <w:r w:rsidRPr="00DC04B7">
        <w:rPr>
          <w:highlight w:val="green"/>
        </w:rPr>
        <w:t>Increasing number of elderly people becoming digitally literate</w:t>
      </w:r>
    </w:p>
    <w:p w14:paraId="54CC1464" w14:textId="77777777" w:rsidR="00605097" w:rsidRPr="00DC04B7" w:rsidRDefault="00605097" w:rsidP="00605097">
      <w:pPr>
        <w:pStyle w:val="CommentText"/>
        <w:rPr>
          <w:highlight w:val="green"/>
        </w:rPr>
      </w:pPr>
    </w:p>
    <w:p w14:paraId="3437117A" w14:textId="77777777" w:rsidR="00605097" w:rsidRPr="00DC04B7" w:rsidRDefault="00605097" w:rsidP="00605097">
      <w:pPr>
        <w:pStyle w:val="CommentText"/>
        <w:rPr>
          <w:b/>
          <w:bCs/>
          <w:highlight w:val="green"/>
          <w:u w:val="single"/>
        </w:rPr>
      </w:pPr>
      <w:r w:rsidRPr="00DC04B7">
        <w:rPr>
          <w:b/>
          <w:bCs/>
          <w:highlight w:val="green"/>
          <w:u w:val="single"/>
        </w:rPr>
        <w:t>Technological</w:t>
      </w:r>
    </w:p>
    <w:p w14:paraId="3FA6444C" w14:textId="77777777" w:rsidR="00605097" w:rsidRPr="00DC04B7" w:rsidRDefault="00605097" w:rsidP="00605097">
      <w:pPr>
        <w:pStyle w:val="CommentText"/>
        <w:numPr>
          <w:ilvl w:val="0"/>
          <w:numId w:val="18"/>
        </w:numPr>
        <w:autoSpaceDN w:val="0"/>
        <w:spacing w:after="160"/>
        <w:rPr>
          <w:highlight w:val="green"/>
        </w:rPr>
      </w:pPr>
      <w:r w:rsidRPr="00DC04B7">
        <w:rPr>
          <w:highlight w:val="green"/>
        </w:rPr>
        <w:t>Impact of technology helping competitors and new entrants</w:t>
      </w:r>
    </w:p>
    <w:p w14:paraId="6896DC51" w14:textId="77777777" w:rsidR="00605097" w:rsidRPr="00DC04B7" w:rsidRDefault="00605097" w:rsidP="00605097">
      <w:pPr>
        <w:pStyle w:val="CommentText"/>
        <w:numPr>
          <w:ilvl w:val="0"/>
          <w:numId w:val="18"/>
        </w:numPr>
        <w:autoSpaceDN w:val="0"/>
        <w:spacing w:after="160"/>
        <w:rPr>
          <w:highlight w:val="green"/>
        </w:rPr>
      </w:pPr>
      <w:r w:rsidRPr="00DC04B7">
        <w:rPr>
          <w:highlight w:val="green"/>
        </w:rPr>
        <w:t xml:space="preserve">Costs for new technology adoption and prevention of fraud and crime </w:t>
      </w:r>
    </w:p>
    <w:p w14:paraId="7E8EFEEA" w14:textId="77777777" w:rsidR="00605097" w:rsidRPr="00DC04B7" w:rsidRDefault="00605097" w:rsidP="00605097">
      <w:pPr>
        <w:pStyle w:val="CommentText"/>
        <w:numPr>
          <w:ilvl w:val="0"/>
          <w:numId w:val="18"/>
        </w:numPr>
        <w:autoSpaceDN w:val="0"/>
        <w:spacing w:after="160"/>
        <w:rPr>
          <w:highlight w:val="green"/>
        </w:rPr>
      </w:pPr>
      <w:r w:rsidRPr="00DC04B7">
        <w:rPr>
          <w:highlight w:val="green"/>
        </w:rPr>
        <w:t>Crypto currency gaining market share</w:t>
      </w:r>
    </w:p>
    <w:p w14:paraId="4ED66200" w14:textId="77777777" w:rsidR="00605097" w:rsidRPr="00DC04B7" w:rsidRDefault="00605097" w:rsidP="00605097">
      <w:pPr>
        <w:pStyle w:val="CommentText"/>
        <w:numPr>
          <w:ilvl w:val="0"/>
          <w:numId w:val="18"/>
        </w:numPr>
        <w:autoSpaceDN w:val="0"/>
        <w:spacing w:after="160"/>
        <w:rPr>
          <w:highlight w:val="green"/>
        </w:rPr>
      </w:pPr>
      <w:r w:rsidRPr="00DC04B7">
        <w:rPr>
          <w:highlight w:val="green"/>
        </w:rPr>
        <w:t>Emerging mobile wallets like paypal</w:t>
      </w:r>
    </w:p>
    <w:p w14:paraId="117A71BF" w14:textId="77777777" w:rsidR="00605097" w:rsidRPr="00DC04B7" w:rsidRDefault="00605097" w:rsidP="00605097">
      <w:pPr>
        <w:pStyle w:val="CommentText"/>
        <w:numPr>
          <w:ilvl w:val="0"/>
          <w:numId w:val="18"/>
        </w:numPr>
        <w:autoSpaceDN w:val="0"/>
        <w:spacing w:after="160"/>
        <w:rPr>
          <w:highlight w:val="green"/>
        </w:rPr>
      </w:pPr>
      <w:r w:rsidRPr="00DC04B7">
        <w:rPr>
          <w:highlight w:val="green"/>
        </w:rPr>
        <w:t>Penetration of ATMs and Point of sale</w:t>
      </w:r>
    </w:p>
    <w:p w14:paraId="216A5467" w14:textId="77777777" w:rsidR="00605097" w:rsidRPr="00DC04B7" w:rsidRDefault="00605097" w:rsidP="00605097">
      <w:pPr>
        <w:pStyle w:val="CommentText"/>
        <w:numPr>
          <w:ilvl w:val="0"/>
          <w:numId w:val="18"/>
        </w:numPr>
        <w:autoSpaceDN w:val="0"/>
        <w:spacing w:after="160"/>
        <w:rPr>
          <w:highlight w:val="green"/>
        </w:rPr>
      </w:pPr>
      <w:r w:rsidRPr="00DC04B7">
        <w:rPr>
          <w:highlight w:val="green"/>
        </w:rPr>
        <w:t>Tokenization, Biometrics, Machine learning</w:t>
      </w:r>
    </w:p>
    <w:p w14:paraId="0734A6BF" w14:textId="77777777" w:rsidR="00605097" w:rsidRPr="00DC04B7" w:rsidRDefault="00605097" w:rsidP="00605097">
      <w:pPr>
        <w:pStyle w:val="CommentText"/>
        <w:numPr>
          <w:ilvl w:val="0"/>
          <w:numId w:val="18"/>
        </w:numPr>
        <w:autoSpaceDN w:val="0"/>
        <w:spacing w:after="160"/>
        <w:rPr>
          <w:highlight w:val="green"/>
        </w:rPr>
      </w:pPr>
      <w:r w:rsidRPr="00DC04B7">
        <w:rPr>
          <w:highlight w:val="green"/>
        </w:rPr>
        <w:t>Tap to pay, Scan to pay</w:t>
      </w:r>
    </w:p>
    <w:p w14:paraId="09EDB120" w14:textId="77777777" w:rsidR="00605097" w:rsidRPr="00DC04B7" w:rsidRDefault="00605097" w:rsidP="00605097">
      <w:pPr>
        <w:pStyle w:val="CommentText"/>
        <w:rPr>
          <w:highlight w:val="green"/>
        </w:rPr>
      </w:pPr>
    </w:p>
    <w:p w14:paraId="7EB0D3E4" w14:textId="77777777" w:rsidR="00605097" w:rsidRPr="00DC04B7" w:rsidRDefault="00605097" w:rsidP="00605097">
      <w:pPr>
        <w:pStyle w:val="CommentText"/>
        <w:rPr>
          <w:b/>
          <w:bCs/>
          <w:highlight w:val="green"/>
          <w:u w:val="single"/>
        </w:rPr>
      </w:pPr>
      <w:r w:rsidRPr="00DC04B7">
        <w:rPr>
          <w:b/>
          <w:bCs/>
          <w:highlight w:val="green"/>
          <w:u w:val="single"/>
        </w:rPr>
        <w:t>Environmental</w:t>
      </w:r>
    </w:p>
    <w:p w14:paraId="60BDC5AA" w14:textId="77777777" w:rsidR="00605097" w:rsidRPr="00DC04B7" w:rsidRDefault="00605097" w:rsidP="00605097">
      <w:pPr>
        <w:pStyle w:val="CommentText"/>
        <w:numPr>
          <w:ilvl w:val="0"/>
          <w:numId w:val="19"/>
        </w:numPr>
        <w:autoSpaceDN w:val="0"/>
        <w:spacing w:after="160"/>
        <w:rPr>
          <w:highlight w:val="green"/>
        </w:rPr>
      </w:pPr>
      <w:r w:rsidRPr="00DC04B7">
        <w:rPr>
          <w:highlight w:val="green"/>
        </w:rPr>
        <w:t>Global warming impact on weather issues which affect spending patterns</w:t>
      </w:r>
    </w:p>
    <w:p w14:paraId="6B550410" w14:textId="77777777" w:rsidR="00605097" w:rsidRPr="00DC04B7" w:rsidRDefault="00605097" w:rsidP="00605097">
      <w:pPr>
        <w:pStyle w:val="CommentText"/>
        <w:numPr>
          <w:ilvl w:val="0"/>
          <w:numId w:val="19"/>
        </w:numPr>
        <w:autoSpaceDN w:val="0"/>
        <w:spacing w:after="160"/>
        <w:rPr>
          <w:highlight w:val="green"/>
        </w:rPr>
      </w:pPr>
      <w:r w:rsidRPr="00DC04B7">
        <w:rPr>
          <w:highlight w:val="green"/>
        </w:rPr>
        <w:t>Seasonality impact on spending patterns</w:t>
      </w:r>
    </w:p>
    <w:p w14:paraId="3789DCF0" w14:textId="77777777" w:rsidR="00605097" w:rsidRPr="00DC04B7" w:rsidRDefault="00605097" w:rsidP="00605097">
      <w:pPr>
        <w:pStyle w:val="CommentText"/>
        <w:numPr>
          <w:ilvl w:val="0"/>
          <w:numId w:val="19"/>
        </w:numPr>
        <w:autoSpaceDN w:val="0"/>
        <w:spacing w:after="160"/>
        <w:rPr>
          <w:highlight w:val="green"/>
        </w:rPr>
      </w:pPr>
      <w:r w:rsidRPr="00DC04B7">
        <w:rPr>
          <w:highlight w:val="green"/>
        </w:rPr>
        <w:t>Covid and work from home culture increasing the use of cards in e-commerce compared to cash</w:t>
      </w:r>
    </w:p>
    <w:p w14:paraId="3EEDB83B" w14:textId="77777777" w:rsidR="00605097" w:rsidRPr="00DC04B7" w:rsidRDefault="00605097" w:rsidP="00605097">
      <w:pPr>
        <w:pStyle w:val="CommentText"/>
        <w:rPr>
          <w:highlight w:val="green"/>
        </w:rPr>
      </w:pPr>
    </w:p>
    <w:p w14:paraId="40C18F7E" w14:textId="77777777" w:rsidR="00605097" w:rsidRPr="00DC04B7" w:rsidRDefault="00605097" w:rsidP="00605097">
      <w:pPr>
        <w:pStyle w:val="CommentText"/>
        <w:rPr>
          <w:b/>
          <w:bCs/>
          <w:highlight w:val="green"/>
          <w:u w:val="single"/>
        </w:rPr>
      </w:pPr>
      <w:r w:rsidRPr="00DC04B7">
        <w:rPr>
          <w:b/>
          <w:bCs/>
          <w:highlight w:val="green"/>
          <w:u w:val="single"/>
        </w:rPr>
        <w:t>Legal</w:t>
      </w:r>
    </w:p>
    <w:p w14:paraId="5CAAA95E" w14:textId="77777777" w:rsidR="00605097" w:rsidRPr="00DC04B7" w:rsidRDefault="00605097" w:rsidP="00605097">
      <w:pPr>
        <w:pStyle w:val="CommentText"/>
        <w:numPr>
          <w:ilvl w:val="0"/>
          <w:numId w:val="20"/>
        </w:numPr>
        <w:autoSpaceDN w:val="0"/>
        <w:spacing w:after="160"/>
        <w:rPr>
          <w:highlight w:val="green"/>
        </w:rPr>
      </w:pPr>
      <w:r w:rsidRPr="00DC04B7">
        <w:rPr>
          <w:highlight w:val="green"/>
        </w:rPr>
        <w:t>KYC and privacy laws in various countries</w:t>
      </w:r>
    </w:p>
    <w:p w14:paraId="1A3057C3" w14:textId="77777777" w:rsidR="00605097" w:rsidRPr="00DC04B7" w:rsidRDefault="00605097" w:rsidP="00605097">
      <w:pPr>
        <w:pStyle w:val="CommentText"/>
        <w:numPr>
          <w:ilvl w:val="0"/>
          <w:numId w:val="20"/>
        </w:numPr>
        <w:autoSpaceDN w:val="0"/>
        <w:spacing w:after="160"/>
        <w:rPr>
          <w:highlight w:val="green"/>
        </w:rPr>
      </w:pPr>
      <w:r w:rsidRPr="00DC04B7">
        <w:rPr>
          <w:highlight w:val="green"/>
        </w:rPr>
        <w:t>Anti money-laundering laws</w:t>
      </w:r>
    </w:p>
    <w:p w14:paraId="4BA39ACC" w14:textId="77777777" w:rsidR="00605097" w:rsidRPr="00DC04B7" w:rsidRDefault="00605097" w:rsidP="00605097">
      <w:pPr>
        <w:pStyle w:val="CommentText"/>
        <w:numPr>
          <w:ilvl w:val="0"/>
          <w:numId w:val="20"/>
        </w:numPr>
        <w:autoSpaceDN w:val="0"/>
        <w:spacing w:after="160"/>
        <w:rPr>
          <w:highlight w:val="green"/>
        </w:rPr>
      </w:pPr>
      <w:r w:rsidRPr="00DC04B7">
        <w:rPr>
          <w:highlight w:val="green"/>
        </w:rPr>
        <w:t>Privacy and data protection laws</w:t>
      </w:r>
    </w:p>
    <w:p w14:paraId="1C9A0C0B" w14:textId="77777777" w:rsidR="00F27E65" w:rsidRDefault="00F27E65">
      <w:pPr>
        <w:rPr>
          <w:u w:val="single"/>
        </w:rPr>
      </w:pPr>
    </w:p>
    <w:p w14:paraId="384027C1" w14:textId="77777777" w:rsidR="00F27E65" w:rsidRDefault="00F27E65">
      <w:pPr>
        <w:rPr>
          <w:u w:val="single"/>
        </w:rPr>
      </w:pPr>
    </w:p>
    <w:p w14:paraId="51B3A3F3" w14:textId="77777777" w:rsidR="00F27E65" w:rsidRDefault="00F27E65">
      <w:pPr>
        <w:rPr>
          <w:u w:val="single"/>
        </w:rPr>
      </w:pPr>
    </w:p>
    <w:p w14:paraId="76BD207B" w14:textId="77777777" w:rsidR="00F27E65" w:rsidRDefault="00F27E65">
      <w:pPr>
        <w:rPr>
          <w:u w:val="single"/>
        </w:rPr>
      </w:pPr>
    </w:p>
    <w:p w14:paraId="2E2642EF" w14:textId="77777777" w:rsidR="00F27E65" w:rsidRDefault="00F27E65">
      <w:pPr>
        <w:rPr>
          <w:u w:val="single"/>
        </w:rPr>
      </w:pPr>
    </w:p>
    <w:p w14:paraId="4246F698" w14:textId="77777777" w:rsidR="00F27E65" w:rsidRPr="00431FEC" w:rsidRDefault="00F27E65">
      <w:pPr>
        <w:rPr>
          <w:u w:val="single"/>
        </w:rPr>
      </w:pPr>
    </w:p>
    <w:p w14:paraId="430ADB12" w14:textId="404FA004" w:rsidR="000E306C" w:rsidRDefault="00605097" w:rsidP="00C34BAE">
      <w:hyperlink r:id="rId10" w:history="1">
        <w:r w:rsidR="00AB15D4" w:rsidRPr="00BF4215">
          <w:rPr>
            <w:rStyle w:val="Hyperlink"/>
          </w:rPr>
          <w:t>https://annualreport.visa.com/financials/default.aspx</w:t>
        </w:r>
      </w:hyperlink>
    </w:p>
    <w:p w14:paraId="27E83192" w14:textId="77777777" w:rsidR="00AB15D4" w:rsidRDefault="00AB15D4" w:rsidP="00C34BAE"/>
    <w:p w14:paraId="13E86A7C" w14:textId="5084A43A" w:rsidR="00AB15D4" w:rsidRDefault="00605097" w:rsidP="00C34BAE">
      <w:hyperlink r:id="rId11" w:history="1">
        <w:r w:rsidR="00AB15D4" w:rsidRPr="00BF4215">
          <w:rPr>
            <w:rStyle w:val="Hyperlink"/>
          </w:rPr>
          <w:t>https://www.visa.co.uk/about-visa.html</w:t>
        </w:r>
      </w:hyperlink>
    </w:p>
    <w:p w14:paraId="4ECC0203" w14:textId="77777777" w:rsidR="00AB15D4" w:rsidRDefault="00AB15D4" w:rsidP="00C34BAE"/>
    <w:p w14:paraId="243673A6" w14:textId="23A7B319" w:rsidR="00AB15D4" w:rsidRDefault="00605097" w:rsidP="00C34BAE">
      <w:hyperlink r:id="rId12" w:history="1">
        <w:r w:rsidR="00AB15D4" w:rsidRPr="00BF4215">
          <w:rPr>
            <w:rStyle w:val="Hyperlink"/>
          </w:rPr>
          <w:t>https://s29.q4cdn.com/385744025/files/doc_downloads/2022/Visa-Inc-Fiscal-2022-Annual-Report.pdf</w:t>
        </w:r>
      </w:hyperlink>
    </w:p>
    <w:p w14:paraId="457BA82C" w14:textId="77777777" w:rsidR="00AB15D4" w:rsidRDefault="00AB15D4" w:rsidP="00C34BAE"/>
    <w:p w14:paraId="4018C3BC" w14:textId="2FC8A782" w:rsidR="00AB15D4" w:rsidRDefault="00605097" w:rsidP="00C34BAE">
      <w:hyperlink r:id="rId13" w:history="1">
        <w:r w:rsidR="00AB15D4" w:rsidRPr="00BF4215">
          <w:rPr>
            <w:rStyle w:val="Hyperlink"/>
          </w:rPr>
          <w:t>https://www.globaldata.com/company-profile/visa-inc/competitors/</w:t>
        </w:r>
      </w:hyperlink>
    </w:p>
    <w:p w14:paraId="0F6FD199" w14:textId="77777777" w:rsidR="00AB15D4" w:rsidRDefault="00AB15D4" w:rsidP="00C34BAE"/>
    <w:p w14:paraId="011D568E" w14:textId="02A7E4D6" w:rsidR="00AB15D4" w:rsidRDefault="00605097" w:rsidP="00C34BAE">
      <w:hyperlink r:id="rId14" w:history="1">
        <w:r w:rsidR="00AB15D4" w:rsidRPr="00BF4215">
          <w:rPr>
            <w:rStyle w:val="Hyperlink"/>
          </w:rPr>
          <w:t>https://www.investopedia.com/how-visa-makes-money-4799098</w:t>
        </w:r>
      </w:hyperlink>
    </w:p>
    <w:p w14:paraId="3F86C5AD" w14:textId="77777777" w:rsidR="00AB15D4" w:rsidRDefault="00AB15D4" w:rsidP="00C34BAE"/>
    <w:p w14:paraId="6BD6B3C7" w14:textId="3682DEB2" w:rsidR="00B81505" w:rsidRDefault="00605097" w:rsidP="00C34BAE">
      <w:hyperlink r:id="rId15" w:history="1">
        <w:r w:rsidR="00B81505" w:rsidRPr="00BF4215">
          <w:rPr>
            <w:rStyle w:val="Hyperlink"/>
          </w:rPr>
          <w:t>https://www.hivelr.com/2023/02/visa-inc-v-porters-five-forces-industry-and-competition-analysis/</w:t>
        </w:r>
      </w:hyperlink>
    </w:p>
    <w:p w14:paraId="1A290AB4" w14:textId="77777777" w:rsidR="00B81505" w:rsidRDefault="00B81505" w:rsidP="00C34BAE"/>
    <w:p w14:paraId="5F546D15" w14:textId="20980CBC" w:rsidR="00B81505" w:rsidRDefault="00605097" w:rsidP="00C34BAE">
      <w:hyperlink r:id="rId16" w:history="1">
        <w:r w:rsidR="002D6CA6" w:rsidRPr="00BF4215">
          <w:rPr>
            <w:rStyle w:val="Hyperlink"/>
          </w:rPr>
          <w:t>https://help.globalfy.com/hc/en-us/articles/11089096323483-In-which-countries-does-my-Visa-Debit-Card-do-not-work-</w:t>
        </w:r>
      </w:hyperlink>
    </w:p>
    <w:p w14:paraId="33B26AB5" w14:textId="77777777" w:rsidR="002D6CA6" w:rsidRDefault="002D6CA6" w:rsidP="00C34BAE"/>
    <w:p w14:paraId="7BA235F6" w14:textId="02459C5F" w:rsidR="002D6CA6" w:rsidRDefault="00605097" w:rsidP="00C34BAE">
      <w:hyperlink r:id="rId17" w:history="1">
        <w:r w:rsidR="00E171A0" w:rsidRPr="00BF4215">
          <w:rPr>
            <w:rStyle w:val="Hyperlink"/>
          </w:rPr>
          <w:t>https://s25.q4cdn.com/479285134/files/doc_financials/2022/AR/MA.12.31.2022-10-K-as-filed.pdf</w:t>
        </w:r>
      </w:hyperlink>
    </w:p>
    <w:p w14:paraId="65B32CFB" w14:textId="77777777" w:rsidR="00E171A0" w:rsidRPr="00C34BAE" w:rsidRDefault="00E171A0" w:rsidP="00C34BAE"/>
    <w:sectPr w:rsidR="00E171A0" w:rsidRPr="00C34BAE" w:rsidSect="00847B5E">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9-30T00:31:00Z" w:initials="Ma">
    <w:p w14:paraId="10CC8EA4" w14:textId="7A12ECFB" w:rsidR="00605097" w:rsidRDefault="00605097">
      <w:pPr>
        <w:pStyle w:val="CommentText"/>
      </w:pPr>
      <w:r>
        <w:rPr>
          <w:rStyle w:val="CommentReference"/>
        </w:rPr>
        <w:annotationRef/>
      </w:r>
      <w:r>
        <w:t>Good observation</w:t>
      </w:r>
    </w:p>
  </w:comment>
  <w:comment w:id="1" w:author="Microsoft account" w:date="2023-09-30T00:31:00Z" w:initials="Ma">
    <w:p w14:paraId="431A6094" w14:textId="3703CFE4" w:rsidR="00605097" w:rsidRDefault="00605097">
      <w:pPr>
        <w:pStyle w:val="CommentText"/>
      </w:pPr>
      <w:r>
        <w:rPr>
          <w:rStyle w:val="CommentReference"/>
        </w:rPr>
        <w:annotationRef/>
      </w:r>
      <w:r>
        <w:t>Good observation</w:t>
      </w:r>
    </w:p>
  </w:comment>
  <w:comment w:id="2" w:author="Microsoft account" w:date="2023-09-30T00:32:00Z" w:initials="Ma">
    <w:p w14:paraId="284B313A" w14:textId="2D70F881" w:rsidR="00605097" w:rsidRDefault="00605097">
      <w:pPr>
        <w:pStyle w:val="CommentText"/>
      </w:pPr>
      <w:r>
        <w:rPr>
          <w:rStyle w:val="CommentReference"/>
        </w:rPr>
        <w:annotationRef/>
      </w:r>
      <w:r>
        <w:t>Good observation</w:t>
      </w:r>
    </w:p>
  </w:comment>
  <w:comment w:id="4" w:author="Microsoft account" w:date="2023-09-30T00:34:00Z" w:initials="Ma">
    <w:p w14:paraId="5E765E79" w14:textId="12421AC5" w:rsidR="00605097" w:rsidRDefault="00605097">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CC8EA4" w15:done="0"/>
  <w15:commentEx w15:paraId="431A6094" w15:done="0"/>
  <w15:commentEx w15:paraId="284B313A" w15:done="0"/>
  <w15:commentEx w15:paraId="5E765E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625"/>
    <w:multiLevelType w:val="hybridMultilevel"/>
    <w:tmpl w:val="8E84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A68D4"/>
    <w:multiLevelType w:val="hybridMultilevel"/>
    <w:tmpl w:val="C55C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B027A"/>
    <w:multiLevelType w:val="hybridMultilevel"/>
    <w:tmpl w:val="4F24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7250B"/>
    <w:multiLevelType w:val="hybridMultilevel"/>
    <w:tmpl w:val="7B22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5945961"/>
    <w:multiLevelType w:val="hybridMultilevel"/>
    <w:tmpl w:val="30D8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916A5"/>
    <w:multiLevelType w:val="hybridMultilevel"/>
    <w:tmpl w:val="E8D4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F0889"/>
    <w:multiLevelType w:val="hybridMultilevel"/>
    <w:tmpl w:val="4546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A2B6F"/>
    <w:multiLevelType w:val="hybridMultilevel"/>
    <w:tmpl w:val="E5B4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3B2229A"/>
    <w:multiLevelType w:val="hybridMultilevel"/>
    <w:tmpl w:val="2708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CE5E20"/>
    <w:multiLevelType w:val="hybridMultilevel"/>
    <w:tmpl w:val="2196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E519BE"/>
    <w:multiLevelType w:val="hybridMultilevel"/>
    <w:tmpl w:val="648E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7"/>
  </w:num>
  <w:num w:numId="4">
    <w:abstractNumId w:val="9"/>
  </w:num>
  <w:num w:numId="5">
    <w:abstractNumId w:val="18"/>
  </w:num>
  <w:num w:numId="6">
    <w:abstractNumId w:val="0"/>
  </w:num>
  <w:num w:numId="7">
    <w:abstractNumId w:val="10"/>
  </w:num>
  <w:num w:numId="8">
    <w:abstractNumId w:val="5"/>
  </w:num>
  <w:num w:numId="9">
    <w:abstractNumId w:val="8"/>
  </w:num>
  <w:num w:numId="10">
    <w:abstractNumId w:val="19"/>
  </w:num>
  <w:num w:numId="11">
    <w:abstractNumId w:val="3"/>
  </w:num>
  <w:num w:numId="12">
    <w:abstractNumId w:val="2"/>
  </w:num>
  <w:num w:numId="13">
    <w:abstractNumId w:val="13"/>
  </w:num>
  <w:num w:numId="14">
    <w:abstractNumId w:val="14"/>
  </w:num>
  <w:num w:numId="15">
    <w:abstractNumId w:val="6"/>
  </w:num>
  <w:num w:numId="16">
    <w:abstractNumId w:val="16"/>
  </w:num>
  <w:num w:numId="17">
    <w:abstractNumId w:val="15"/>
  </w:num>
  <w:num w:numId="18">
    <w:abstractNumId w:val="1"/>
  </w:num>
  <w:num w:numId="19">
    <w:abstractNumId w:val="7"/>
  </w:num>
  <w:num w:numId="2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F4"/>
    <w:rsid w:val="000E306C"/>
    <w:rsid w:val="001B0772"/>
    <w:rsid w:val="00262A69"/>
    <w:rsid w:val="002D6CA6"/>
    <w:rsid w:val="002D7601"/>
    <w:rsid w:val="002E20A3"/>
    <w:rsid w:val="00314E5E"/>
    <w:rsid w:val="003B09F4"/>
    <w:rsid w:val="00431FEC"/>
    <w:rsid w:val="0045536A"/>
    <w:rsid w:val="005201B5"/>
    <w:rsid w:val="005D0E71"/>
    <w:rsid w:val="00601052"/>
    <w:rsid w:val="00605097"/>
    <w:rsid w:val="0061579A"/>
    <w:rsid w:val="00723C51"/>
    <w:rsid w:val="00747083"/>
    <w:rsid w:val="00847B5E"/>
    <w:rsid w:val="008E09C5"/>
    <w:rsid w:val="00982754"/>
    <w:rsid w:val="00A22D4A"/>
    <w:rsid w:val="00AB15D4"/>
    <w:rsid w:val="00B72C99"/>
    <w:rsid w:val="00B81505"/>
    <w:rsid w:val="00B903ED"/>
    <w:rsid w:val="00C17E6E"/>
    <w:rsid w:val="00C34BAE"/>
    <w:rsid w:val="00C70E21"/>
    <w:rsid w:val="00D9281F"/>
    <w:rsid w:val="00E171A0"/>
    <w:rsid w:val="00F10988"/>
    <w:rsid w:val="00F2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123C"/>
  <w15:chartTrackingRefBased/>
  <w15:docId w15:val="{3FCE9E1D-34F0-6543-BB1D-763F2C47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708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B15D4"/>
    <w:rPr>
      <w:color w:val="0563C1" w:themeColor="hyperlink"/>
      <w:u w:val="single"/>
    </w:rPr>
  </w:style>
  <w:style w:type="character" w:customStyle="1" w:styleId="UnresolvedMention">
    <w:name w:val="Unresolved Mention"/>
    <w:basedOn w:val="DefaultParagraphFont"/>
    <w:uiPriority w:val="99"/>
    <w:semiHidden/>
    <w:unhideWhenUsed/>
    <w:rsid w:val="00AB15D4"/>
    <w:rPr>
      <w:color w:val="605E5C"/>
      <w:shd w:val="clear" w:color="auto" w:fill="E1DFDD"/>
    </w:rPr>
  </w:style>
  <w:style w:type="paragraph" w:styleId="ListParagraph">
    <w:name w:val="List Paragraph"/>
    <w:basedOn w:val="Normal"/>
    <w:uiPriority w:val="34"/>
    <w:qFormat/>
    <w:rsid w:val="00262A69"/>
    <w:pPr>
      <w:ind w:left="720"/>
      <w:contextualSpacing/>
    </w:pPr>
  </w:style>
  <w:style w:type="table" w:styleId="TableGrid">
    <w:name w:val="Table Grid"/>
    <w:basedOn w:val="TableNormal"/>
    <w:uiPriority w:val="39"/>
    <w:rsid w:val="0043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5097"/>
    <w:rPr>
      <w:sz w:val="16"/>
      <w:szCs w:val="16"/>
    </w:rPr>
  </w:style>
  <w:style w:type="paragraph" w:styleId="CommentText">
    <w:name w:val="annotation text"/>
    <w:basedOn w:val="Normal"/>
    <w:link w:val="CommentTextChar"/>
    <w:unhideWhenUsed/>
    <w:rsid w:val="00605097"/>
    <w:rPr>
      <w:sz w:val="20"/>
      <w:szCs w:val="20"/>
    </w:rPr>
  </w:style>
  <w:style w:type="character" w:customStyle="1" w:styleId="CommentTextChar">
    <w:name w:val="Comment Text Char"/>
    <w:basedOn w:val="DefaultParagraphFont"/>
    <w:link w:val="CommentText"/>
    <w:uiPriority w:val="99"/>
    <w:rsid w:val="00605097"/>
    <w:rPr>
      <w:sz w:val="20"/>
      <w:szCs w:val="20"/>
    </w:rPr>
  </w:style>
  <w:style w:type="paragraph" w:styleId="CommentSubject">
    <w:name w:val="annotation subject"/>
    <w:basedOn w:val="CommentText"/>
    <w:next w:val="CommentText"/>
    <w:link w:val="CommentSubjectChar"/>
    <w:uiPriority w:val="99"/>
    <w:semiHidden/>
    <w:unhideWhenUsed/>
    <w:rsid w:val="00605097"/>
    <w:rPr>
      <w:b/>
      <w:bCs/>
    </w:rPr>
  </w:style>
  <w:style w:type="character" w:customStyle="1" w:styleId="CommentSubjectChar">
    <w:name w:val="Comment Subject Char"/>
    <w:basedOn w:val="CommentTextChar"/>
    <w:link w:val="CommentSubject"/>
    <w:uiPriority w:val="99"/>
    <w:semiHidden/>
    <w:rsid w:val="00605097"/>
    <w:rPr>
      <w:b/>
      <w:bCs/>
      <w:sz w:val="20"/>
      <w:szCs w:val="20"/>
    </w:rPr>
  </w:style>
  <w:style w:type="paragraph" w:styleId="BalloonText">
    <w:name w:val="Balloon Text"/>
    <w:basedOn w:val="Normal"/>
    <w:link w:val="BalloonTextChar"/>
    <w:uiPriority w:val="99"/>
    <w:semiHidden/>
    <w:unhideWhenUsed/>
    <w:rsid w:val="00605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097"/>
    <w:rPr>
      <w:rFonts w:ascii="Segoe UI" w:hAnsi="Segoe UI" w:cs="Segoe UI"/>
      <w:sz w:val="18"/>
      <w:szCs w:val="18"/>
    </w:rPr>
  </w:style>
  <w:style w:type="paragraph" w:customStyle="1" w:styleId="TableStyle2">
    <w:name w:val="Table Style 2"/>
    <w:rsid w:val="00605097"/>
    <w:pPr>
      <w:pBdr>
        <w:top w:val="nil"/>
        <w:left w:val="nil"/>
        <w:bottom w:val="nil"/>
        <w:right w:val="nil"/>
        <w:between w:val="nil"/>
        <w:bar w:val="nil"/>
      </w:pBdr>
    </w:pPr>
    <w:rPr>
      <w:rFonts w:ascii="Helvetica Neue" w:eastAsia="Arial Unicode MS" w:hAnsi="Helvetica Neue" w:cs="Arial Unicode MS"/>
      <w:color w:val="000000"/>
      <w:kern w:val="0"/>
      <w:sz w:val="20"/>
      <w:szCs w:val="20"/>
      <w:bdr w:val="nil"/>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11751">
      <w:bodyDiv w:val="1"/>
      <w:marLeft w:val="0"/>
      <w:marRight w:val="0"/>
      <w:marTop w:val="0"/>
      <w:marBottom w:val="0"/>
      <w:divBdr>
        <w:top w:val="none" w:sz="0" w:space="0" w:color="auto"/>
        <w:left w:val="none" w:sz="0" w:space="0" w:color="auto"/>
        <w:bottom w:val="none" w:sz="0" w:space="0" w:color="auto"/>
        <w:right w:val="none" w:sz="0" w:space="0" w:color="auto"/>
      </w:divBdr>
      <w:divsChild>
        <w:div w:id="1533374509">
          <w:marLeft w:val="0"/>
          <w:marRight w:val="0"/>
          <w:marTop w:val="0"/>
          <w:marBottom w:val="0"/>
          <w:divBdr>
            <w:top w:val="single" w:sz="2" w:space="0" w:color="auto"/>
            <w:left w:val="single" w:sz="2" w:space="0" w:color="auto"/>
            <w:bottom w:val="single" w:sz="6" w:space="0" w:color="auto"/>
            <w:right w:val="single" w:sz="2" w:space="0" w:color="auto"/>
          </w:divBdr>
          <w:divsChild>
            <w:div w:id="786699768">
              <w:marLeft w:val="0"/>
              <w:marRight w:val="0"/>
              <w:marTop w:val="100"/>
              <w:marBottom w:val="100"/>
              <w:divBdr>
                <w:top w:val="single" w:sz="2" w:space="0" w:color="D9D9E3"/>
                <w:left w:val="single" w:sz="2" w:space="0" w:color="D9D9E3"/>
                <w:bottom w:val="single" w:sz="2" w:space="0" w:color="D9D9E3"/>
                <w:right w:val="single" w:sz="2" w:space="0" w:color="D9D9E3"/>
              </w:divBdr>
              <w:divsChild>
                <w:div w:id="618610990">
                  <w:marLeft w:val="0"/>
                  <w:marRight w:val="0"/>
                  <w:marTop w:val="0"/>
                  <w:marBottom w:val="0"/>
                  <w:divBdr>
                    <w:top w:val="single" w:sz="2" w:space="0" w:color="D9D9E3"/>
                    <w:left w:val="single" w:sz="2" w:space="0" w:color="D9D9E3"/>
                    <w:bottom w:val="single" w:sz="2" w:space="0" w:color="D9D9E3"/>
                    <w:right w:val="single" w:sz="2" w:space="0" w:color="D9D9E3"/>
                  </w:divBdr>
                  <w:divsChild>
                    <w:div w:id="1290042778">
                      <w:marLeft w:val="0"/>
                      <w:marRight w:val="0"/>
                      <w:marTop w:val="0"/>
                      <w:marBottom w:val="0"/>
                      <w:divBdr>
                        <w:top w:val="single" w:sz="2" w:space="0" w:color="D9D9E3"/>
                        <w:left w:val="single" w:sz="2" w:space="0" w:color="D9D9E3"/>
                        <w:bottom w:val="single" w:sz="2" w:space="0" w:color="D9D9E3"/>
                        <w:right w:val="single" w:sz="2" w:space="0" w:color="D9D9E3"/>
                      </w:divBdr>
                      <w:divsChild>
                        <w:div w:id="937644190">
                          <w:marLeft w:val="0"/>
                          <w:marRight w:val="0"/>
                          <w:marTop w:val="0"/>
                          <w:marBottom w:val="0"/>
                          <w:divBdr>
                            <w:top w:val="single" w:sz="2" w:space="0" w:color="D9D9E3"/>
                            <w:left w:val="single" w:sz="2" w:space="0" w:color="D9D9E3"/>
                            <w:bottom w:val="single" w:sz="2" w:space="0" w:color="D9D9E3"/>
                            <w:right w:val="single" w:sz="2" w:space="0" w:color="D9D9E3"/>
                          </w:divBdr>
                          <w:divsChild>
                            <w:div w:id="1718311543">
                              <w:marLeft w:val="0"/>
                              <w:marRight w:val="0"/>
                              <w:marTop w:val="0"/>
                              <w:marBottom w:val="0"/>
                              <w:divBdr>
                                <w:top w:val="single" w:sz="2" w:space="0" w:color="D9D9E3"/>
                                <w:left w:val="single" w:sz="2" w:space="0" w:color="D9D9E3"/>
                                <w:bottom w:val="single" w:sz="2" w:space="0" w:color="D9D9E3"/>
                                <w:right w:val="single" w:sz="2" w:space="0" w:color="D9D9E3"/>
                              </w:divBdr>
                              <w:divsChild>
                                <w:div w:id="1992440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globaldata.com/company-profile/visa-inc/competito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s29.q4cdn.com/385744025/files/doc_downloads/2022/Visa-Inc-Fiscal-2022-Annual-Report.pdf" TargetMode="External"/><Relationship Id="rId17" Type="http://schemas.openxmlformats.org/officeDocument/2006/relationships/hyperlink" Target="https://s25.q4cdn.com/479285134/files/doc_financials/2022/AR/MA.12.31.2022-10-K-as-filed.pdf" TargetMode="External"/><Relationship Id="rId2" Type="http://schemas.openxmlformats.org/officeDocument/2006/relationships/styles" Target="styles.xml"/><Relationship Id="rId16" Type="http://schemas.openxmlformats.org/officeDocument/2006/relationships/hyperlink" Target="https://help.globalfy.com/hc/en-us/articles/11089096323483-In-which-countries-does-my-Visa-Debit-Card-do-not-work-" TargetMode="External"/><Relationship Id="rId20"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visa.co.uk/about-visa.html" TargetMode="External"/><Relationship Id="rId5" Type="http://schemas.openxmlformats.org/officeDocument/2006/relationships/comments" Target="comments.xml"/><Relationship Id="rId15" Type="http://schemas.openxmlformats.org/officeDocument/2006/relationships/hyperlink" Target="https://www.hivelr.com/2023/02/visa-inc-v-porters-five-forces-industry-and-competition-analysis/" TargetMode="External"/><Relationship Id="rId10" Type="http://schemas.openxmlformats.org/officeDocument/2006/relationships/hyperlink" Target="https://annualreport.visa.com/financials/default.aspx"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investopedia.com/how-visa-makes-money-479909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tausifbhuiyan\Documents\Quill%20Capital\Task%205%20Market%20Research%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tausifbhuiyan\Documents\Quill%20Capital\Task%205%20Market%20Research%20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tausifbhuiyan\Documents\Quill%20Capital\Task%205%20Market%20Research%20Repor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GB" sz="1050"/>
              <a:t>Revenue</a:t>
            </a:r>
            <a:r>
              <a:rPr lang="en-GB" sz="1050" baseline="0"/>
              <a:t> Drivers as % of Net Revenue</a:t>
            </a:r>
            <a:endParaRPr lang="en-GB" sz="1050"/>
          </a:p>
        </c:rich>
      </c:tx>
      <c:layout>
        <c:manualLayout>
          <c:xMode val="edge"/>
          <c:yMode val="edge"/>
          <c:x val="0.2421527779558327"/>
          <c:y val="1.7336030049118753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2792678196200046E-2"/>
          <c:y val="0.10737873310476467"/>
          <c:w val="0.8625331716309802"/>
          <c:h val="0.67009170805397389"/>
        </c:manualLayout>
      </c:layout>
      <c:barChart>
        <c:barDir val="col"/>
        <c:grouping val="percentStacked"/>
        <c:varyColors val="0"/>
        <c:ser>
          <c:idx val="0"/>
          <c:order val="0"/>
          <c:tx>
            <c:strRef>
              <c:f>Sheet1!$B$12</c:f>
              <c:strCache>
                <c:ptCount val="1"/>
                <c:pt idx="0">
                  <c:v>Service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Sheet1!$C$11:$E$11</c:f>
              <c:numCache>
                <c:formatCode>General</c:formatCode>
                <c:ptCount val="3"/>
                <c:pt idx="0">
                  <c:v>2022</c:v>
                </c:pt>
                <c:pt idx="1">
                  <c:v>2021</c:v>
                </c:pt>
                <c:pt idx="2">
                  <c:v>2020</c:v>
                </c:pt>
              </c:numCache>
            </c:numRef>
          </c:cat>
          <c:val>
            <c:numRef>
              <c:f>Sheet1!$C$12:$E$12</c:f>
              <c:numCache>
                <c:formatCode>0.00%</c:formatCode>
                <c:ptCount val="3"/>
                <c:pt idx="0">
                  <c:v>0.33735639439464715</c:v>
                </c:pt>
                <c:pt idx="1">
                  <c:v>0.35338137472283815</c:v>
                </c:pt>
                <c:pt idx="2">
                  <c:v>0.34387934058225184</c:v>
                </c:pt>
              </c:numCache>
            </c:numRef>
          </c:val>
          <c:extLst xmlns:c16r2="http://schemas.microsoft.com/office/drawing/2015/06/chart">
            <c:ext xmlns:c16="http://schemas.microsoft.com/office/drawing/2014/chart" uri="{C3380CC4-5D6E-409C-BE32-E72D297353CC}">
              <c16:uniqueId val="{00000000-3A01-7E47-A248-0A1A5A8B9173}"/>
            </c:ext>
          </c:extLst>
        </c:ser>
        <c:ser>
          <c:idx val="1"/>
          <c:order val="1"/>
          <c:tx>
            <c:strRef>
              <c:f>Sheet1!$B$13</c:f>
              <c:strCache>
                <c:ptCount val="1"/>
                <c:pt idx="0">
                  <c:v>Data Processing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Sheet1!$C$11:$E$11</c:f>
              <c:numCache>
                <c:formatCode>General</c:formatCode>
                <c:ptCount val="3"/>
                <c:pt idx="0">
                  <c:v>2022</c:v>
                </c:pt>
                <c:pt idx="1">
                  <c:v>2021</c:v>
                </c:pt>
                <c:pt idx="2">
                  <c:v>2020</c:v>
                </c:pt>
              </c:numCache>
            </c:numRef>
          </c:cat>
          <c:val>
            <c:numRef>
              <c:f>Sheet1!$C$13:$E$13</c:f>
              <c:numCache>
                <c:formatCode>0.00%</c:formatCode>
                <c:ptCount val="3"/>
                <c:pt idx="0">
                  <c:v>0.36454993056432267</c:v>
                </c:pt>
                <c:pt idx="1">
                  <c:v>0.39393939393939392</c:v>
                </c:pt>
                <c:pt idx="2">
                  <c:v>0.3849526481936163</c:v>
                </c:pt>
              </c:numCache>
            </c:numRef>
          </c:val>
          <c:extLst xmlns:c16r2="http://schemas.microsoft.com/office/drawing/2015/06/chart">
            <c:ext xmlns:c16="http://schemas.microsoft.com/office/drawing/2014/chart" uri="{C3380CC4-5D6E-409C-BE32-E72D297353CC}">
              <c16:uniqueId val="{00000001-3A01-7E47-A248-0A1A5A8B9173}"/>
            </c:ext>
          </c:extLst>
        </c:ser>
        <c:ser>
          <c:idx val="2"/>
          <c:order val="2"/>
          <c:tx>
            <c:strRef>
              <c:f>Sheet1!$B$14</c:f>
              <c:strCache>
                <c:ptCount val="1"/>
                <c:pt idx="0">
                  <c:v>International Transaction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Sheet1!$C$14:$E$14</c:f>
              <c:numCache>
                <c:formatCode>0.00%</c:formatCode>
                <c:ptCount val="3"/>
                <c:pt idx="0">
                  <c:v>0.24782224466607752</c:v>
                </c:pt>
                <c:pt idx="1">
                  <c:v>0.20109632914510964</c:v>
                </c:pt>
                <c:pt idx="2">
                  <c:v>0.22094002104524729</c:v>
                </c:pt>
              </c:numCache>
            </c:numRef>
          </c:val>
          <c:extLst xmlns:c16r2="http://schemas.microsoft.com/office/drawing/2015/06/chart">
            <c:ext xmlns:c16="http://schemas.microsoft.com/office/drawing/2014/chart" uri="{C3380CC4-5D6E-409C-BE32-E72D297353CC}">
              <c16:uniqueId val="{00000002-3A01-7E47-A248-0A1A5A8B9173}"/>
            </c:ext>
          </c:extLst>
        </c:ser>
        <c:ser>
          <c:idx val="3"/>
          <c:order val="3"/>
          <c:tx>
            <c:strRef>
              <c:f>Sheet1!$B$15</c:f>
              <c:strCache>
                <c:ptCount val="1"/>
                <c:pt idx="0">
                  <c:v>Other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Sheet1!$C$15:$E$15</c:f>
              <c:numCache>
                <c:formatCode>0.00%</c:formatCode>
                <c:ptCount val="3"/>
                <c:pt idx="0">
                  <c:v>5.0271430374952658E-2</c:v>
                </c:pt>
                <c:pt idx="1">
                  <c:v>5.1582902192658292E-2</c:v>
                </c:pt>
                <c:pt idx="2">
                  <c:v>5.0227990178884602E-2</c:v>
                </c:pt>
              </c:numCache>
            </c:numRef>
          </c:val>
          <c:extLst xmlns:c16r2="http://schemas.microsoft.com/office/drawing/2015/06/chart">
            <c:ext xmlns:c16="http://schemas.microsoft.com/office/drawing/2014/chart" uri="{C3380CC4-5D6E-409C-BE32-E72D297353CC}">
              <c16:uniqueId val="{00000003-3A01-7E47-A248-0A1A5A8B9173}"/>
            </c:ext>
          </c:extLst>
        </c:ser>
        <c:ser>
          <c:idx val="4"/>
          <c:order val="4"/>
          <c:tx>
            <c:strRef>
              <c:f>Sheet1!$B$16</c:f>
              <c:strCache>
                <c:ptCount val="1"/>
                <c:pt idx="0">
                  <c:v>Client Incentives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Sheet1!$C$16:$E$16</c:f>
            </c:numRef>
          </c:val>
          <c:extLst xmlns:c16r2="http://schemas.microsoft.com/office/drawing/2015/06/chart">
            <c:ext xmlns:c16="http://schemas.microsoft.com/office/drawing/2014/chart" uri="{C3380CC4-5D6E-409C-BE32-E72D297353CC}">
              <c16:uniqueId val="{00000004-3A01-7E47-A248-0A1A5A8B9173}"/>
            </c:ext>
          </c:extLst>
        </c:ser>
        <c:dLbls>
          <c:dLblPos val="ctr"/>
          <c:showLegendKey val="0"/>
          <c:showVal val="1"/>
          <c:showCatName val="0"/>
          <c:showSerName val="0"/>
          <c:showPercent val="0"/>
          <c:showBubbleSize val="0"/>
        </c:dLbls>
        <c:gapWidth val="150"/>
        <c:overlap val="100"/>
        <c:axId val="1968064384"/>
        <c:axId val="1968060576"/>
      </c:barChart>
      <c:catAx>
        <c:axId val="196806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8060576"/>
        <c:crosses val="autoZero"/>
        <c:auto val="1"/>
        <c:lblAlgn val="ctr"/>
        <c:lblOffset val="100"/>
        <c:noMultiLvlLbl val="0"/>
      </c:catAx>
      <c:valAx>
        <c:axId val="1968060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8064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US</a:t>
            </a:r>
            <a:r>
              <a:rPr lang="en-GB" baseline="0"/>
              <a:t> vs Interntional % of Revenue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Sheet1!$B$27</c:f>
              <c:strCache>
                <c:ptCount val="1"/>
                <c:pt idx="0">
                  <c:v>U.S</c:v>
                </c:pt>
              </c:strCache>
            </c:strRef>
          </c:tx>
          <c:spPr>
            <a:solidFill>
              <a:schemeClr val="accent1"/>
            </a:solidFill>
            <a:ln>
              <a:noFill/>
            </a:ln>
            <a:effectLst/>
          </c:spPr>
          <c:invertIfNegative val="0"/>
          <c:cat>
            <c:numRef>
              <c:f>Sheet1!$C$26:$E$26</c:f>
              <c:numCache>
                <c:formatCode>General</c:formatCode>
                <c:ptCount val="3"/>
                <c:pt idx="0">
                  <c:v>2022</c:v>
                </c:pt>
                <c:pt idx="1">
                  <c:v>2021</c:v>
                </c:pt>
                <c:pt idx="2">
                  <c:v>2020</c:v>
                </c:pt>
              </c:numCache>
            </c:numRef>
          </c:cat>
          <c:val>
            <c:numRef>
              <c:f>Sheet1!$C$27:$E$27</c:f>
              <c:numCache>
                <c:formatCode>0.00%</c:formatCode>
                <c:ptCount val="3"/>
                <c:pt idx="0">
                  <c:v>0.43845104060047763</c:v>
                </c:pt>
                <c:pt idx="1">
                  <c:v>0.46297448662103297</c:v>
                </c:pt>
                <c:pt idx="2">
                  <c:v>0.46347157374347708</c:v>
                </c:pt>
              </c:numCache>
            </c:numRef>
          </c:val>
          <c:extLst xmlns:c16r2="http://schemas.microsoft.com/office/drawing/2015/06/chart">
            <c:ext xmlns:c16="http://schemas.microsoft.com/office/drawing/2014/chart" uri="{C3380CC4-5D6E-409C-BE32-E72D297353CC}">
              <c16:uniqueId val="{00000000-2FD1-4B49-B820-0BB883675B5A}"/>
            </c:ext>
          </c:extLst>
        </c:ser>
        <c:ser>
          <c:idx val="1"/>
          <c:order val="1"/>
          <c:tx>
            <c:strRef>
              <c:f>Sheet1!$B$28</c:f>
              <c:strCache>
                <c:ptCount val="1"/>
                <c:pt idx="0">
                  <c:v>International</c:v>
                </c:pt>
              </c:strCache>
            </c:strRef>
          </c:tx>
          <c:spPr>
            <a:solidFill>
              <a:schemeClr val="accent2"/>
            </a:solidFill>
            <a:ln>
              <a:noFill/>
            </a:ln>
            <a:effectLst/>
          </c:spPr>
          <c:invertIfNegative val="0"/>
          <c:cat>
            <c:numRef>
              <c:f>Sheet1!$C$26:$E$26</c:f>
              <c:numCache>
                <c:formatCode>General</c:formatCode>
                <c:ptCount val="3"/>
                <c:pt idx="0">
                  <c:v>2022</c:v>
                </c:pt>
                <c:pt idx="1">
                  <c:v>2021</c:v>
                </c:pt>
                <c:pt idx="2">
                  <c:v>2020</c:v>
                </c:pt>
              </c:numCache>
            </c:numRef>
          </c:cat>
          <c:val>
            <c:numRef>
              <c:f>Sheet1!$C$28:$E$28</c:f>
              <c:numCache>
                <c:formatCode>0.00%</c:formatCode>
                <c:ptCount val="3"/>
                <c:pt idx="0">
                  <c:v>0.56154895939952232</c:v>
                </c:pt>
                <c:pt idx="1">
                  <c:v>0.53702551337896698</c:v>
                </c:pt>
                <c:pt idx="2">
                  <c:v>0.53652842625652297</c:v>
                </c:pt>
              </c:numCache>
            </c:numRef>
          </c:val>
          <c:extLst xmlns:c16r2="http://schemas.microsoft.com/office/drawing/2015/06/chart">
            <c:ext xmlns:c16="http://schemas.microsoft.com/office/drawing/2014/chart" uri="{C3380CC4-5D6E-409C-BE32-E72D297353CC}">
              <c16:uniqueId val="{00000001-2FD1-4B49-B820-0BB883675B5A}"/>
            </c:ext>
          </c:extLst>
        </c:ser>
        <c:dLbls>
          <c:showLegendKey val="0"/>
          <c:showVal val="0"/>
          <c:showCatName val="0"/>
          <c:showSerName val="0"/>
          <c:showPercent val="0"/>
          <c:showBubbleSize val="0"/>
        </c:dLbls>
        <c:gapWidth val="219"/>
        <c:overlap val="-27"/>
        <c:axId val="1968049696"/>
        <c:axId val="1968057312"/>
      </c:barChart>
      <c:catAx>
        <c:axId val="19680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8057312"/>
        <c:crosses val="autoZero"/>
        <c:auto val="1"/>
        <c:lblAlgn val="ctr"/>
        <c:lblOffset val="100"/>
        <c:noMultiLvlLbl val="0"/>
      </c:catAx>
      <c:valAx>
        <c:axId val="19680573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80496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Expenses as % of Gross</a:t>
            </a:r>
            <a:r>
              <a:rPr lang="en-GB" baseline="0"/>
              <a:t> Revenue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498381452318462"/>
          <c:y val="0.12980099502487563"/>
          <c:w val="0.85057174103237099"/>
          <c:h val="0.68450934304853683"/>
        </c:manualLayout>
      </c:layout>
      <c:barChart>
        <c:barDir val="col"/>
        <c:grouping val="clustered"/>
        <c:varyColors val="0"/>
        <c:ser>
          <c:idx val="0"/>
          <c:order val="0"/>
          <c:tx>
            <c:strRef>
              <c:f>Sheet1!$G$34</c:f>
              <c:strCache>
                <c:ptCount val="1"/>
                <c:pt idx="0">
                  <c:v>Personnel</c:v>
                </c:pt>
              </c:strCache>
            </c:strRef>
          </c:tx>
          <c:spPr>
            <a:solidFill>
              <a:schemeClr val="accent1"/>
            </a:solidFill>
            <a:ln>
              <a:noFill/>
            </a:ln>
            <a:effectLst/>
          </c:spPr>
          <c:invertIfNegative val="0"/>
          <c:cat>
            <c:numRef>
              <c:f>Sheet1!$H$33:$J$33</c:f>
              <c:numCache>
                <c:formatCode>General</c:formatCode>
                <c:ptCount val="3"/>
                <c:pt idx="0">
                  <c:v>2022</c:v>
                </c:pt>
                <c:pt idx="1">
                  <c:v>2021</c:v>
                </c:pt>
                <c:pt idx="2">
                  <c:v>2020</c:v>
                </c:pt>
              </c:numCache>
            </c:numRef>
          </c:cat>
          <c:val>
            <c:numRef>
              <c:f>Sheet1!$H$34:$J$34</c:f>
              <c:numCache>
                <c:formatCode>0.00%</c:formatCode>
                <c:ptCount val="3"/>
                <c:pt idx="0">
                  <c:v>0.12599419265244288</c:v>
                </c:pt>
                <c:pt idx="1">
                  <c:v>0.13057403301305739</c:v>
                </c:pt>
                <c:pt idx="2">
                  <c:v>0.1327604349351105</c:v>
                </c:pt>
              </c:numCache>
            </c:numRef>
          </c:val>
          <c:extLst xmlns:c16r2="http://schemas.microsoft.com/office/drawing/2015/06/chart">
            <c:ext xmlns:c16="http://schemas.microsoft.com/office/drawing/2014/chart" uri="{C3380CC4-5D6E-409C-BE32-E72D297353CC}">
              <c16:uniqueId val="{00000000-B28D-914A-8AFC-48B9AAB9935C}"/>
            </c:ext>
          </c:extLst>
        </c:ser>
        <c:ser>
          <c:idx val="1"/>
          <c:order val="1"/>
          <c:tx>
            <c:strRef>
              <c:f>Sheet1!$G$35</c:f>
              <c:strCache>
                <c:ptCount val="1"/>
                <c:pt idx="0">
                  <c:v>Marketing</c:v>
                </c:pt>
              </c:strCache>
            </c:strRef>
          </c:tx>
          <c:spPr>
            <a:solidFill>
              <a:schemeClr val="accent2"/>
            </a:solidFill>
            <a:ln>
              <a:noFill/>
            </a:ln>
            <a:effectLst/>
          </c:spPr>
          <c:invertIfNegative val="0"/>
          <c:val>
            <c:numRef>
              <c:f>Sheet1!$H$35:$J$35</c:f>
              <c:numCache>
                <c:formatCode>0.00%</c:formatCode>
                <c:ptCount val="3"/>
                <c:pt idx="0">
                  <c:v>3.3733114505744226E-2</c:v>
                </c:pt>
                <c:pt idx="1">
                  <c:v>3.49839862034984E-2</c:v>
                </c:pt>
                <c:pt idx="2">
                  <c:v>3.4058225184145911E-2</c:v>
                </c:pt>
              </c:numCache>
            </c:numRef>
          </c:val>
          <c:extLst xmlns:c16r2="http://schemas.microsoft.com/office/drawing/2015/06/chart">
            <c:ext xmlns:c16="http://schemas.microsoft.com/office/drawing/2014/chart" uri="{C3380CC4-5D6E-409C-BE32-E72D297353CC}">
              <c16:uniqueId val="{00000001-B28D-914A-8AFC-48B9AAB9935C}"/>
            </c:ext>
          </c:extLst>
        </c:ser>
        <c:ser>
          <c:idx val="2"/>
          <c:order val="2"/>
          <c:tx>
            <c:strRef>
              <c:f>Sheet1!$G$36</c:f>
              <c:strCache>
                <c:ptCount val="1"/>
                <c:pt idx="0">
                  <c:v>Networking and processing</c:v>
                </c:pt>
              </c:strCache>
            </c:strRef>
          </c:tx>
          <c:spPr>
            <a:solidFill>
              <a:schemeClr val="accent3"/>
            </a:solidFill>
            <a:ln>
              <a:noFill/>
            </a:ln>
            <a:effectLst/>
          </c:spPr>
          <c:invertIfNegative val="0"/>
          <c:val>
            <c:numRef>
              <c:f>Sheet1!$H$36:$J$36</c:f>
              <c:numCache>
                <c:formatCode>0.00%</c:formatCode>
                <c:ptCount val="3"/>
                <c:pt idx="0">
                  <c:v>1.8760257543239491E-2</c:v>
                </c:pt>
                <c:pt idx="1">
                  <c:v>2.2480906627248092E-2</c:v>
                </c:pt>
                <c:pt idx="2">
                  <c:v>2.5499824622939319E-2</c:v>
                </c:pt>
              </c:numCache>
            </c:numRef>
          </c:val>
          <c:extLst xmlns:c16r2="http://schemas.microsoft.com/office/drawing/2015/06/chart">
            <c:ext xmlns:c16="http://schemas.microsoft.com/office/drawing/2014/chart" uri="{C3380CC4-5D6E-409C-BE32-E72D297353CC}">
              <c16:uniqueId val="{00000002-B28D-914A-8AFC-48B9AAB9935C}"/>
            </c:ext>
          </c:extLst>
        </c:ser>
        <c:ser>
          <c:idx val="3"/>
          <c:order val="3"/>
          <c:tx>
            <c:strRef>
              <c:f>Sheet1!$G$37</c:f>
              <c:strCache>
                <c:ptCount val="1"/>
                <c:pt idx="0">
                  <c:v>Professional fees</c:v>
                </c:pt>
              </c:strCache>
            </c:strRef>
          </c:tx>
          <c:spPr>
            <a:solidFill>
              <a:schemeClr val="accent4"/>
            </a:solidFill>
            <a:ln>
              <a:noFill/>
            </a:ln>
            <a:effectLst/>
          </c:spPr>
          <c:invertIfNegative val="0"/>
          <c:val>
            <c:numRef>
              <c:f>Sheet1!$H$37:$J$37</c:f>
              <c:numCache>
                <c:formatCode>0.00%</c:formatCode>
                <c:ptCount val="3"/>
                <c:pt idx="0">
                  <c:v>1.2750915288473677E-2</c:v>
                </c:pt>
                <c:pt idx="1">
                  <c:v>1.2410692288741068E-2</c:v>
                </c:pt>
                <c:pt idx="2">
                  <c:v>1.4310768151525781E-2</c:v>
                </c:pt>
              </c:numCache>
            </c:numRef>
          </c:val>
          <c:extLst xmlns:c16r2="http://schemas.microsoft.com/office/drawing/2015/06/chart">
            <c:ext xmlns:c16="http://schemas.microsoft.com/office/drawing/2014/chart" uri="{C3380CC4-5D6E-409C-BE32-E72D297353CC}">
              <c16:uniqueId val="{00000003-B28D-914A-8AFC-48B9AAB9935C}"/>
            </c:ext>
          </c:extLst>
        </c:ser>
        <c:ser>
          <c:idx val="4"/>
          <c:order val="4"/>
          <c:tx>
            <c:strRef>
              <c:f>Sheet1!$G$38</c:f>
              <c:strCache>
                <c:ptCount val="1"/>
                <c:pt idx="0">
                  <c:v>D&amp;A</c:v>
                </c:pt>
              </c:strCache>
            </c:strRef>
          </c:tx>
          <c:spPr>
            <a:solidFill>
              <a:schemeClr val="accent5"/>
            </a:solidFill>
            <a:ln>
              <a:noFill/>
            </a:ln>
            <a:effectLst/>
          </c:spPr>
          <c:invertIfNegative val="0"/>
          <c:val>
            <c:numRef>
              <c:f>Sheet1!$H$38:$J$38</c:f>
              <c:numCache>
                <c:formatCode>0.00%</c:formatCode>
                <c:ptCount val="3"/>
                <c:pt idx="0">
                  <c:v>2.1739679333417496E-2</c:v>
                </c:pt>
                <c:pt idx="1">
                  <c:v>2.4759793052475981E-2</c:v>
                </c:pt>
                <c:pt idx="2">
                  <c:v>2.6902841108383025E-2</c:v>
                </c:pt>
              </c:numCache>
            </c:numRef>
          </c:val>
          <c:extLst xmlns:c16r2="http://schemas.microsoft.com/office/drawing/2015/06/chart">
            <c:ext xmlns:c16="http://schemas.microsoft.com/office/drawing/2014/chart" uri="{C3380CC4-5D6E-409C-BE32-E72D297353CC}">
              <c16:uniqueId val="{00000004-B28D-914A-8AFC-48B9AAB9935C}"/>
            </c:ext>
          </c:extLst>
        </c:ser>
        <c:ser>
          <c:idx val="5"/>
          <c:order val="5"/>
          <c:tx>
            <c:strRef>
              <c:f>Sheet1!$G$39</c:f>
              <c:strCache>
                <c:ptCount val="1"/>
                <c:pt idx="0">
                  <c:v>G&amp;A</c:v>
                </c:pt>
              </c:strCache>
            </c:strRef>
          </c:tx>
          <c:spPr>
            <a:solidFill>
              <a:schemeClr val="accent6"/>
            </a:solidFill>
            <a:ln>
              <a:noFill/>
            </a:ln>
            <a:effectLst/>
          </c:spPr>
          <c:invertIfNegative val="0"/>
          <c:val>
            <c:numRef>
              <c:f>Sheet1!$H$39:$J$39</c:f>
              <c:numCache>
                <c:formatCode>0.00%</c:formatCode>
                <c:ptCount val="3"/>
                <c:pt idx="0">
                  <c:v>3.0147708622648657E-2</c:v>
                </c:pt>
                <c:pt idx="1">
                  <c:v>3.0333826065533382E-2</c:v>
                </c:pt>
                <c:pt idx="2">
                  <c:v>3.8442651701157488E-2</c:v>
                </c:pt>
              </c:numCache>
            </c:numRef>
          </c:val>
          <c:extLst xmlns:c16r2="http://schemas.microsoft.com/office/drawing/2015/06/chart">
            <c:ext xmlns:c16="http://schemas.microsoft.com/office/drawing/2014/chart" uri="{C3380CC4-5D6E-409C-BE32-E72D297353CC}">
              <c16:uniqueId val="{00000005-B28D-914A-8AFC-48B9AAB9935C}"/>
            </c:ext>
          </c:extLst>
        </c:ser>
        <c:dLbls>
          <c:showLegendKey val="0"/>
          <c:showVal val="0"/>
          <c:showCatName val="0"/>
          <c:showSerName val="0"/>
          <c:showPercent val="0"/>
          <c:showBubbleSize val="0"/>
        </c:dLbls>
        <c:gapWidth val="75"/>
        <c:overlap val="-25"/>
        <c:axId val="1968057856"/>
        <c:axId val="1968052960"/>
      </c:barChart>
      <c:catAx>
        <c:axId val="196805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8052960"/>
        <c:crosses val="autoZero"/>
        <c:auto val="1"/>
        <c:lblAlgn val="ctr"/>
        <c:lblOffset val="100"/>
        <c:noMultiLvlLbl val="0"/>
      </c:catAx>
      <c:valAx>
        <c:axId val="1968052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8057856"/>
        <c:crosses val="autoZero"/>
        <c:crossBetween val="between"/>
      </c:valAx>
      <c:spPr>
        <a:noFill/>
        <a:ln>
          <a:noFill/>
        </a:ln>
        <a:effectLst/>
      </c:spPr>
    </c:plotArea>
    <c:legend>
      <c:legendPos val="b"/>
      <c:layout>
        <c:manualLayout>
          <c:xMode val="edge"/>
          <c:yMode val="edge"/>
          <c:x val="0"/>
          <c:y val="0.87997336153876293"/>
          <c:w val="1"/>
          <c:h val="0.120026638461237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Tausif Bhuiyan</dc:creator>
  <cp:keywords/>
  <dc:description/>
  <cp:lastModifiedBy>Microsoft account</cp:lastModifiedBy>
  <cp:revision>2</cp:revision>
  <dcterms:created xsi:type="dcterms:W3CDTF">2023-09-29T20:34:00Z</dcterms:created>
  <dcterms:modified xsi:type="dcterms:W3CDTF">2023-09-29T20:34:00Z</dcterms:modified>
</cp:coreProperties>
</file>