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CB977" w14:textId="6D4E2B71" w:rsidR="00031AF8" w:rsidRPr="00FD21A7" w:rsidRDefault="000C29EF" w:rsidP="000C29EF">
      <w:pPr>
        <w:jc w:val="center"/>
        <w:rPr>
          <w:b/>
          <w:bCs/>
          <w:sz w:val="28"/>
          <w:szCs w:val="28"/>
        </w:rPr>
      </w:pPr>
      <w:r w:rsidRPr="00FD21A7">
        <w:rPr>
          <w:b/>
          <w:bCs/>
          <w:sz w:val="28"/>
          <w:szCs w:val="28"/>
        </w:rPr>
        <w:t>Amazon’s Financial Report</w:t>
      </w:r>
    </w:p>
    <w:p w14:paraId="26151E2D" w14:textId="77777777" w:rsidR="00CC1BF6" w:rsidRDefault="00CC1BF6" w:rsidP="000C29EF">
      <w:pPr>
        <w:jc w:val="center"/>
        <w:rPr>
          <w:b/>
          <w:bCs/>
          <w:sz w:val="24"/>
          <w:szCs w:val="24"/>
        </w:rPr>
      </w:pPr>
    </w:p>
    <w:p w14:paraId="6B7C8C47" w14:textId="55BCE5CA" w:rsidR="00E90222" w:rsidRDefault="00CC1BF6" w:rsidP="00B03841">
      <w:pPr>
        <w:spacing w:line="360" w:lineRule="auto"/>
        <w:jc w:val="both"/>
      </w:pPr>
      <w:r w:rsidRPr="00CC1BF6">
        <w:t>The repo</w:t>
      </w:r>
      <w:r>
        <w:t>rt will focus on Amazon’s financial statement</w:t>
      </w:r>
      <w:r w:rsidR="00691FAA">
        <w:t xml:space="preserve"> and</w:t>
      </w:r>
      <w:r>
        <w:t xml:space="preserve"> the company</w:t>
      </w:r>
      <w:r w:rsidR="00691FAA">
        <w:t>’s</w:t>
      </w:r>
      <w:r>
        <w:t xml:space="preserve"> perfor</w:t>
      </w:r>
      <w:r w:rsidR="00691FAA">
        <w:t>mance</w:t>
      </w:r>
      <w:r>
        <w:t xml:space="preserve"> year by year</w:t>
      </w:r>
      <w:r w:rsidR="00DA1696">
        <w:t>, as well as</w:t>
      </w:r>
      <w:r>
        <w:t xml:space="preserve"> </w:t>
      </w:r>
      <w:r w:rsidR="002156C5">
        <w:t>analys</w:t>
      </w:r>
      <w:r w:rsidR="00DA1696">
        <w:t>ing</w:t>
      </w:r>
      <w:r w:rsidR="002156C5">
        <w:t xml:space="preserve"> </w:t>
      </w:r>
      <w:r>
        <w:t xml:space="preserve"> </w:t>
      </w:r>
      <w:r w:rsidR="002156C5">
        <w:t xml:space="preserve">Amazon’s </w:t>
      </w:r>
      <w:r>
        <w:t xml:space="preserve"> financial health from 2020 to 2022. </w:t>
      </w:r>
      <w:r w:rsidR="002156C5">
        <w:t>According to</w:t>
      </w:r>
      <w:r w:rsidR="00691FAA">
        <w:t xml:space="preserve"> the</w:t>
      </w:r>
      <w:r w:rsidR="002156C5">
        <w:t xml:space="preserve"> company’s annual report, Amazon’s consolidated yearly sales growth rate was 2</w:t>
      </w:r>
      <w:r w:rsidR="00C10562">
        <w:t xml:space="preserve">% in 2021 compared to 38% from the previous year. Net sales increased </w:t>
      </w:r>
      <w:r w:rsidR="00691FAA">
        <w:t xml:space="preserve">from </w:t>
      </w:r>
      <w:r w:rsidR="00C10562">
        <w:t xml:space="preserve">9% </w:t>
      </w:r>
      <w:r w:rsidR="00443EEE">
        <w:t>to $514.0 billion in 2022, compared with $469.8 billion in 2021 and $386 billion in 2020.</w:t>
      </w:r>
      <w:r w:rsidR="00D840A0">
        <w:t xml:space="preserve"> This number provides essential insights</w:t>
      </w:r>
      <w:r w:rsidR="00691FAA">
        <w:t xml:space="preserve"> on</w:t>
      </w:r>
      <w:r w:rsidR="00D840A0">
        <w:t xml:space="preserve"> how much </w:t>
      </w:r>
      <w:r w:rsidR="00691FAA">
        <w:t>the</w:t>
      </w:r>
      <w:r w:rsidR="00D840A0">
        <w:t xml:space="preserve"> company earns on its products and services after it accounts for discounts and expenses. </w:t>
      </w:r>
      <w:r w:rsidR="00F8788A">
        <w:t xml:space="preserve">In 2022, Amazon’s total net sales surpassed the half-trillion-dollar mark, becoming the second US company to reach that milestone. </w:t>
      </w:r>
      <w:r w:rsidR="00263848">
        <w:t xml:space="preserve">In 2022 Amazon reports a net loss of $2.7 billion, or $0.27 per diluted share , compared with net income of $33.4 billion, or $3.24 per diluted share , in 2021. </w:t>
      </w:r>
    </w:p>
    <w:p w14:paraId="3EE5250B" w14:textId="77777777" w:rsidR="00E90222" w:rsidRDefault="00E90222" w:rsidP="00B03841">
      <w:pPr>
        <w:spacing w:line="360" w:lineRule="auto"/>
        <w:jc w:val="both"/>
      </w:pPr>
    </w:p>
    <w:p w14:paraId="700EF7F5" w14:textId="18A29E36" w:rsidR="00E90222" w:rsidRDefault="00263848" w:rsidP="00B03841">
      <w:pPr>
        <w:spacing w:line="360" w:lineRule="auto"/>
        <w:jc w:val="both"/>
        <w:rPr>
          <w:rFonts w:cstheme="minorHAnsi"/>
          <w:color w:val="000000"/>
        </w:rPr>
      </w:pPr>
      <w:r w:rsidRPr="001756E0">
        <w:rPr>
          <w:highlight w:val="cyan"/>
        </w:rPr>
        <w:t xml:space="preserve">The net loss is associated with </w:t>
      </w:r>
      <w:r w:rsidR="000D668D" w:rsidRPr="001756E0">
        <w:rPr>
          <w:highlight w:val="cyan"/>
        </w:rPr>
        <w:t xml:space="preserve">the initial </w:t>
      </w:r>
      <w:r w:rsidRPr="001756E0">
        <w:rPr>
          <w:highlight w:val="cyan"/>
        </w:rPr>
        <w:t xml:space="preserve">investment in RIVIAN, an electric vehicle startup that has struggled with production delays and market disruption. </w:t>
      </w:r>
      <w:r w:rsidR="000D668D" w:rsidRPr="001756E0">
        <w:rPr>
          <w:highlight w:val="cyan"/>
        </w:rPr>
        <w:t xml:space="preserve">It is necessary to say that the 2022 losses included a pretax valuation loss of $12.7 billion from its investment in Rivian .  The comparison has been made with a pretax gain of $11.8 billion from the same investment in 2021. </w:t>
      </w:r>
      <w:r w:rsidR="00E90222" w:rsidRPr="001756E0">
        <w:rPr>
          <w:highlight w:val="cyan"/>
        </w:rPr>
        <w:t xml:space="preserve"> </w:t>
      </w:r>
      <w:commentRangeStart w:id="0"/>
      <w:r w:rsidR="00E90222" w:rsidRPr="001756E0">
        <w:rPr>
          <w:highlight w:val="cyan"/>
        </w:rPr>
        <w:t>A</w:t>
      </w:r>
      <w:r w:rsidR="00E90222">
        <w:t>mazon’s</w:t>
      </w:r>
      <w:commentRangeEnd w:id="0"/>
      <w:r w:rsidR="001756E0">
        <w:rPr>
          <w:rStyle w:val="CommentReference"/>
        </w:rPr>
        <w:commentReference w:id="0"/>
      </w:r>
      <w:r w:rsidR="00E90222">
        <w:t xml:space="preserve"> operating income decreased </w:t>
      </w:r>
      <w:r w:rsidR="00E90222" w:rsidRPr="00E90222">
        <w:rPr>
          <w:rFonts w:cstheme="minorHAnsi"/>
          <w:color w:val="000000"/>
        </w:rPr>
        <w:t>to $12.2 billion in 2022, compared with $24.9 billion in 2021</w:t>
      </w:r>
      <w:r w:rsidR="00E90222">
        <w:rPr>
          <w:rFonts w:cstheme="minorHAnsi"/>
          <w:color w:val="000000"/>
        </w:rPr>
        <w:t xml:space="preserve"> and $22.8 billion in 2020. The decline in operating income was associated to severance costs. </w:t>
      </w:r>
      <w:r w:rsidR="008B2BDA">
        <w:rPr>
          <w:rFonts w:cstheme="minorHAnsi"/>
          <w:color w:val="000000"/>
        </w:rPr>
        <w:t xml:space="preserve">A company that’s generating   decreasing amount of operating income is indicative of generating less revenue while not efficiently controlling expenses, production costs and expenses. </w:t>
      </w:r>
    </w:p>
    <w:p w14:paraId="1A401E82" w14:textId="77777777" w:rsidR="001756E0" w:rsidRDefault="001756E0" w:rsidP="00B03841">
      <w:pPr>
        <w:spacing w:line="360" w:lineRule="auto"/>
        <w:jc w:val="both"/>
        <w:rPr>
          <w:rFonts w:cstheme="minorHAnsi"/>
          <w:color w:val="000000"/>
        </w:rPr>
      </w:pPr>
    </w:p>
    <w:p w14:paraId="11358E8C" w14:textId="77777777" w:rsidR="001756E0" w:rsidRDefault="001756E0" w:rsidP="00B03841">
      <w:pPr>
        <w:spacing w:line="360" w:lineRule="auto"/>
        <w:jc w:val="both"/>
        <w:rPr>
          <w:rFonts w:cstheme="minorHAnsi"/>
          <w:color w:val="000000"/>
        </w:rPr>
      </w:pPr>
    </w:p>
    <w:p w14:paraId="20F0D6A5" w14:textId="77777777" w:rsidR="00691FAA" w:rsidRDefault="00691FAA" w:rsidP="00B03841">
      <w:pPr>
        <w:spacing w:line="360" w:lineRule="auto"/>
        <w:jc w:val="both"/>
        <w:rPr>
          <w:rFonts w:cstheme="minorHAnsi"/>
          <w:color w:val="000000"/>
        </w:rPr>
      </w:pPr>
    </w:p>
    <w:p w14:paraId="2D183951" w14:textId="62EB4A5F" w:rsidR="004D252D" w:rsidRPr="004D252D" w:rsidRDefault="004D252D" w:rsidP="00B03841">
      <w:pPr>
        <w:spacing w:line="360" w:lineRule="auto"/>
        <w:jc w:val="center"/>
        <w:rPr>
          <w:rFonts w:cstheme="minorHAnsi"/>
          <w:b/>
          <w:bCs/>
          <w:color w:val="000000"/>
        </w:rPr>
      </w:pPr>
      <w:r w:rsidRPr="004D252D">
        <w:rPr>
          <w:rFonts w:cstheme="minorHAnsi"/>
          <w:b/>
          <w:bCs/>
          <w:color w:val="000000"/>
        </w:rPr>
        <w:t xml:space="preserve">Liquidity </w:t>
      </w:r>
      <w:r>
        <w:rPr>
          <w:rFonts w:cstheme="minorHAnsi"/>
          <w:b/>
          <w:bCs/>
          <w:color w:val="000000"/>
        </w:rPr>
        <w:t>Analysis</w:t>
      </w:r>
    </w:p>
    <w:p w14:paraId="3AD4112A" w14:textId="397265A4" w:rsidR="00F820DC" w:rsidRDefault="00F820DC" w:rsidP="00B03841">
      <w:pPr>
        <w:spacing w:line="360" w:lineRule="auto"/>
        <w:jc w:val="both"/>
        <w:rPr>
          <w:rFonts w:cstheme="minorHAnsi"/>
          <w:color w:val="000000"/>
        </w:rPr>
      </w:pPr>
      <w:r>
        <w:rPr>
          <w:rFonts w:cstheme="minorHAnsi"/>
          <w:color w:val="000000"/>
        </w:rPr>
        <w:t xml:space="preserve">The table below provides liquidity ratios which simply </w:t>
      </w:r>
      <w:r w:rsidR="00DA1696">
        <w:rPr>
          <w:rFonts w:cstheme="minorHAnsi"/>
          <w:color w:val="000000"/>
        </w:rPr>
        <w:t>represents</w:t>
      </w:r>
      <w:r>
        <w:rPr>
          <w:rFonts w:cstheme="minorHAnsi"/>
          <w:color w:val="000000"/>
        </w:rPr>
        <w:t xml:space="preserve"> the company’s ability to pay-off short term obligations</w:t>
      </w:r>
      <w:r w:rsidR="00DA1696">
        <w:rPr>
          <w:rFonts w:cstheme="minorHAnsi"/>
          <w:color w:val="000000"/>
        </w:rPr>
        <w:t>,</w:t>
      </w:r>
      <w:r>
        <w:rPr>
          <w:rFonts w:cstheme="minorHAnsi"/>
          <w:color w:val="000000"/>
        </w:rPr>
        <w:t xml:space="preserve"> usually within the next year with it’s current assets. Amazon has a current ratio </w:t>
      </w:r>
      <w:r w:rsidR="00691FAA">
        <w:rPr>
          <w:rFonts w:cstheme="minorHAnsi"/>
          <w:color w:val="000000"/>
        </w:rPr>
        <w:t xml:space="preserve">of </w:t>
      </w:r>
      <w:r>
        <w:rPr>
          <w:rFonts w:cstheme="minorHAnsi"/>
          <w:color w:val="000000"/>
        </w:rPr>
        <w:t xml:space="preserve">above 1 </w:t>
      </w:r>
      <w:r w:rsidR="008D6303">
        <w:rPr>
          <w:rFonts w:cstheme="minorHAnsi"/>
          <w:color w:val="000000"/>
        </w:rPr>
        <w:t xml:space="preserve">in 2020 and 2021. The ratio of 0.94 in 2022 indicates </w:t>
      </w:r>
      <w:r w:rsidR="00DA1696">
        <w:rPr>
          <w:rFonts w:cstheme="minorHAnsi"/>
          <w:color w:val="000000"/>
        </w:rPr>
        <w:t xml:space="preserve">that </w:t>
      </w:r>
      <w:r w:rsidR="008D6303">
        <w:rPr>
          <w:rFonts w:cstheme="minorHAnsi"/>
          <w:color w:val="000000"/>
        </w:rPr>
        <w:t xml:space="preserve">the company might struggle to pay off its debts. </w:t>
      </w:r>
      <w:r w:rsidR="008D6303">
        <w:t>Whil</w:t>
      </w:r>
      <w:r w:rsidR="00691FAA">
        <w:t>st</w:t>
      </w:r>
      <w:r w:rsidR="008D6303">
        <w:t xml:space="preserve"> the quick ratio shows company capabilities to pay for its current liabilities without worrying about selling its inventory. The higher the ratio</w:t>
      </w:r>
      <w:r w:rsidR="00691FAA">
        <w:t xml:space="preserve"> </w:t>
      </w:r>
      <w:r w:rsidR="00DA1696">
        <w:t>the</w:t>
      </w:r>
      <w:r w:rsidR="00691FAA">
        <w:t xml:space="preserve"> more beneficial</w:t>
      </w:r>
      <w:r w:rsidR="00DA1696">
        <w:t xml:space="preserve"> this is</w:t>
      </w:r>
      <w:r w:rsidR="008D6303">
        <w:t xml:space="preserve"> for the company. The cash ratio shows if the company can look out and deliver their short-term requirement like paying </w:t>
      </w:r>
      <w:r w:rsidR="008D6303">
        <w:lastRenderedPageBreak/>
        <w:t>for salar</w:t>
      </w:r>
      <w:r w:rsidR="00691FAA">
        <w:t>ies</w:t>
      </w:r>
      <w:r w:rsidR="008D6303">
        <w:t>. 0.5 to 1 is the preferred cash ratio. Amazon’s cash ratio less than 0.5</w:t>
      </w:r>
      <w:r w:rsidR="00691FAA">
        <w:t xml:space="preserve"> which</w:t>
      </w:r>
      <w:r w:rsidR="008D6303">
        <w:t xml:space="preserve"> indicates </w:t>
      </w:r>
      <w:r w:rsidR="00525511">
        <w:t>that</w:t>
      </w:r>
      <w:r w:rsidR="00DA1696">
        <w:t xml:space="preserve"> the</w:t>
      </w:r>
      <w:r w:rsidR="00525511">
        <w:t xml:space="preserve"> company has more short-term debts than cash.</w:t>
      </w:r>
    </w:p>
    <w:p w14:paraId="543BE4F0" w14:textId="38880A17" w:rsidR="00525511" w:rsidRPr="00525511" w:rsidRDefault="00FC76F0" w:rsidP="00E90222">
      <w:pPr>
        <w:jc w:val="both"/>
        <w:rPr>
          <w:rFonts w:cstheme="minorHAnsi"/>
          <w:color w:val="000000"/>
        </w:rPr>
      </w:pPr>
      <w:r>
        <w:rPr>
          <w:rFonts w:cstheme="minorHAnsi"/>
          <w:color w:val="000000"/>
        </w:rPr>
        <w:t>Table 1: Liquidity Ratios of (Amazon)</w:t>
      </w:r>
    </w:p>
    <w:tbl>
      <w:tblPr>
        <w:tblStyle w:val="TableGrid"/>
        <w:tblW w:w="0" w:type="auto"/>
        <w:tblLook w:val="04A0" w:firstRow="1" w:lastRow="0" w:firstColumn="1" w:lastColumn="0" w:noHBand="0" w:noVBand="1"/>
      </w:tblPr>
      <w:tblGrid>
        <w:gridCol w:w="2254"/>
        <w:gridCol w:w="2254"/>
        <w:gridCol w:w="2254"/>
        <w:gridCol w:w="2254"/>
      </w:tblGrid>
      <w:tr w:rsidR="00F820DC" w14:paraId="3366C59A" w14:textId="77777777" w:rsidTr="00F820DC">
        <w:tc>
          <w:tcPr>
            <w:tcW w:w="2254" w:type="dxa"/>
          </w:tcPr>
          <w:p w14:paraId="3D3BED68" w14:textId="2CB4A184" w:rsidR="00F820DC" w:rsidRDefault="00F820DC" w:rsidP="00263848">
            <w:pPr>
              <w:spacing w:line="360" w:lineRule="auto"/>
              <w:jc w:val="both"/>
            </w:pPr>
            <w:r>
              <w:t>Ratio/Year</w:t>
            </w:r>
          </w:p>
        </w:tc>
        <w:tc>
          <w:tcPr>
            <w:tcW w:w="2254" w:type="dxa"/>
          </w:tcPr>
          <w:p w14:paraId="3F0F8B2B" w14:textId="2FF11124" w:rsidR="00F820DC" w:rsidRPr="00B516F6" w:rsidRDefault="00F820DC" w:rsidP="00263848">
            <w:pPr>
              <w:spacing w:line="360" w:lineRule="auto"/>
              <w:jc w:val="both"/>
              <w:rPr>
                <w:b/>
                <w:bCs/>
              </w:rPr>
            </w:pPr>
            <w:r w:rsidRPr="00B516F6">
              <w:rPr>
                <w:b/>
                <w:bCs/>
              </w:rPr>
              <w:t>2022</w:t>
            </w:r>
          </w:p>
        </w:tc>
        <w:tc>
          <w:tcPr>
            <w:tcW w:w="2254" w:type="dxa"/>
          </w:tcPr>
          <w:p w14:paraId="525AC909" w14:textId="2C3D0E0D" w:rsidR="00F820DC" w:rsidRPr="00B516F6" w:rsidRDefault="00F820DC" w:rsidP="00263848">
            <w:pPr>
              <w:spacing w:line="360" w:lineRule="auto"/>
              <w:jc w:val="both"/>
              <w:rPr>
                <w:b/>
                <w:bCs/>
              </w:rPr>
            </w:pPr>
            <w:r w:rsidRPr="00B516F6">
              <w:rPr>
                <w:b/>
                <w:bCs/>
              </w:rPr>
              <w:t>2021</w:t>
            </w:r>
          </w:p>
        </w:tc>
        <w:tc>
          <w:tcPr>
            <w:tcW w:w="2254" w:type="dxa"/>
          </w:tcPr>
          <w:p w14:paraId="7FDF44FE" w14:textId="06905684" w:rsidR="00F820DC" w:rsidRPr="00B516F6" w:rsidRDefault="00F820DC" w:rsidP="00263848">
            <w:pPr>
              <w:spacing w:line="360" w:lineRule="auto"/>
              <w:jc w:val="both"/>
              <w:rPr>
                <w:b/>
                <w:bCs/>
              </w:rPr>
            </w:pPr>
            <w:r w:rsidRPr="00B516F6">
              <w:rPr>
                <w:b/>
                <w:bCs/>
              </w:rPr>
              <w:t>2020</w:t>
            </w:r>
          </w:p>
        </w:tc>
      </w:tr>
      <w:tr w:rsidR="00F820DC" w14:paraId="3BF7EC28" w14:textId="77777777" w:rsidTr="00F820DC">
        <w:tc>
          <w:tcPr>
            <w:tcW w:w="2254" w:type="dxa"/>
          </w:tcPr>
          <w:p w14:paraId="08B76C35" w14:textId="362FA68B" w:rsidR="00F820DC" w:rsidRPr="00FE3DD5" w:rsidRDefault="00F820DC" w:rsidP="00263848">
            <w:pPr>
              <w:spacing w:line="360" w:lineRule="auto"/>
              <w:jc w:val="both"/>
              <w:rPr>
                <w:b/>
                <w:bCs/>
              </w:rPr>
            </w:pPr>
            <w:r w:rsidRPr="00FE3DD5">
              <w:rPr>
                <w:b/>
                <w:bCs/>
              </w:rPr>
              <w:t>Current Ratio</w:t>
            </w:r>
          </w:p>
        </w:tc>
        <w:tc>
          <w:tcPr>
            <w:tcW w:w="2254" w:type="dxa"/>
          </w:tcPr>
          <w:p w14:paraId="7FBED6C3" w14:textId="6C056A8B" w:rsidR="00F820DC" w:rsidRDefault="00F820DC" w:rsidP="00263848">
            <w:pPr>
              <w:spacing w:line="360" w:lineRule="auto"/>
              <w:jc w:val="both"/>
            </w:pPr>
            <w:r>
              <w:t>0.94</w:t>
            </w:r>
          </w:p>
        </w:tc>
        <w:tc>
          <w:tcPr>
            <w:tcW w:w="2254" w:type="dxa"/>
          </w:tcPr>
          <w:p w14:paraId="5741E8CE" w14:textId="1166983E" w:rsidR="00F820DC" w:rsidRDefault="00F820DC" w:rsidP="00263848">
            <w:pPr>
              <w:spacing w:line="360" w:lineRule="auto"/>
              <w:jc w:val="both"/>
            </w:pPr>
            <w:r>
              <w:t>1.14</w:t>
            </w:r>
          </w:p>
        </w:tc>
        <w:tc>
          <w:tcPr>
            <w:tcW w:w="2254" w:type="dxa"/>
          </w:tcPr>
          <w:p w14:paraId="168D0B51" w14:textId="343DE602" w:rsidR="00F820DC" w:rsidRDefault="00F820DC" w:rsidP="00263848">
            <w:pPr>
              <w:spacing w:line="360" w:lineRule="auto"/>
              <w:jc w:val="both"/>
            </w:pPr>
            <w:r>
              <w:t>1.05</w:t>
            </w:r>
          </w:p>
        </w:tc>
      </w:tr>
      <w:tr w:rsidR="00F820DC" w14:paraId="6B8B1EF1" w14:textId="77777777" w:rsidTr="00F820DC">
        <w:tc>
          <w:tcPr>
            <w:tcW w:w="2254" w:type="dxa"/>
          </w:tcPr>
          <w:p w14:paraId="312B8A2E" w14:textId="681172A1" w:rsidR="00F820DC" w:rsidRPr="00FE3DD5" w:rsidRDefault="00F820DC" w:rsidP="00263848">
            <w:pPr>
              <w:spacing w:line="360" w:lineRule="auto"/>
              <w:jc w:val="both"/>
              <w:rPr>
                <w:b/>
                <w:bCs/>
              </w:rPr>
            </w:pPr>
            <w:r w:rsidRPr="00FE3DD5">
              <w:rPr>
                <w:b/>
                <w:bCs/>
              </w:rPr>
              <w:t xml:space="preserve">Quick Ratio </w:t>
            </w:r>
          </w:p>
        </w:tc>
        <w:tc>
          <w:tcPr>
            <w:tcW w:w="2254" w:type="dxa"/>
          </w:tcPr>
          <w:p w14:paraId="6E60E3C5" w14:textId="6F9AD9C4" w:rsidR="00F820DC" w:rsidRDefault="00F820DC" w:rsidP="00263848">
            <w:pPr>
              <w:spacing w:line="360" w:lineRule="auto"/>
              <w:jc w:val="both"/>
            </w:pPr>
            <w:r>
              <w:t>0.72</w:t>
            </w:r>
          </w:p>
        </w:tc>
        <w:tc>
          <w:tcPr>
            <w:tcW w:w="2254" w:type="dxa"/>
          </w:tcPr>
          <w:p w14:paraId="160EED56" w14:textId="37B1BCBF" w:rsidR="00F820DC" w:rsidRDefault="00F820DC" w:rsidP="00263848">
            <w:pPr>
              <w:spacing w:line="360" w:lineRule="auto"/>
              <w:jc w:val="both"/>
            </w:pPr>
            <w:r>
              <w:t>0.91</w:t>
            </w:r>
          </w:p>
        </w:tc>
        <w:tc>
          <w:tcPr>
            <w:tcW w:w="2254" w:type="dxa"/>
          </w:tcPr>
          <w:p w14:paraId="55B3BDF4" w14:textId="051A2F7D" w:rsidR="00F820DC" w:rsidRDefault="00F820DC" w:rsidP="00263848">
            <w:pPr>
              <w:spacing w:line="360" w:lineRule="auto"/>
              <w:jc w:val="both"/>
            </w:pPr>
            <w:r>
              <w:t>0.86</w:t>
            </w:r>
          </w:p>
        </w:tc>
      </w:tr>
      <w:tr w:rsidR="00F820DC" w14:paraId="506F9EC3" w14:textId="77777777" w:rsidTr="00F820DC">
        <w:tc>
          <w:tcPr>
            <w:tcW w:w="2254" w:type="dxa"/>
          </w:tcPr>
          <w:p w14:paraId="532EF391" w14:textId="76BAD8DE" w:rsidR="00F820DC" w:rsidRPr="00FE3DD5" w:rsidRDefault="00F820DC" w:rsidP="00263848">
            <w:pPr>
              <w:spacing w:line="360" w:lineRule="auto"/>
              <w:jc w:val="both"/>
              <w:rPr>
                <w:b/>
                <w:bCs/>
              </w:rPr>
            </w:pPr>
            <w:r w:rsidRPr="00FE3DD5">
              <w:rPr>
                <w:b/>
                <w:bCs/>
              </w:rPr>
              <w:t>Cash Ratio</w:t>
            </w:r>
          </w:p>
        </w:tc>
        <w:tc>
          <w:tcPr>
            <w:tcW w:w="2254" w:type="dxa"/>
          </w:tcPr>
          <w:p w14:paraId="4B42F0CB" w14:textId="613A5A99" w:rsidR="00F820DC" w:rsidRDefault="00F820DC" w:rsidP="00263848">
            <w:pPr>
              <w:spacing w:line="360" w:lineRule="auto"/>
              <w:jc w:val="both"/>
            </w:pPr>
            <w:r>
              <w:t>0.35</w:t>
            </w:r>
          </w:p>
        </w:tc>
        <w:tc>
          <w:tcPr>
            <w:tcW w:w="2254" w:type="dxa"/>
          </w:tcPr>
          <w:p w14:paraId="621C83E5" w14:textId="329FC6F3" w:rsidR="00F820DC" w:rsidRDefault="00F820DC" w:rsidP="00263848">
            <w:pPr>
              <w:spacing w:line="360" w:lineRule="auto"/>
              <w:jc w:val="both"/>
            </w:pPr>
            <w:r>
              <w:t>0.25</w:t>
            </w:r>
          </w:p>
        </w:tc>
        <w:tc>
          <w:tcPr>
            <w:tcW w:w="2254" w:type="dxa"/>
          </w:tcPr>
          <w:p w14:paraId="7AFCD476" w14:textId="0B12725B" w:rsidR="00F820DC" w:rsidRDefault="00F820DC" w:rsidP="00263848">
            <w:pPr>
              <w:spacing w:line="360" w:lineRule="auto"/>
              <w:jc w:val="both"/>
            </w:pPr>
            <w:r>
              <w:t>0.33</w:t>
            </w:r>
          </w:p>
        </w:tc>
      </w:tr>
    </w:tbl>
    <w:p w14:paraId="5A79A61D" w14:textId="77777777" w:rsidR="00D840A0" w:rsidRDefault="00D840A0" w:rsidP="00C10562">
      <w:pPr>
        <w:jc w:val="both"/>
      </w:pPr>
    </w:p>
    <w:p w14:paraId="2473560C" w14:textId="7AA54E66" w:rsidR="007C4909" w:rsidRDefault="007C4909" w:rsidP="00B03841">
      <w:pPr>
        <w:spacing w:line="360" w:lineRule="auto"/>
        <w:jc w:val="both"/>
      </w:pPr>
      <w:r>
        <w:t>This  report would analyse</w:t>
      </w:r>
      <w:r w:rsidR="00DA1696">
        <w:t xml:space="preserve"> in details the</w:t>
      </w:r>
      <w:r>
        <w:t xml:space="preserve"> liquidity ratios</w:t>
      </w:r>
      <w:r w:rsidR="00DA1696">
        <w:t xml:space="preserve"> in order</w:t>
      </w:r>
      <w:r>
        <w:t xml:space="preserve"> to determine Amazon’s financial health. The defensive interval ratio determines the days Amazon’s can work without utilizing non-current assets or outside financial resources. The table below shows</w:t>
      </w:r>
      <w:r w:rsidR="00691FAA">
        <w:t xml:space="preserve"> a</w:t>
      </w:r>
      <w:r>
        <w:t xml:space="preserve"> decline in </w:t>
      </w:r>
      <w:r w:rsidR="00691FAA">
        <w:t xml:space="preserve">the </w:t>
      </w:r>
      <w:r w:rsidR="00133AF7">
        <w:t xml:space="preserve">number of days  </w:t>
      </w:r>
      <w:r w:rsidR="00691FAA">
        <w:t>when</w:t>
      </w:r>
      <w:r w:rsidR="00133AF7">
        <w:t xml:space="preserve"> Amazon can operate whil</w:t>
      </w:r>
      <w:r w:rsidR="00DA1696">
        <w:t>st</w:t>
      </w:r>
      <w:r w:rsidR="00133AF7">
        <w:t xml:space="preserve"> relying only on liquid assets. The defensive interval ratio of 116.52 </w:t>
      </w:r>
      <w:r w:rsidR="007F485F">
        <w:t xml:space="preserve">in 2022 </w:t>
      </w:r>
      <w:r w:rsidR="00133AF7">
        <w:t xml:space="preserve">might suggest that Amazon needs to improve its liquidity. Amazon’s inventory days indicates that </w:t>
      </w:r>
      <w:r w:rsidR="00DA1696">
        <w:t xml:space="preserve">the </w:t>
      </w:r>
      <w:r w:rsidR="00133AF7">
        <w:t xml:space="preserve">company is able to turn its inventory more quickly into sales. </w:t>
      </w:r>
      <w:r w:rsidR="00FB52B7">
        <w:t>Therefore,</w:t>
      </w:r>
      <w:r w:rsidR="00DA1696">
        <w:t xml:space="preserve"> a</w:t>
      </w:r>
      <w:r w:rsidR="00133AF7">
        <w:t xml:space="preserve"> </w:t>
      </w:r>
      <w:r w:rsidR="00FB52B7">
        <w:t>ratio below 10 translates to an efficient business in terms of</w:t>
      </w:r>
      <w:r w:rsidR="00691FAA">
        <w:t xml:space="preserve"> the</w:t>
      </w:r>
      <w:r w:rsidR="00FB52B7">
        <w:t xml:space="preserve"> inventory management and sales performance. Amazon’s  high payable days ratio means that </w:t>
      </w:r>
      <w:r w:rsidR="005D2E6B">
        <w:t>the</w:t>
      </w:r>
      <w:r w:rsidR="00FB52B7">
        <w:t xml:space="preserve"> company </w:t>
      </w:r>
      <w:r w:rsidR="005D2E6B">
        <w:t xml:space="preserve">will </w:t>
      </w:r>
      <w:r w:rsidR="00FB52B7">
        <w:t xml:space="preserve">take more time to pay </w:t>
      </w:r>
      <w:r w:rsidR="00DA1696">
        <w:t xml:space="preserve">off </w:t>
      </w:r>
      <w:r w:rsidR="00FB52B7">
        <w:t xml:space="preserve">their bills and creditors. </w:t>
      </w:r>
      <w:r w:rsidR="00447F5E">
        <w:t>In the grand scheme of things</w:t>
      </w:r>
      <w:r w:rsidR="005D2E6B">
        <w:t>,</w:t>
      </w:r>
      <w:r w:rsidR="00447F5E">
        <w:t xml:space="preserve"> Amazon’s average payable days ratio between 2022 and 2020 was 106.5</w:t>
      </w:r>
      <w:r w:rsidR="005D2E6B">
        <w:t>. This</w:t>
      </w:r>
      <w:r w:rsidR="00447F5E">
        <w:t xml:space="preserve"> means that </w:t>
      </w:r>
      <w:r w:rsidR="005D2E6B">
        <w:t>the</w:t>
      </w:r>
      <w:r w:rsidR="00447F5E">
        <w:t xml:space="preserve"> company has</w:t>
      </w:r>
      <w:r w:rsidR="00DA1696">
        <w:t xml:space="preserve"> generated an</w:t>
      </w:r>
      <w:r w:rsidR="00447F5E">
        <w:t xml:space="preserve"> extra cash on hand that could be used for short -term </w:t>
      </w:r>
      <w:r w:rsidR="00AA5E59">
        <w:t>investments</w:t>
      </w:r>
      <w:r w:rsidR="00447F5E">
        <w:t xml:space="preserve">. </w:t>
      </w:r>
      <w:r w:rsidR="00D223F5">
        <w:t>The table below indicates</w:t>
      </w:r>
      <w:r w:rsidR="00DA1696">
        <w:t xml:space="preserve"> a</w:t>
      </w:r>
      <w:r w:rsidR="00D223F5">
        <w:t xml:space="preserve"> marginal increase in receivable days ratio in 2022. The high receivable ratio is associated with </w:t>
      </w:r>
      <w:r w:rsidR="005D2E6B">
        <w:t xml:space="preserve">the </w:t>
      </w:r>
      <w:r w:rsidR="00D223F5">
        <w:t xml:space="preserve">company being inefficient in its collection processes and its payment terms might be too lenient. </w:t>
      </w:r>
    </w:p>
    <w:p w14:paraId="717CEAB9" w14:textId="77777777" w:rsidR="004D252D" w:rsidRDefault="004D252D" w:rsidP="004D252D">
      <w:r>
        <w:t>Table 2: Liquidity Ratios of (Amazon)</w:t>
      </w:r>
    </w:p>
    <w:tbl>
      <w:tblPr>
        <w:tblStyle w:val="TableGrid"/>
        <w:tblW w:w="0" w:type="auto"/>
        <w:tblLook w:val="04A0" w:firstRow="1" w:lastRow="0" w:firstColumn="1" w:lastColumn="0" w:noHBand="0" w:noVBand="1"/>
      </w:tblPr>
      <w:tblGrid>
        <w:gridCol w:w="2254"/>
        <w:gridCol w:w="2254"/>
        <w:gridCol w:w="2254"/>
        <w:gridCol w:w="2254"/>
      </w:tblGrid>
      <w:tr w:rsidR="004D252D" w14:paraId="56DEEBE2" w14:textId="77777777" w:rsidTr="00800C73">
        <w:tc>
          <w:tcPr>
            <w:tcW w:w="2254" w:type="dxa"/>
          </w:tcPr>
          <w:p w14:paraId="6045C167" w14:textId="77777777" w:rsidR="004D252D" w:rsidRDefault="004D252D" w:rsidP="00800C73">
            <w:r>
              <w:t>Ratio/Year</w:t>
            </w:r>
          </w:p>
        </w:tc>
        <w:tc>
          <w:tcPr>
            <w:tcW w:w="2254" w:type="dxa"/>
          </w:tcPr>
          <w:p w14:paraId="6F19728B" w14:textId="77777777" w:rsidR="004D252D" w:rsidRPr="00B516F6" w:rsidRDefault="004D252D" w:rsidP="00800C73">
            <w:pPr>
              <w:rPr>
                <w:b/>
                <w:bCs/>
              </w:rPr>
            </w:pPr>
            <w:r w:rsidRPr="00B516F6">
              <w:rPr>
                <w:b/>
                <w:bCs/>
              </w:rPr>
              <w:t>2022</w:t>
            </w:r>
          </w:p>
        </w:tc>
        <w:tc>
          <w:tcPr>
            <w:tcW w:w="2254" w:type="dxa"/>
          </w:tcPr>
          <w:p w14:paraId="3E4C2E70" w14:textId="77777777" w:rsidR="004D252D" w:rsidRPr="00B516F6" w:rsidRDefault="004D252D" w:rsidP="00800C73">
            <w:pPr>
              <w:rPr>
                <w:b/>
                <w:bCs/>
              </w:rPr>
            </w:pPr>
            <w:r w:rsidRPr="00B516F6">
              <w:rPr>
                <w:b/>
                <w:bCs/>
              </w:rPr>
              <w:t>2021</w:t>
            </w:r>
          </w:p>
        </w:tc>
        <w:tc>
          <w:tcPr>
            <w:tcW w:w="2254" w:type="dxa"/>
          </w:tcPr>
          <w:p w14:paraId="0B9E66EB" w14:textId="77777777" w:rsidR="004D252D" w:rsidRPr="00B516F6" w:rsidRDefault="004D252D" w:rsidP="00800C73">
            <w:pPr>
              <w:rPr>
                <w:b/>
                <w:bCs/>
              </w:rPr>
            </w:pPr>
            <w:r w:rsidRPr="00B516F6">
              <w:rPr>
                <w:b/>
                <w:bCs/>
              </w:rPr>
              <w:t>2020</w:t>
            </w:r>
          </w:p>
        </w:tc>
      </w:tr>
      <w:tr w:rsidR="004D252D" w14:paraId="57EA7B15" w14:textId="77777777" w:rsidTr="00800C73">
        <w:tc>
          <w:tcPr>
            <w:tcW w:w="2254" w:type="dxa"/>
          </w:tcPr>
          <w:p w14:paraId="410C24E1" w14:textId="77777777" w:rsidR="004D252D" w:rsidRPr="0016589D" w:rsidRDefault="004D252D" w:rsidP="00800C73">
            <w:pPr>
              <w:rPr>
                <w:b/>
                <w:bCs/>
              </w:rPr>
            </w:pPr>
            <w:r w:rsidRPr="0016589D">
              <w:rPr>
                <w:b/>
                <w:bCs/>
              </w:rPr>
              <w:t>Defensive Interval</w:t>
            </w:r>
          </w:p>
        </w:tc>
        <w:tc>
          <w:tcPr>
            <w:tcW w:w="2254" w:type="dxa"/>
          </w:tcPr>
          <w:p w14:paraId="09EF952C" w14:textId="77777777" w:rsidR="004D252D" w:rsidRDefault="004D252D" w:rsidP="00800C73">
            <w:r>
              <w:t>116.52</w:t>
            </w:r>
          </w:p>
        </w:tc>
        <w:tc>
          <w:tcPr>
            <w:tcW w:w="2254" w:type="dxa"/>
          </w:tcPr>
          <w:p w14:paraId="473A6CC2" w14:textId="77777777" w:rsidR="004D252D" w:rsidRDefault="004D252D" w:rsidP="00800C73">
            <w:r>
              <w:t>143.67</w:t>
            </w:r>
          </w:p>
        </w:tc>
        <w:tc>
          <w:tcPr>
            <w:tcW w:w="2254" w:type="dxa"/>
          </w:tcPr>
          <w:p w14:paraId="276B3C06" w14:textId="77777777" w:rsidR="004D252D" w:rsidRDefault="004D252D" w:rsidP="00800C73">
            <w:r>
              <w:t>143.34</w:t>
            </w:r>
          </w:p>
        </w:tc>
      </w:tr>
      <w:tr w:rsidR="004D252D" w14:paraId="067230C8" w14:textId="77777777" w:rsidTr="00800C73">
        <w:tc>
          <w:tcPr>
            <w:tcW w:w="2254" w:type="dxa"/>
          </w:tcPr>
          <w:p w14:paraId="5980CAB7" w14:textId="77777777" w:rsidR="004D252D" w:rsidRPr="0016589D" w:rsidRDefault="004D252D" w:rsidP="00800C73">
            <w:pPr>
              <w:rPr>
                <w:b/>
                <w:bCs/>
              </w:rPr>
            </w:pPr>
            <w:r w:rsidRPr="0016589D">
              <w:rPr>
                <w:b/>
                <w:bCs/>
              </w:rPr>
              <w:t>Inventory Days</w:t>
            </w:r>
          </w:p>
        </w:tc>
        <w:tc>
          <w:tcPr>
            <w:tcW w:w="2254" w:type="dxa"/>
          </w:tcPr>
          <w:p w14:paraId="3CEDB283" w14:textId="77777777" w:rsidR="004D252D" w:rsidRDefault="004D252D" w:rsidP="00800C73">
            <w:r>
              <w:t>8.40</w:t>
            </w:r>
          </w:p>
        </w:tc>
        <w:tc>
          <w:tcPr>
            <w:tcW w:w="2254" w:type="dxa"/>
          </w:tcPr>
          <w:p w14:paraId="05E611E0" w14:textId="77777777" w:rsidR="004D252D" w:rsidRDefault="004D252D" w:rsidP="00800C73">
            <w:r>
              <w:t>8.34</w:t>
            </w:r>
          </w:p>
        </w:tc>
        <w:tc>
          <w:tcPr>
            <w:tcW w:w="2254" w:type="dxa"/>
          </w:tcPr>
          <w:p w14:paraId="66488063" w14:textId="77777777" w:rsidR="004D252D" w:rsidRDefault="004D252D" w:rsidP="00800C73">
            <w:r>
              <w:t>9.80</w:t>
            </w:r>
          </w:p>
        </w:tc>
      </w:tr>
      <w:tr w:rsidR="004D252D" w14:paraId="2965C45F" w14:textId="77777777" w:rsidTr="00800C73">
        <w:tc>
          <w:tcPr>
            <w:tcW w:w="2254" w:type="dxa"/>
          </w:tcPr>
          <w:p w14:paraId="65C621D3" w14:textId="77777777" w:rsidR="004D252D" w:rsidRPr="0016589D" w:rsidRDefault="004D252D" w:rsidP="00800C73">
            <w:pPr>
              <w:rPr>
                <w:b/>
                <w:bCs/>
              </w:rPr>
            </w:pPr>
            <w:r w:rsidRPr="0016589D">
              <w:rPr>
                <w:b/>
                <w:bCs/>
              </w:rPr>
              <w:t>Payable Days</w:t>
            </w:r>
          </w:p>
        </w:tc>
        <w:tc>
          <w:tcPr>
            <w:tcW w:w="2254" w:type="dxa"/>
          </w:tcPr>
          <w:p w14:paraId="7D0C8C31" w14:textId="77777777" w:rsidR="004D252D" w:rsidRDefault="004D252D" w:rsidP="00800C73">
            <w:r>
              <w:t>100.59</w:t>
            </w:r>
          </w:p>
        </w:tc>
        <w:tc>
          <w:tcPr>
            <w:tcW w:w="2254" w:type="dxa"/>
          </w:tcPr>
          <w:p w14:paraId="656B2D42" w14:textId="77777777" w:rsidR="004D252D" w:rsidRDefault="004D252D" w:rsidP="00800C73">
            <w:r>
              <w:t>105.43</w:t>
            </w:r>
          </w:p>
        </w:tc>
        <w:tc>
          <w:tcPr>
            <w:tcW w:w="2254" w:type="dxa"/>
          </w:tcPr>
          <w:p w14:paraId="5BB427BF" w14:textId="77777777" w:rsidR="004D252D" w:rsidRDefault="004D252D" w:rsidP="00800C73">
            <w:r>
              <w:t>113.48</w:t>
            </w:r>
          </w:p>
        </w:tc>
      </w:tr>
      <w:tr w:rsidR="004D252D" w14:paraId="01D9B591" w14:textId="77777777" w:rsidTr="00800C73">
        <w:tc>
          <w:tcPr>
            <w:tcW w:w="2254" w:type="dxa"/>
          </w:tcPr>
          <w:p w14:paraId="402B3F43" w14:textId="77777777" w:rsidR="004D252D" w:rsidRPr="0016589D" w:rsidRDefault="004D252D" w:rsidP="00800C73">
            <w:pPr>
              <w:rPr>
                <w:b/>
                <w:bCs/>
              </w:rPr>
            </w:pPr>
            <w:r w:rsidRPr="0016589D">
              <w:rPr>
                <w:b/>
                <w:bCs/>
              </w:rPr>
              <w:t xml:space="preserve">Receivable Days </w:t>
            </w:r>
          </w:p>
        </w:tc>
        <w:tc>
          <w:tcPr>
            <w:tcW w:w="2254" w:type="dxa"/>
          </w:tcPr>
          <w:p w14:paraId="5626C382" w14:textId="77777777" w:rsidR="004D252D" w:rsidRDefault="004D252D" w:rsidP="00800C73">
            <w:r>
              <w:t>53.53</w:t>
            </w:r>
          </w:p>
        </w:tc>
        <w:tc>
          <w:tcPr>
            <w:tcW w:w="2254" w:type="dxa"/>
          </w:tcPr>
          <w:p w14:paraId="282727B9" w14:textId="77777777" w:rsidR="004D252D" w:rsidRDefault="004D252D" w:rsidP="00800C73">
            <w:r>
              <w:t>44.08</w:t>
            </w:r>
          </w:p>
        </w:tc>
        <w:tc>
          <w:tcPr>
            <w:tcW w:w="2254" w:type="dxa"/>
          </w:tcPr>
          <w:p w14:paraId="012BA15A" w14:textId="77777777" w:rsidR="004D252D" w:rsidRDefault="004D252D" w:rsidP="00800C73">
            <w:r>
              <w:t>38.40</w:t>
            </w:r>
          </w:p>
        </w:tc>
      </w:tr>
    </w:tbl>
    <w:p w14:paraId="1817342D" w14:textId="77777777" w:rsidR="004D252D" w:rsidRDefault="004D252D" w:rsidP="004D252D"/>
    <w:p w14:paraId="0E3BA038" w14:textId="77777777" w:rsidR="001756E0" w:rsidRDefault="001756E0" w:rsidP="001756E0">
      <w:pPr>
        <w:jc w:val="both"/>
        <w:rPr>
          <w:highlight w:val="green"/>
        </w:rPr>
      </w:pPr>
      <w:r>
        <w:rPr>
          <w:highlight w:val="green"/>
        </w:rPr>
        <w:t>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Rivian).</w:t>
      </w:r>
    </w:p>
    <w:p w14:paraId="207E2C6F" w14:textId="77777777" w:rsidR="001756E0" w:rsidRDefault="001756E0" w:rsidP="001756E0"/>
    <w:p w14:paraId="237B589F" w14:textId="77777777" w:rsidR="001756E0" w:rsidRDefault="001756E0" w:rsidP="001756E0">
      <w:pPr>
        <w:jc w:val="both"/>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w:t>
      </w:r>
      <w:r>
        <w:rPr>
          <w:highlight w:val="green"/>
        </w:rPr>
        <w:lastRenderedPageBreak/>
        <w:t>inventory on behalf of its vendors. Therefore, working capital is negative and so is the trading cycle. On a year over year basis the number has worsened, but can be supported with the argument that Amazon has started its own fulfilment services and is a fast growing company.</w:t>
      </w:r>
      <w:r>
        <w:tab/>
      </w:r>
    </w:p>
    <w:p w14:paraId="4E038B60" w14:textId="77777777" w:rsidR="001756E0" w:rsidRDefault="001756E0" w:rsidP="001756E0">
      <w:pPr>
        <w:jc w:val="both"/>
      </w:pPr>
    </w:p>
    <w:p w14:paraId="7906C3E1" w14:textId="77777777" w:rsidR="001756E0" w:rsidRDefault="001756E0" w:rsidP="001756E0">
      <w:pPr>
        <w:jc w:val="both"/>
      </w:pPr>
      <w:r>
        <w:rPr>
          <w:highlight w:val="green"/>
        </w:rPr>
        <w:t>Operating with a negative Trading Cycle became a source of cash for the company, instead of being a cost for it. However, it can be observed that the Trading Cycle days have reduced over the years indicating that the number of days that they can hold on to the cash has reduced.</w:t>
      </w:r>
    </w:p>
    <w:p w14:paraId="0A1A5595" w14:textId="77777777" w:rsidR="007C4909" w:rsidRDefault="007C4909" w:rsidP="00CC1BF6"/>
    <w:p w14:paraId="133D7C36" w14:textId="5FE57BB4" w:rsidR="004D252D" w:rsidRPr="004D252D" w:rsidRDefault="004D252D" w:rsidP="00B03841">
      <w:pPr>
        <w:spacing w:line="360" w:lineRule="auto"/>
        <w:jc w:val="center"/>
        <w:rPr>
          <w:rFonts w:cstheme="minorHAnsi"/>
          <w:b/>
          <w:bCs/>
          <w:color w:val="000000"/>
        </w:rPr>
      </w:pPr>
      <w:r>
        <w:rPr>
          <w:rFonts w:cstheme="minorHAnsi"/>
          <w:b/>
          <w:bCs/>
          <w:color w:val="000000"/>
        </w:rPr>
        <w:t xml:space="preserve">Profitability </w:t>
      </w:r>
      <w:r w:rsidRPr="004D252D">
        <w:rPr>
          <w:rFonts w:cstheme="minorHAnsi"/>
          <w:b/>
          <w:bCs/>
          <w:color w:val="000000"/>
        </w:rPr>
        <w:t xml:space="preserve"> </w:t>
      </w:r>
      <w:r>
        <w:rPr>
          <w:rFonts w:cstheme="minorHAnsi"/>
          <w:b/>
          <w:bCs/>
          <w:color w:val="000000"/>
        </w:rPr>
        <w:t>Analysis</w:t>
      </w:r>
    </w:p>
    <w:p w14:paraId="414C71A2" w14:textId="16F3DD78" w:rsidR="007C4909" w:rsidRDefault="003D6779" w:rsidP="00B03841">
      <w:pPr>
        <w:spacing w:line="360" w:lineRule="auto"/>
        <w:jc w:val="both"/>
      </w:pPr>
      <w:r>
        <w:t xml:space="preserve">Along with </w:t>
      </w:r>
      <w:r w:rsidR="00DA1696">
        <w:t xml:space="preserve">the </w:t>
      </w:r>
      <w:r>
        <w:t xml:space="preserve">financial statement analysis, it is </w:t>
      </w:r>
      <w:r w:rsidR="0019268C">
        <w:t>imperative to analyse profitability ratios as they measure and evaluate business performance</w:t>
      </w:r>
      <w:r w:rsidR="00DA1696">
        <w:t>s</w:t>
      </w:r>
      <w:r w:rsidR="0019268C">
        <w:t xml:space="preserve"> in terms of income (profit). To understand the drivers behind Amazon’s profit performance, profitability ratios were analysed. </w:t>
      </w:r>
      <w:r w:rsidR="000E0F42">
        <w:t>Amazon’s</w:t>
      </w:r>
      <w:r w:rsidR="0019268C">
        <w:t xml:space="preserve"> gross </w:t>
      </w:r>
      <w:r w:rsidR="000E0F42">
        <w:t xml:space="preserve">margin increased by 2% in 2022 compared from </w:t>
      </w:r>
      <w:r w:rsidR="00DA1696">
        <w:t xml:space="preserve">the </w:t>
      </w:r>
      <w:r w:rsidR="000E0F42">
        <w:t>previous year. Amazon’s solid gross margin indicates  that the company retains more capital per sales dollar</w:t>
      </w:r>
      <w:r w:rsidR="00DE1271">
        <w:t>. In other words, rising gross margin is indicative of improved efficiencies. If Amazon wants to improve their gross margin, they have to increase</w:t>
      </w:r>
      <w:r w:rsidR="005A4B90">
        <w:t xml:space="preserve"> their</w:t>
      </w:r>
      <w:r w:rsidR="00DE1271">
        <w:t xml:space="preserve"> revenue or decrease </w:t>
      </w:r>
      <w:r w:rsidR="005A4B90">
        <w:t>the c</w:t>
      </w:r>
      <w:r w:rsidR="00DE1271">
        <w:t>ost of goods sold.</w:t>
      </w:r>
      <w:r w:rsidR="000E0F42">
        <w:t xml:space="preserve">  </w:t>
      </w:r>
      <w:r w:rsidR="005F09EF">
        <w:t>EBITDA margin was 11% in 2022 compared to 13% in 2021. The marginal decline suggests lower profitability and potentially cash flow problems. However, an EBITDA margin of 10% or more is considered to be a good profitability measure. Naturally, a higher margin implies lower operating expenses relative to</w:t>
      </w:r>
      <w:r w:rsidR="005A4B90">
        <w:t xml:space="preserve"> the</w:t>
      </w:r>
      <w:r w:rsidR="005F09EF">
        <w:t xml:space="preserve"> total revenue. </w:t>
      </w:r>
      <w:r w:rsidR="0006626D">
        <w:t xml:space="preserve">EBIT margin </w:t>
      </w:r>
      <w:r w:rsidR="005A4B90">
        <w:t xml:space="preserve">decreased from </w:t>
      </w:r>
      <w:r w:rsidR="0006626D">
        <w:t xml:space="preserve">2% in 2022 </w:t>
      </w:r>
      <w:r w:rsidR="005A4B90">
        <w:t>to</w:t>
      </w:r>
      <w:r w:rsidR="0006626D">
        <w:t xml:space="preserve"> 5% in 2021</w:t>
      </w:r>
      <w:r w:rsidR="005A4B90">
        <w:t>,</w:t>
      </w:r>
      <w:r w:rsidR="0006626D">
        <w:t xml:space="preserve"> meaning that Amazon</w:t>
      </w:r>
      <w:r w:rsidR="005A4B90">
        <w:t>’s</w:t>
      </w:r>
      <w:r w:rsidR="0006626D">
        <w:t xml:space="preserve"> earnings before interest and taxes generated from its operations declined substantially. </w:t>
      </w:r>
      <w:r w:rsidR="00344938">
        <w:t>The low EBIT margin means that Amazon needs to improve</w:t>
      </w:r>
      <w:r w:rsidR="005A4B90">
        <w:t xml:space="preserve"> on</w:t>
      </w:r>
      <w:r w:rsidR="00344938">
        <w:t xml:space="preserve"> its operations in order to generate better returns. </w:t>
      </w:r>
      <w:r w:rsidR="00942842">
        <w:t xml:space="preserve">Amazon’s net margin declined significantly in 2022 compared to 2021. The negative net margin of -0.53% suggests a company’s weak financial health. The decreasing net profit margin signals  the need </w:t>
      </w:r>
      <w:r w:rsidR="005A4B90">
        <w:t>for</w:t>
      </w:r>
      <w:r w:rsidR="00942842">
        <w:t xml:space="preserve"> Amazon to take a second look at current practices and forecast profits accordingly.  In other </w:t>
      </w:r>
      <w:r w:rsidR="009F1F5C">
        <w:t>words,</w:t>
      </w:r>
      <w:r w:rsidR="00942842">
        <w:t xml:space="preserve"> Amazon is not generating enough profit to cover its costs </w:t>
      </w:r>
      <w:r w:rsidR="00EB69E1">
        <w:t>and</w:t>
      </w:r>
      <w:r w:rsidR="00942842">
        <w:t xml:space="preserve"> may be operating at a deficit. </w:t>
      </w:r>
      <w:r w:rsidR="009F1F5C">
        <w:t>The negative net margins</w:t>
      </w:r>
      <w:r w:rsidR="00191764">
        <w:t xml:space="preserve"> means that Amazon was unprofitable during 2022. </w:t>
      </w:r>
      <w:r w:rsidR="009F1F5C">
        <w:t xml:space="preserve"> </w:t>
      </w:r>
    </w:p>
    <w:p w14:paraId="62810E27" w14:textId="77777777" w:rsidR="00DE1271" w:rsidRDefault="00DE1271" w:rsidP="00CC1BF6"/>
    <w:p w14:paraId="294BE426" w14:textId="77777777" w:rsidR="001756E0" w:rsidRDefault="001756E0" w:rsidP="001756E0">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693820B6" w14:textId="77777777" w:rsidR="001756E0" w:rsidRDefault="001756E0" w:rsidP="00CC1BF6"/>
    <w:p w14:paraId="6E4EE5A0" w14:textId="3E5A9799" w:rsidR="003D6779" w:rsidRDefault="003D6779" w:rsidP="003D6779">
      <w:r>
        <w:t>Table 3: Profitability  Ratios of (Amazon)</w:t>
      </w:r>
    </w:p>
    <w:tbl>
      <w:tblPr>
        <w:tblStyle w:val="TableGrid"/>
        <w:tblW w:w="0" w:type="auto"/>
        <w:tblLook w:val="04A0" w:firstRow="1" w:lastRow="0" w:firstColumn="1" w:lastColumn="0" w:noHBand="0" w:noVBand="1"/>
      </w:tblPr>
      <w:tblGrid>
        <w:gridCol w:w="2254"/>
        <w:gridCol w:w="2254"/>
        <w:gridCol w:w="2254"/>
        <w:gridCol w:w="2254"/>
      </w:tblGrid>
      <w:tr w:rsidR="003D6779" w14:paraId="6DC0C8FF" w14:textId="77777777" w:rsidTr="003551F9">
        <w:tc>
          <w:tcPr>
            <w:tcW w:w="2254" w:type="dxa"/>
          </w:tcPr>
          <w:p w14:paraId="63CC0F01" w14:textId="77777777" w:rsidR="003D6779" w:rsidRDefault="003D6779" w:rsidP="003551F9">
            <w:r>
              <w:t>Ratio/Year</w:t>
            </w:r>
          </w:p>
        </w:tc>
        <w:tc>
          <w:tcPr>
            <w:tcW w:w="2254" w:type="dxa"/>
          </w:tcPr>
          <w:p w14:paraId="26687826" w14:textId="77777777" w:rsidR="003D6779" w:rsidRPr="00B516F6" w:rsidRDefault="003D6779" w:rsidP="003551F9">
            <w:pPr>
              <w:rPr>
                <w:b/>
                <w:bCs/>
              </w:rPr>
            </w:pPr>
            <w:r w:rsidRPr="00B516F6">
              <w:rPr>
                <w:b/>
                <w:bCs/>
              </w:rPr>
              <w:t>2022</w:t>
            </w:r>
          </w:p>
        </w:tc>
        <w:tc>
          <w:tcPr>
            <w:tcW w:w="2254" w:type="dxa"/>
          </w:tcPr>
          <w:p w14:paraId="10D61B08" w14:textId="77777777" w:rsidR="003D6779" w:rsidRPr="00B516F6" w:rsidRDefault="003D6779" w:rsidP="003551F9">
            <w:pPr>
              <w:rPr>
                <w:b/>
                <w:bCs/>
              </w:rPr>
            </w:pPr>
            <w:r w:rsidRPr="00B516F6">
              <w:rPr>
                <w:b/>
                <w:bCs/>
              </w:rPr>
              <w:t>2021</w:t>
            </w:r>
          </w:p>
        </w:tc>
        <w:tc>
          <w:tcPr>
            <w:tcW w:w="2254" w:type="dxa"/>
          </w:tcPr>
          <w:p w14:paraId="00D7B17D" w14:textId="77777777" w:rsidR="003D6779" w:rsidRPr="00B516F6" w:rsidRDefault="003D6779" w:rsidP="003551F9">
            <w:pPr>
              <w:rPr>
                <w:b/>
                <w:bCs/>
              </w:rPr>
            </w:pPr>
            <w:r w:rsidRPr="00B516F6">
              <w:rPr>
                <w:b/>
                <w:bCs/>
              </w:rPr>
              <w:t>2020</w:t>
            </w:r>
          </w:p>
        </w:tc>
      </w:tr>
      <w:tr w:rsidR="003D6779" w14:paraId="572AE636" w14:textId="77777777" w:rsidTr="003551F9">
        <w:tc>
          <w:tcPr>
            <w:tcW w:w="2254" w:type="dxa"/>
          </w:tcPr>
          <w:p w14:paraId="17EBCE82" w14:textId="3169DD2B" w:rsidR="003D6779" w:rsidRPr="0016589D" w:rsidRDefault="003D6779" w:rsidP="003551F9">
            <w:pPr>
              <w:rPr>
                <w:b/>
                <w:bCs/>
              </w:rPr>
            </w:pPr>
            <w:r>
              <w:rPr>
                <w:b/>
                <w:bCs/>
              </w:rPr>
              <w:t>Gross margin</w:t>
            </w:r>
          </w:p>
        </w:tc>
        <w:tc>
          <w:tcPr>
            <w:tcW w:w="2254" w:type="dxa"/>
          </w:tcPr>
          <w:p w14:paraId="4C5E1795" w14:textId="19E1F37A" w:rsidR="003D6779" w:rsidRDefault="003D6779" w:rsidP="003551F9">
            <w:r>
              <w:t>44%</w:t>
            </w:r>
          </w:p>
        </w:tc>
        <w:tc>
          <w:tcPr>
            <w:tcW w:w="2254" w:type="dxa"/>
          </w:tcPr>
          <w:p w14:paraId="50BB9E79" w14:textId="6066C79C" w:rsidR="003D6779" w:rsidRDefault="003D6779" w:rsidP="003551F9">
            <w:r>
              <w:t>42%</w:t>
            </w:r>
          </w:p>
        </w:tc>
        <w:tc>
          <w:tcPr>
            <w:tcW w:w="2254" w:type="dxa"/>
          </w:tcPr>
          <w:p w14:paraId="48BB5EA6" w14:textId="6EA0CE59" w:rsidR="003D6779" w:rsidRDefault="003D6779" w:rsidP="003551F9">
            <w:r>
              <w:t>40%</w:t>
            </w:r>
          </w:p>
        </w:tc>
      </w:tr>
      <w:tr w:rsidR="003D6779" w14:paraId="3329CEAE" w14:textId="77777777" w:rsidTr="003551F9">
        <w:tc>
          <w:tcPr>
            <w:tcW w:w="2254" w:type="dxa"/>
          </w:tcPr>
          <w:p w14:paraId="23CE92A4" w14:textId="666F4263" w:rsidR="003D6779" w:rsidRPr="0016589D" w:rsidRDefault="003D6779" w:rsidP="003551F9">
            <w:pPr>
              <w:rPr>
                <w:b/>
                <w:bCs/>
              </w:rPr>
            </w:pPr>
            <w:r>
              <w:rPr>
                <w:b/>
                <w:bCs/>
              </w:rPr>
              <w:lastRenderedPageBreak/>
              <w:t>EBITDA margin</w:t>
            </w:r>
          </w:p>
        </w:tc>
        <w:tc>
          <w:tcPr>
            <w:tcW w:w="2254" w:type="dxa"/>
          </w:tcPr>
          <w:p w14:paraId="46DC5C11" w14:textId="23D67F9B" w:rsidR="003D6779" w:rsidRDefault="003D6779" w:rsidP="003551F9">
            <w:r>
              <w:t>11</w:t>
            </w:r>
            <w:r w:rsidR="00E44654">
              <w:t>%</w:t>
            </w:r>
          </w:p>
        </w:tc>
        <w:tc>
          <w:tcPr>
            <w:tcW w:w="2254" w:type="dxa"/>
          </w:tcPr>
          <w:p w14:paraId="0EC4E4C0" w14:textId="6EA6E209" w:rsidR="003D6779" w:rsidRDefault="003D6779" w:rsidP="003551F9">
            <w:r>
              <w:t>13</w:t>
            </w:r>
            <w:r w:rsidR="00E44654">
              <w:t>%</w:t>
            </w:r>
          </w:p>
        </w:tc>
        <w:tc>
          <w:tcPr>
            <w:tcW w:w="2254" w:type="dxa"/>
          </w:tcPr>
          <w:p w14:paraId="328854CB" w14:textId="2BFFE1BB" w:rsidR="003D6779" w:rsidRDefault="003D6779" w:rsidP="003551F9">
            <w:r>
              <w:t>12</w:t>
            </w:r>
            <w:r w:rsidR="00E44654">
              <w:t>%</w:t>
            </w:r>
          </w:p>
        </w:tc>
      </w:tr>
      <w:tr w:rsidR="003D6779" w14:paraId="40338283" w14:textId="77777777" w:rsidTr="003551F9">
        <w:tc>
          <w:tcPr>
            <w:tcW w:w="2254" w:type="dxa"/>
          </w:tcPr>
          <w:p w14:paraId="65EAC85E" w14:textId="1F5999DD" w:rsidR="003D6779" w:rsidRPr="0016589D" w:rsidRDefault="003D6779" w:rsidP="003551F9">
            <w:pPr>
              <w:rPr>
                <w:b/>
                <w:bCs/>
              </w:rPr>
            </w:pPr>
            <w:r>
              <w:rPr>
                <w:b/>
                <w:bCs/>
              </w:rPr>
              <w:t>EBIT margin</w:t>
            </w:r>
          </w:p>
        </w:tc>
        <w:tc>
          <w:tcPr>
            <w:tcW w:w="2254" w:type="dxa"/>
          </w:tcPr>
          <w:p w14:paraId="7B15B236" w14:textId="36842613" w:rsidR="003D6779" w:rsidRDefault="003D6779" w:rsidP="003551F9">
            <w:r>
              <w:t>2%</w:t>
            </w:r>
          </w:p>
        </w:tc>
        <w:tc>
          <w:tcPr>
            <w:tcW w:w="2254" w:type="dxa"/>
          </w:tcPr>
          <w:p w14:paraId="0A62A952" w14:textId="7CA2C47C" w:rsidR="003D6779" w:rsidRDefault="003D6779" w:rsidP="003551F9">
            <w:r>
              <w:t>5%</w:t>
            </w:r>
          </w:p>
        </w:tc>
        <w:tc>
          <w:tcPr>
            <w:tcW w:w="2254" w:type="dxa"/>
          </w:tcPr>
          <w:p w14:paraId="06067141" w14:textId="6736391E" w:rsidR="003D6779" w:rsidRDefault="003D6779" w:rsidP="003551F9">
            <w:r>
              <w:t>6%</w:t>
            </w:r>
          </w:p>
        </w:tc>
      </w:tr>
      <w:tr w:rsidR="003D6779" w14:paraId="57D3FFC7" w14:textId="77777777" w:rsidTr="003551F9">
        <w:tc>
          <w:tcPr>
            <w:tcW w:w="2254" w:type="dxa"/>
          </w:tcPr>
          <w:p w14:paraId="1322A266" w14:textId="10F03153" w:rsidR="003D6779" w:rsidRPr="0016589D" w:rsidRDefault="003D6779" w:rsidP="003551F9">
            <w:pPr>
              <w:rPr>
                <w:b/>
                <w:bCs/>
              </w:rPr>
            </w:pPr>
            <w:r>
              <w:rPr>
                <w:b/>
                <w:bCs/>
              </w:rPr>
              <w:t>Net margin</w:t>
            </w:r>
          </w:p>
        </w:tc>
        <w:tc>
          <w:tcPr>
            <w:tcW w:w="2254" w:type="dxa"/>
          </w:tcPr>
          <w:p w14:paraId="32BCEF7C" w14:textId="1E0D3AEA" w:rsidR="003D6779" w:rsidRDefault="003D6779" w:rsidP="003551F9">
            <w:r>
              <w:t>-0.53</w:t>
            </w:r>
            <w:r w:rsidR="00942842">
              <w:t>%</w:t>
            </w:r>
          </w:p>
        </w:tc>
        <w:tc>
          <w:tcPr>
            <w:tcW w:w="2254" w:type="dxa"/>
          </w:tcPr>
          <w:p w14:paraId="153C2604" w14:textId="7C99F307" w:rsidR="003D6779" w:rsidRDefault="003D6779" w:rsidP="003551F9">
            <w:r>
              <w:t>7.10</w:t>
            </w:r>
            <w:r w:rsidR="00942842">
              <w:t>%</w:t>
            </w:r>
          </w:p>
        </w:tc>
        <w:tc>
          <w:tcPr>
            <w:tcW w:w="2254" w:type="dxa"/>
          </w:tcPr>
          <w:p w14:paraId="3F8B233F" w14:textId="390D5372" w:rsidR="003D6779" w:rsidRDefault="003D6779" w:rsidP="003551F9">
            <w:r>
              <w:t>5.53</w:t>
            </w:r>
            <w:r w:rsidR="00942842">
              <w:t>%</w:t>
            </w:r>
          </w:p>
        </w:tc>
      </w:tr>
    </w:tbl>
    <w:p w14:paraId="7B08519A" w14:textId="77777777" w:rsidR="003D6779" w:rsidRDefault="003D6779" w:rsidP="003D6779"/>
    <w:p w14:paraId="7EE554B6" w14:textId="77777777" w:rsidR="007C4909" w:rsidRDefault="007C4909" w:rsidP="00CC1BF6"/>
    <w:p w14:paraId="6CDBDE3D" w14:textId="3B1AFCDB" w:rsidR="00191764" w:rsidRDefault="00191764" w:rsidP="000914B3">
      <w:pPr>
        <w:jc w:val="center"/>
        <w:rPr>
          <w:rFonts w:cstheme="minorHAnsi"/>
          <w:b/>
          <w:bCs/>
          <w:color w:val="000000"/>
        </w:rPr>
      </w:pPr>
      <w:r>
        <w:rPr>
          <w:rFonts w:cstheme="minorHAnsi"/>
          <w:b/>
          <w:bCs/>
          <w:color w:val="000000"/>
        </w:rPr>
        <w:t xml:space="preserve">Solvency/Debt  </w:t>
      </w:r>
      <w:r w:rsidRPr="004D252D">
        <w:rPr>
          <w:rFonts w:cstheme="minorHAnsi"/>
          <w:b/>
          <w:bCs/>
          <w:color w:val="000000"/>
        </w:rPr>
        <w:t xml:space="preserve"> </w:t>
      </w:r>
      <w:r>
        <w:rPr>
          <w:rFonts w:cstheme="minorHAnsi"/>
          <w:b/>
          <w:bCs/>
          <w:color w:val="000000"/>
        </w:rPr>
        <w:t>Analysis</w:t>
      </w:r>
    </w:p>
    <w:p w14:paraId="276A15F4" w14:textId="77777777" w:rsidR="00191764" w:rsidRDefault="00191764" w:rsidP="002A3F71">
      <w:pPr>
        <w:jc w:val="both"/>
        <w:rPr>
          <w:rFonts w:cstheme="minorHAnsi"/>
          <w:b/>
          <w:bCs/>
          <w:color w:val="000000"/>
        </w:rPr>
      </w:pPr>
    </w:p>
    <w:p w14:paraId="4F051A75" w14:textId="04E1D8B0" w:rsidR="00F91FFD" w:rsidRPr="00995F86" w:rsidRDefault="00E5327E" w:rsidP="00B03841">
      <w:pPr>
        <w:spacing w:line="360" w:lineRule="auto"/>
        <w:jc w:val="both"/>
        <w:rPr>
          <w:rFonts w:cstheme="minorHAnsi"/>
          <w:color w:val="000000"/>
        </w:rPr>
      </w:pPr>
      <w:r w:rsidRPr="00DD1D54">
        <w:rPr>
          <w:rFonts w:cstheme="minorHAnsi"/>
          <w:color w:val="000000"/>
        </w:rPr>
        <w:t>The table below provide</w:t>
      </w:r>
      <w:r w:rsidR="002A3F71" w:rsidRPr="00DD1D54">
        <w:rPr>
          <w:rFonts w:cstheme="minorHAnsi"/>
          <w:color w:val="000000"/>
        </w:rPr>
        <w:t>s</w:t>
      </w:r>
      <w:r w:rsidRPr="00DD1D54">
        <w:rPr>
          <w:rFonts w:cstheme="minorHAnsi"/>
          <w:color w:val="000000"/>
        </w:rPr>
        <w:t xml:space="preserve"> debt</w:t>
      </w:r>
      <w:r w:rsidR="00B9318A" w:rsidRPr="00DD1D54">
        <w:rPr>
          <w:rFonts w:cstheme="minorHAnsi"/>
          <w:color w:val="000000"/>
        </w:rPr>
        <w:t>/solvency</w:t>
      </w:r>
      <w:r w:rsidRPr="00DD1D54">
        <w:rPr>
          <w:rFonts w:cstheme="minorHAnsi"/>
          <w:color w:val="000000"/>
        </w:rPr>
        <w:t xml:space="preserve"> ratios which measures the amount of leverage used by a company</w:t>
      </w:r>
      <w:r w:rsidR="005A4B90">
        <w:rPr>
          <w:rFonts w:cstheme="minorHAnsi"/>
          <w:color w:val="000000"/>
        </w:rPr>
        <w:t>. This</w:t>
      </w:r>
      <w:r w:rsidR="002A3F71" w:rsidRPr="00DD1D54">
        <w:rPr>
          <w:rFonts w:cstheme="minorHAnsi"/>
          <w:color w:val="000000"/>
        </w:rPr>
        <w:t xml:space="preserve"> </w:t>
      </w:r>
      <w:r w:rsidR="005A4B90">
        <w:rPr>
          <w:rFonts w:cstheme="minorHAnsi"/>
          <w:color w:val="000000"/>
        </w:rPr>
        <w:t>indicates</w:t>
      </w:r>
      <w:r w:rsidR="002A3F71" w:rsidRPr="00DD1D54">
        <w:rPr>
          <w:rFonts w:cstheme="minorHAnsi"/>
          <w:color w:val="000000"/>
        </w:rPr>
        <w:t xml:space="preserve"> how much Amazon’s operations are based on debt</w:t>
      </w:r>
      <w:r w:rsidR="005A4B90">
        <w:rPr>
          <w:rFonts w:cstheme="minorHAnsi"/>
          <w:color w:val="000000"/>
        </w:rPr>
        <w:t>s</w:t>
      </w:r>
      <w:r w:rsidR="002A3F71" w:rsidRPr="00DD1D54">
        <w:rPr>
          <w:rFonts w:cstheme="minorHAnsi"/>
          <w:color w:val="000000"/>
        </w:rPr>
        <w:t xml:space="preserve"> rather than </w:t>
      </w:r>
      <w:r w:rsidR="005A4B90" w:rsidRPr="00DD1D54">
        <w:rPr>
          <w:rFonts w:cstheme="minorHAnsi"/>
          <w:color w:val="000000"/>
        </w:rPr>
        <w:t>equit</w:t>
      </w:r>
      <w:r w:rsidR="005A4B90">
        <w:rPr>
          <w:rFonts w:cstheme="minorHAnsi"/>
          <w:color w:val="000000"/>
        </w:rPr>
        <w:t>ies</w:t>
      </w:r>
      <w:r w:rsidR="002A3F71" w:rsidRPr="00DD1D54">
        <w:rPr>
          <w:rFonts w:cstheme="minorHAnsi"/>
          <w:color w:val="000000"/>
        </w:rPr>
        <w:t xml:space="preserve">. Debt to equity ratio of 0.46 in 2022 </w:t>
      </w:r>
      <w:r w:rsidR="00621A31" w:rsidRPr="00DD1D54">
        <w:rPr>
          <w:rFonts w:cstheme="minorHAnsi"/>
          <w:color w:val="000000"/>
        </w:rPr>
        <w:t xml:space="preserve">is considered favourable as it </w:t>
      </w:r>
      <w:r w:rsidR="005A4B90">
        <w:rPr>
          <w:rFonts w:cstheme="minorHAnsi"/>
          <w:color w:val="000000"/>
        </w:rPr>
        <w:t>shows</w:t>
      </w:r>
      <w:r w:rsidR="00621A31" w:rsidRPr="00DD1D54">
        <w:rPr>
          <w:rFonts w:cstheme="minorHAnsi"/>
          <w:color w:val="000000"/>
        </w:rPr>
        <w:t xml:space="preserve"> that Amazon does not require any money to finance its business and operations for growth. The company primarily relies </w:t>
      </w:r>
      <w:r w:rsidR="005A4B90">
        <w:rPr>
          <w:rFonts w:cstheme="minorHAnsi"/>
          <w:color w:val="000000"/>
        </w:rPr>
        <w:t>wholly on</w:t>
      </w:r>
      <w:r w:rsidR="00621A31" w:rsidRPr="00DD1D54">
        <w:rPr>
          <w:rFonts w:cstheme="minorHAnsi"/>
          <w:color w:val="000000"/>
        </w:rPr>
        <w:t xml:space="preserve"> owned funds to leverage its finance. </w:t>
      </w:r>
      <w:r w:rsidR="00B9318A" w:rsidRPr="00DD1D54">
        <w:rPr>
          <w:rFonts w:cstheme="minorHAnsi"/>
          <w:color w:val="000000"/>
        </w:rPr>
        <w:t xml:space="preserve">Investors look at the debt to assets ratio to understand </w:t>
      </w:r>
      <w:r w:rsidR="000914B3" w:rsidRPr="00DD1D54">
        <w:rPr>
          <w:rFonts w:cstheme="minorHAnsi"/>
          <w:color w:val="000000"/>
        </w:rPr>
        <w:t xml:space="preserve">how much of a business is owned by the creditors compared how much of the Amazon’s assets are owned by shareholders. </w:t>
      </w:r>
      <w:r w:rsidR="00E21DD3" w:rsidRPr="00DD1D54">
        <w:rPr>
          <w:rFonts w:cstheme="minorHAnsi"/>
          <w:color w:val="000000"/>
        </w:rPr>
        <w:t xml:space="preserve">Amazon had $462 billion in assets in 2022, therefore making the debt to asset ratio 0.15 suggests that Amazon is financially stable. In 2022 </w:t>
      </w:r>
      <w:r w:rsidR="00E21DD3" w:rsidRPr="00DD1D54">
        <w:rPr>
          <w:rFonts w:cstheme="minorHAnsi"/>
        </w:rPr>
        <w:t xml:space="preserve">Amazon had 0.15, 15% of its assets financed by creditors and 85% were financed by owners (shareholders’) equity. </w:t>
      </w:r>
      <w:r w:rsidR="00DD1D54" w:rsidRPr="00DD1D54">
        <w:rPr>
          <w:rFonts w:cstheme="minorHAnsi"/>
          <w:spacing w:val="1"/>
          <w:shd w:val="clear" w:color="auto" w:fill="FFFFFF"/>
        </w:rPr>
        <w:t xml:space="preserve">This often gives a company more flexibility, as </w:t>
      </w:r>
      <w:r w:rsidR="007F485F">
        <w:rPr>
          <w:rFonts w:cstheme="minorHAnsi"/>
          <w:spacing w:val="1"/>
          <w:shd w:val="clear" w:color="auto" w:fill="FFFFFF"/>
        </w:rPr>
        <w:t>they</w:t>
      </w:r>
      <w:r w:rsidR="00DD1D54" w:rsidRPr="00DD1D54">
        <w:rPr>
          <w:rFonts w:cstheme="minorHAnsi"/>
          <w:spacing w:val="1"/>
          <w:shd w:val="clear" w:color="auto" w:fill="FFFFFF"/>
        </w:rPr>
        <w:t xml:space="preserve"> can increase, decrease, pause, or cancel future dividend plans to </w:t>
      </w:r>
      <w:r w:rsidR="007F485F" w:rsidRPr="00DD1D54">
        <w:rPr>
          <w:rFonts w:cstheme="minorHAnsi"/>
          <w:spacing w:val="1"/>
          <w:shd w:val="clear" w:color="auto" w:fill="FFFFFF"/>
        </w:rPr>
        <w:t>shareholders.</w:t>
      </w:r>
      <w:r w:rsidR="007F485F">
        <w:rPr>
          <w:rFonts w:cstheme="minorHAnsi"/>
          <w:spacing w:val="1"/>
          <w:shd w:val="clear" w:color="auto" w:fill="FFFFFF"/>
        </w:rPr>
        <w:t xml:space="preserve"> </w:t>
      </w:r>
      <w:r w:rsidR="00DB6B29">
        <w:rPr>
          <w:rFonts w:cstheme="minorHAnsi"/>
          <w:spacing w:val="1"/>
          <w:shd w:val="clear" w:color="auto" w:fill="FFFFFF"/>
        </w:rPr>
        <w:t>Amazon’s t</w:t>
      </w:r>
      <w:r w:rsidR="007F485F">
        <w:rPr>
          <w:rFonts w:cstheme="minorHAnsi"/>
          <w:spacing w:val="1"/>
          <w:shd w:val="clear" w:color="auto" w:fill="FFFFFF"/>
        </w:rPr>
        <w:t xml:space="preserve">imes interest earned ratio </w:t>
      </w:r>
      <w:r w:rsidR="00DB6B29">
        <w:rPr>
          <w:rFonts w:cstheme="minorHAnsi"/>
          <w:spacing w:val="1"/>
          <w:shd w:val="clear" w:color="auto" w:fill="FFFFFF"/>
        </w:rPr>
        <w:t xml:space="preserve">was 21.08 in 2022 compared to 36.91 in 2021. </w:t>
      </w:r>
      <w:r w:rsidR="00C942EC">
        <w:rPr>
          <w:rFonts w:cstheme="minorHAnsi"/>
          <w:spacing w:val="1"/>
          <w:shd w:val="clear" w:color="auto" w:fill="FFFFFF"/>
        </w:rPr>
        <w:t xml:space="preserve">The ratio measures how easily Amazon can fulfil its financial obligations. The decline in </w:t>
      </w:r>
      <w:r w:rsidR="00CB6A86">
        <w:rPr>
          <w:rFonts w:cstheme="minorHAnsi"/>
          <w:spacing w:val="1"/>
          <w:shd w:val="clear" w:color="auto" w:fill="FFFFFF"/>
        </w:rPr>
        <w:t>times interest earned in 2022</w:t>
      </w:r>
      <w:r w:rsidR="005A4B90">
        <w:rPr>
          <w:rFonts w:cstheme="minorHAnsi"/>
          <w:spacing w:val="1"/>
          <w:shd w:val="clear" w:color="auto" w:fill="FFFFFF"/>
        </w:rPr>
        <w:t>,</w:t>
      </w:r>
      <w:r w:rsidR="00CB6A86">
        <w:rPr>
          <w:rFonts w:cstheme="minorHAnsi"/>
          <w:spacing w:val="1"/>
          <w:shd w:val="clear" w:color="auto" w:fill="FFFFFF"/>
        </w:rPr>
        <w:t xml:space="preserve"> might suggest that </w:t>
      </w:r>
      <w:r w:rsidR="005A4B90">
        <w:rPr>
          <w:rFonts w:cstheme="minorHAnsi"/>
          <w:spacing w:val="1"/>
          <w:shd w:val="clear" w:color="auto" w:fill="FFFFFF"/>
        </w:rPr>
        <w:t xml:space="preserve">the </w:t>
      </w:r>
      <w:r w:rsidR="00CB6A86">
        <w:rPr>
          <w:rFonts w:cstheme="minorHAnsi"/>
          <w:spacing w:val="1"/>
          <w:shd w:val="clear" w:color="auto" w:fill="FFFFFF"/>
        </w:rPr>
        <w:t>business struggles to pay fixed expenses like interest</w:t>
      </w:r>
      <w:r w:rsidR="005A4B90">
        <w:rPr>
          <w:rFonts w:cstheme="minorHAnsi"/>
          <w:spacing w:val="1"/>
          <w:shd w:val="clear" w:color="auto" w:fill="FFFFFF"/>
        </w:rPr>
        <w:t>.</w:t>
      </w:r>
      <w:r w:rsidR="00CB6A86">
        <w:rPr>
          <w:rFonts w:cstheme="minorHAnsi"/>
          <w:spacing w:val="1"/>
          <w:shd w:val="clear" w:color="auto" w:fill="FFFFFF"/>
        </w:rPr>
        <w:t xml:space="preserve"> </w:t>
      </w:r>
      <w:r w:rsidR="005A4B90">
        <w:rPr>
          <w:rFonts w:cstheme="minorHAnsi"/>
          <w:spacing w:val="1"/>
          <w:shd w:val="clear" w:color="auto" w:fill="FFFFFF"/>
        </w:rPr>
        <w:t>I</w:t>
      </w:r>
      <w:r w:rsidR="00CB6A86">
        <w:rPr>
          <w:rFonts w:cstheme="minorHAnsi"/>
          <w:spacing w:val="1"/>
          <w:shd w:val="clear" w:color="auto" w:fill="FFFFFF"/>
        </w:rPr>
        <w:t xml:space="preserve">t </w:t>
      </w:r>
      <w:r w:rsidR="005A4B90">
        <w:rPr>
          <w:rFonts w:cstheme="minorHAnsi"/>
          <w:spacing w:val="1"/>
          <w:shd w:val="clear" w:color="auto" w:fill="FFFFFF"/>
        </w:rPr>
        <w:t xml:space="preserve">may encounter </w:t>
      </w:r>
      <w:r w:rsidR="00CB6A86">
        <w:rPr>
          <w:rFonts w:cstheme="minorHAnsi"/>
          <w:spacing w:val="1"/>
          <w:shd w:val="clear" w:color="auto" w:fill="FFFFFF"/>
        </w:rPr>
        <w:t>going bankrupt</w:t>
      </w:r>
      <w:r w:rsidR="005A4B90">
        <w:rPr>
          <w:rFonts w:cstheme="minorHAnsi"/>
          <w:spacing w:val="1"/>
          <w:shd w:val="clear" w:color="auto" w:fill="FFFFFF"/>
        </w:rPr>
        <w:t>cy as a potential risk</w:t>
      </w:r>
      <w:r w:rsidR="00CB6A86">
        <w:rPr>
          <w:rFonts w:cstheme="minorHAnsi"/>
          <w:spacing w:val="1"/>
          <w:shd w:val="clear" w:color="auto" w:fill="FFFFFF"/>
        </w:rPr>
        <w:t xml:space="preserve">. This particular ratio gives an early indication that Amazon might need to pay off existing debs before taking on more. The higher TIE of 36.91 in 2021 means that Amazon was in </w:t>
      </w:r>
      <w:r w:rsidR="005A4B90">
        <w:rPr>
          <w:rFonts w:cstheme="minorHAnsi"/>
          <w:spacing w:val="1"/>
          <w:shd w:val="clear" w:color="auto" w:fill="FFFFFF"/>
        </w:rPr>
        <w:t xml:space="preserve">a </w:t>
      </w:r>
      <w:r w:rsidR="00CB6A86">
        <w:rPr>
          <w:rFonts w:cstheme="minorHAnsi"/>
          <w:spacing w:val="1"/>
          <w:shd w:val="clear" w:color="auto" w:fill="FFFFFF"/>
        </w:rPr>
        <w:t xml:space="preserve">better position for growth, as it can invest in new equipment or pay for expansion. The </w:t>
      </w:r>
      <w:r w:rsidR="00995F86">
        <w:rPr>
          <w:rFonts w:cstheme="minorHAnsi"/>
          <w:spacing w:val="1"/>
          <w:shd w:val="clear" w:color="auto" w:fill="FFFFFF"/>
        </w:rPr>
        <w:t xml:space="preserve">Amazon’s </w:t>
      </w:r>
      <w:r w:rsidR="00CB6A86">
        <w:rPr>
          <w:rFonts w:cstheme="minorHAnsi"/>
          <w:spacing w:val="1"/>
          <w:shd w:val="clear" w:color="auto" w:fill="FFFFFF"/>
        </w:rPr>
        <w:t xml:space="preserve">free cash flow per share </w:t>
      </w:r>
      <w:r w:rsidR="00995F86">
        <w:rPr>
          <w:rFonts w:cstheme="minorHAnsi"/>
          <w:spacing w:val="1"/>
          <w:shd w:val="clear" w:color="auto" w:fill="FFFFFF"/>
        </w:rPr>
        <w:t xml:space="preserve">between 2022 and 2020 fluctuated between 7 and 8. Investors look at that financial metric to understand if </w:t>
      </w:r>
      <w:r w:rsidR="005A4B90">
        <w:rPr>
          <w:rFonts w:cstheme="minorHAnsi"/>
          <w:spacing w:val="1"/>
          <w:shd w:val="clear" w:color="auto" w:fill="FFFFFF"/>
        </w:rPr>
        <w:t xml:space="preserve">the </w:t>
      </w:r>
      <w:r w:rsidR="00995F86">
        <w:rPr>
          <w:rFonts w:cstheme="minorHAnsi"/>
          <w:spacing w:val="1"/>
          <w:shd w:val="clear" w:color="auto" w:fill="FFFFFF"/>
        </w:rPr>
        <w:t xml:space="preserve">company is undervalued with respect to its cash flow. A positive free cash flow doesn’t always indicate a strong stock trend. </w:t>
      </w:r>
      <w:r w:rsidR="00995F86" w:rsidRPr="00995F86">
        <w:rPr>
          <w:rFonts w:cstheme="minorHAnsi"/>
          <w:spacing w:val="-4"/>
        </w:rPr>
        <w:t>Free cash flow plays an essential role in valuation</w:t>
      </w:r>
      <w:r w:rsidR="005A4B90">
        <w:rPr>
          <w:rFonts w:cstheme="minorHAnsi"/>
          <w:spacing w:val="-4"/>
        </w:rPr>
        <w:t>,</w:t>
      </w:r>
      <w:r w:rsidR="00995F86" w:rsidRPr="00995F86">
        <w:rPr>
          <w:rFonts w:cstheme="minorHAnsi"/>
          <w:spacing w:val="-4"/>
        </w:rPr>
        <w:t xml:space="preserve"> as it shows how much capital a company has available to invest in growth, pay off its debts, or return dividends to investors</w:t>
      </w:r>
      <w:r w:rsidR="005A4B90">
        <w:rPr>
          <w:rFonts w:cstheme="minorHAnsi"/>
          <w:spacing w:val="-4"/>
        </w:rPr>
        <w:t xml:space="preserve">. This </w:t>
      </w:r>
      <w:r w:rsidR="00995F86" w:rsidRPr="00995F86">
        <w:rPr>
          <w:rFonts w:cstheme="minorHAnsi"/>
          <w:spacing w:val="-4"/>
        </w:rPr>
        <w:t xml:space="preserve"> is an indicator of financial health that investors use to determine its present value.</w:t>
      </w:r>
    </w:p>
    <w:p w14:paraId="2338E1E0" w14:textId="77777777" w:rsidR="00F91FFD" w:rsidRDefault="00F91FFD" w:rsidP="00191764">
      <w:pPr>
        <w:rPr>
          <w:rFonts w:cstheme="minorHAnsi"/>
          <w:color w:val="000000"/>
        </w:rPr>
      </w:pPr>
    </w:p>
    <w:p w14:paraId="7CA9C787" w14:textId="6DE9C954" w:rsidR="00191764" w:rsidRPr="00191764" w:rsidRDefault="00191764" w:rsidP="00191764">
      <w:r>
        <w:t>Table 4: Solvency/debt  Ratios of (Amazon)</w:t>
      </w:r>
    </w:p>
    <w:tbl>
      <w:tblPr>
        <w:tblStyle w:val="TableGrid"/>
        <w:tblW w:w="0" w:type="auto"/>
        <w:tblLook w:val="04A0" w:firstRow="1" w:lastRow="0" w:firstColumn="1" w:lastColumn="0" w:noHBand="0" w:noVBand="1"/>
      </w:tblPr>
      <w:tblGrid>
        <w:gridCol w:w="2547"/>
        <w:gridCol w:w="1961"/>
        <w:gridCol w:w="2254"/>
        <w:gridCol w:w="2254"/>
      </w:tblGrid>
      <w:tr w:rsidR="00191764" w14:paraId="559F965A" w14:textId="77777777" w:rsidTr="00191764">
        <w:tc>
          <w:tcPr>
            <w:tcW w:w="2547" w:type="dxa"/>
          </w:tcPr>
          <w:p w14:paraId="3787C09C" w14:textId="2999B0BA" w:rsidR="00191764" w:rsidRDefault="00191764" w:rsidP="00CC1BF6">
            <w:r>
              <w:t>Ratio/Year</w:t>
            </w:r>
          </w:p>
        </w:tc>
        <w:tc>
          <w:tcPr>
            <w:tcW w:w="1961" w:type="dxa"/>
          </w:tcPr>
          <w:p w14:paraId="6DF4E827" w14:textId="41A184EC" w:rsidR="00191764" w:rsidRPr="00191764" w:rsidRDefault="00191764" w:rsidP="00CC1BF6">
            <w:pPr>
              <w:rPr>
                <w:b/>
                <w:bCs/>
              </w:rPr>
            </w:pPr>
            <w:r w:rsidRPr="00191764">
              <w:rPr>
                <w:b/>
                <w:bCs/>
              </w:rPr>
              <w:t>2022</w:t>
            </w:r>
          </w:p>
        </w:tc>
        <w:tc>
          <w:tcPr>
            <w:tcW w:w="2254" w:type="dxa"/>
          </w:tcPr>
          <w:p w14:paraId="677B04F2" w14:textId="186F3107" w:rsidR="00191764" w:rsidRPr="00191764" w:rsidRDefault="00191764" w:rsidP="00CC1BF6">
            <w:pPr>
              <w:rPr>
                <w:b/>
                <w:bCs/>
              </w:rPr>
            </w:pPr>
            <w:r w:rsidRPr="00191764">
              <w:rPr>
                <w:b/>
                <w:bCs/>
              </w:rPr>
              <w:t>2021</w:t>
            </w:r>
          </w:p>
        </w:tc>
        <w:tc>
          <w:tcPr>
            <w:tcW w:w="2254" w:type="dxa"/>
          </w:tcPr>
          <w:p w14:paraId="75799D97" w14:textId="4EA7628F" w:rsidR="00191764" w:rsidRPr="00191764" w:rsidRDefault="00191764" w:rsidP="00CC1BF6">
            <w:pPr>
              <w:rPr>
                <w:b/>
                <w:bCs/>
              </w:rPr>
            </w:pPr>
            <w:r w:rsidRPr="00191764">
              <w:rPr>
                <w:b/>
                <w:bCs/>
              </w:rPr>
              <w:t>2020</w:t>
            </w:r>
          </w:p>
        </w:tc>
      </w:tr>
      <w:tr w:rsidR="00191764" w14:paraId="6732AC7F" w14:textId="77777777" w:rsidTr="00191764">
        <w:tc>
          <w:tcPr>
            <w:tcW w:w="2547" w:type="dxa"/>
          </w:tcPr>
          <w:p w14:paraId="6657D522" w14:textId="6B5223DA" w:rsidR="00191764" w:rsidRPr="00191764" w:rsidRDefault="00191764" w:rsidP="00CC1BF6">
            <w:pPr>
              <w:rPr>
                <w:b/>
                <w:bCs/>
              </w:rPr>
            </w:pPr>
            <w:r w:rsidRPr="00191764">
              <w:rPr>
                <w:b/>
                <w:bCs/>
              </w:rPr>
              <w:t>Debt to equity</w:t>
            </w:r>
          </w:p>
        </w:tc>
        <w:tc>
          <w:tcPr>
            <w:tcW w:w="1961" w:type="dxa"/>
          </w:tcPr>
          <w:p w14:paraId="52985C68" w14:textId="65F08C38" w:rsidR="00191764" w:rsidRDefault="00191764" w:rsidP="00CC1BF6">
            <w:r>
              <w:t>0.46</w:t>
            </w:r>
          </w:p>
        </w:tc>
        <w:tc>
          <w:tcPr>
            <w:tcW w:w="2254" w:type="dxa"/>
          </w:tcPr>
          <w:p w14:paraId="3A1DE091" w14:textId="177F8928" w:rsidR="00191764" w:rsidRDefault="00191764" w:rsidP="00CC1BF6">
            <w:r>
              <w:t>0.35</w:t>
            </w:r>
          </w:p>
        </w:tc>
        <w:tc>
          <w:tcPr>
            <w:tcW w:w="2254" w:type="dxa"/>
          </w:tcPr>
          <w:p w14:paraId="273CEBE6" w14:textId="6CCB1A7A" w:rsidR="00191764" w:rsidRDefault="00191764" w:rsidP="00CC1BF6">
            <w:r>
              <w:t>0.34</w:t>
            </w:r>
          </w:p>
        </w:tc>
      </w:tr>
      <w:tr w:rsidR="00191764" w14:paraId="75B3D75F" w14:textId="77777777" w:rsidTr="00191764">
        <w:tc>
          <w:tcPr>
            <w:tcW w:w="2547" w:type="dxa"/>
          </w:tcPr>
          <w:p w14:paraId="1E106B17" w14:textId="442384FF" w:rsidR="00191764" w:rsidRPr="00191764" w:rsidRDefault="00191764" w:rsidP="00CC1BF6">
            <w:pPr>
              <w:rPr>
                <w:b/>
                <w:bCs/>
              </w:rPr>
            </w:pPr>
            <w:r w:rsidRPr="00191764">
              <w:rPr>
                <w:b/>
                <w:bCs/>
              </w:rPr>
              <w:t>Debt to assets</w:t>
            </w:r>
          </w:p>
        </w:tc>
        <w:tc>
          <w:tcPr>
            <w:tcW w:w="1961" w:type="dxa"/>
          </w:tcPr>
          <w:p w14:paraId="76E91ADB" w14:textId="48C6EFB2" w:rsidR="00191764" w:rsidRDefault="00191764" w:rsidP="00CC1BF6">
            <w:r>
              <w:t>0.15</w:t>
            </w:r>
          </w:p>
        </w:tc>
        <w:tc>
          <w:tcPr>
            <w:tcW w:w="2254" w:type="dxa"/>
          </w:tcPr>
          <w:p w14:paraId="67B84B07" w14:textId="1CBCAC7D" w:rsidR="00191764" w:rsidRDefault="00191764" w:rsidP="00CC1BF6">
            <w:r>
              <w:t>0.12</w:t>
            </w:r>
          </w:p>
        </w:tc>
        <w:tc>
          <w:tcPr>
            <w:tcW w:w="2254" w:type="dxa"/>
          </w:tcPr>
          <w:p w14:paraId="242334F8" w14:textId="3672204D" w:rsidR="00191764" w:rsidRDefault="00191764" w:rsidP="00CC1BF6">
            <w:r>
              <w:t>0.10</w:t>
            </w:r>
          </w:p>
        </w:tc>
      </w:tr>
      <w:tr w:rsidR="00191764" w14:paraId="3886584E" w14:textId="77777777" w:rsidTr="00191764">
        <w:tc>
          <w:tcPr>
            <w:tcW w:w="2547" w:type="dxa"/>
          </w:tcPr>
          <w:p w14:paraId="0FB8D3D3" w14:textId="04A57AC6" w:rsidR="00191764" w:rsidRPr="00191764" w:rsidRDefault="00191764" w:rsidP="00CC1BF6">
            <w:pPr>
              <w:rPr>
                <w:b/>
                <w:bCs/>
              </w:rPr>
            </w:pPr>
            <w:r w:rsidRPr="00191764">
              <w:rPr>
                <w:b/>
                <w:bCs/>
              </w:rPr>
              <w:t>Times interest earned</w:t>
            </w:r>
          </w:p>
        </w:tc>
        <w:tc>
          <w:tcPr>
            <w:tcW w:w="1961" w:type="dxa"/>
          </w:tcPr>
          <w:p w14:paraId="40A2EFEA" w14:textId="53825D93" w:rsidR="00191764" w:rsidRDefault="00191764" w:rsidP="00CC1BF6">
            <w:r>
              <w:t>21.08</w:t>
            </w:r>
          </w:p>
        </w:tc>
        <w:tc>
          <w:tcPr>
            <w:tcW w:w="2254" w:type="dxa"/>
          </w:tcPr>
          <w:p w14:paraId="45DAA891" w14:textId="148A156D" w:rsidR="00191764" w:rsidRDefault="00191764" w:rsidP="00CC1BF6">
            <w:r>
              <w:t>36.91</w:t>
            </w:r>
          </w:p>
        </w:tc>
        <w:tc>
          <w:tcPr>
            <w:tcW w:w="2254" w:type="dxa"/>
          </w:tcPr>
          <w:p w14:paraId="7081A43B" w14:textId="61EE075A" w:rsidR="00191764" w:rsidRDefault="00191764" w:rsidP="00CC1BF6">
            <w:r>
              <w:t>32.07</w:t>
            </w:r>
          </w:p>
        </w:tc>
      </w:tr>
      <w:tr w:rsidR="00191764" w14:paraId="0434B891" w14:textId="77777777" w:rsidTr="00191764">
        <w:tc>
          <w:tcPr>
            <w:tcW w:w="2547" w:type="dxa"/>
          </w:tcPr>
          <w:p w14:paraId="14F67F55" w14:textId="7E577E64" w:rsidR="00191764" w:rsidRPr="00191764" w:rsidRDefault="00191764" w:rsidP="00CC1BF6">
            <w:pPr>
              <w:rPr>
                <w:b/>
                <w:bCs/>
              </w:rPr>
            </w:pPr>
            <w:r w:rsidRPr="00191764">
              <w:rPr>
                <w:b/>
                <w:bCs/>
              </w:rPr>
              <w:lastRenderedPageBreak/>
              <w:t>Free cash flow per share</w:t>
            </w:r>
          </w:p>
        </w:tc>
        <w:tc>
          <w:tcPr>
            <w:tcW w:w="1961" w:type="dxa"/>
          </w:tcPr>
          <w:p w14:paraId="4F7F8EEF" w14:textId="4006CBD3" w:rsidR="00191764" w:rsidRDefault="00191764" w:rsidP="00CC1BF6">
            <w:r>
              <w:t>7.19</w:t>
            </w:r>
          </w:p>
        </w:tc>
        <w:tc>
          <w:tcPr>
            <w:tcW w:w="2254" w:type="dxa"/>
          </w:tcPr>
          <w:p w14:paraId="6B9B435C" w14:textId="454952D5" w:rsidR="00191764" w:rsidRDefault="00191764" w:rsidP="00CC1BF6">
            <w:r>
              <w:t>6.89</w:t>
            </w:r>
          </w:p>
        </w:tc>
        <w:tc>
          <w:tcPr>
            <w:tcW w:w="2254" w:type="dxa"/>
          </w:tcPr>
          <w:p w14:paraId="3E7406C6" w14:textId="735C9A45" w:rsidR="00191764" w:rsidRDefault="00191764" w:rsidP="00CC1BF6">
            <w:r>
              <w:t>8.01</w:t>
            </w:r>
          </w:p>
        </w:tc>
      </w:tr>
    </w:tbl>
    <w:p w14:paraId="2C1CFF90" w14:textId="77777777" w:rsidR="007C4909" w:rsidRDefault="007C4909" w:rsidP="00CC1BF6"/>
    <w:p w14:paraId="5E435E99" w14:textId="77777777" w:rsidR="007C4909" w:rsidRDefault="007C4909" w:rsidP="00CC1BF6"/>
    <w:p w14:paraId="3E89B552" w14:textId="77777777" w:rsidR="001756E0" w:rsidRDefault="001756E0" w:rsidP="001756E0">
      <w:pPr>
        <w:jc w:val="both"/>
      </w:pPr>
      <w:r w:rsidRPr="007E00D2">
        <w:rPr>
          <w:highlight w:val="green"/>
        </w:rPr>
        <w:t>Amazon’s long-term liabilities have been increasing over the years as the company has increased its Financial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43FDEFF1" w14:textId="77777777" w:rsidR="001756E0" w:rsidRPr="00EA624B" w:rsidRDefault="001756E0" w:rsidP="001756E0">
      <w:pPr>
        <w:rPr>
          <w:lang w:eastAsia="en-GB"/>
        </w:rPr>
      </w:pPr>
    </w:p>
    <w:p w14:paraId="2A74FCF0" w14:textId="77777777" w:rsidR="007C4909" w:rsidRDefault="007C4909" w:rsidP="00CC1BF6"/>
    <w:p w14:paraId="01FE1D3A" w14:textId="18811D00" w:rsidR="00171DBB" w:rsidRDefault="00171DBB" w:rsidP="00171DBB">
      <w:pPr>
        <w:jc w:val="center"/>
        <w:rPr>
          <w:rFonts w:cstheme="minorHAnsi"/>
          <w:b/>
          <w:bCs/>
          <w:color w:val="000000"/>
        </w:rPr>
      </w:pPr>
      <w:r>
        <w:rPr>
          <w:rFonts w:cstheme="minorHAnsi"/>
          <w:b/>
          <w:bCs/>
          <w:color w:val="000000"/>
        </w:rPr>
        <w:t xml:space="preserve">Asset utilization   </w:t>
      </w:r>
      <w:r w:rsidRPr="004D252D">
        <w:rPr>
          <w:rFonts w:cstheme="minorHAnsi"/>
          <w:b/>
          <w:bCs/>
          <w:color w:val="000000"/>
        </w:rPr>
        <w:t xml:space="preserve"> </w:t>
      </w:r>
      <w:r>
        <w:rPr>
          <w:rFonts w:cstheme="minorHAnsi"/>
          <w:b/>
          <w:bCs/>
          <w:color w:val="000000"/>
        </w:rPr>
        <w:t>Analysis</w:t>
      </w:r>
    </w:p>
    <w:p w14:paraId="1C1C14B6" w14:textId="77777777" w:rsidR="00171DBB" w:rsidRDefault="00171DBB" w:rsidP="00CB6A86"/>
    <w:p w14:paraId="62F15437" w14:textId="221DAB3A" w:rsidR="00EB064F" w:rsidRPr="000C7382" w:rsidRDefault="00EB064F" w:rsidP="00B03841">
      <w:pPr>
        <w:spacing w:line="360" w:lineRule="auto"/>
        <w:jc w:val="both"/>
      </w:pPr>
      <w:r>
        <w:t>Total asset</w:t>
      </w:r>
      <w:r w:rsidR="0027116B">
        <w:t xml:space="preserve">s turnover of 2.5 or more could be considered as </w:t>
      </w:r>
      <w:r w:rsidR="003C4798">
        <w:t xml:space="preserve">a </w:t>
      </w:r>
      <w:r w:rsidR="0027116B">
        <w:t>positive</w:t>
      </w:r>
      <w:r w:rsidR="003C4798">
        <w:t xml:space="preserve"> financial indicator. Amazon reported 3.3</w:t>
      </w:r>
      <w:r w:rsidR="002A2856">
        <w:t xml:space="preserve"> in 2022 followed by 3.19 in the previous year. The asset turnover ratio is an indicator of the efficiency </w:t>
      </w:r>
      <w:r w:rsidR="00587D54">
        <w:t xml:space="preserve">of how effectively a company uses its assets to generate revenue or sales. The Amazon’s assets turnover ratio indicates that Amazon is more efficient in generating sales and revenue. Amazon had </w:t>
      </w:r>
      <w:r w:rsidR="005A4B90">
        <w:t xml:space="preserve">an </w:t>
      </w:r>
      <w:r w:rsidR="00587D54">
        <w:t>inventory of 8.62 for the most recently reported year ending 2022-12-31</w:t>
      </w:r>
      <w:r w:rsidR="00BF0852">
        <w:t xml:space="preserve"> compared to 9.65 in 2021. </w:t>
      </w:r>
      <w:r w:rsidR="00587D54">
        <w:t xml:space="preserve"> </w:t>
      </w:r>
      <w:r w:rsidR="00BF0852">
        <w:t>The ratio suggests strong sales achieved by Amazon</w:t>
      </w:r>
      <w:r w:rsidR="005A4B90">
        <w:t>,</w:t>
      </w:r>
      <w:r w:rsidR="00BF0852">
        <w:t xml:space="preserve"> but</w:t>
      </w:r>
      <w:r w:rsidR="005A4B90">
        <w:t xml:space="preserve"> on the other hand</w:t>
      </w:r>
      <w:r w:rsidR="00BF0852">
        <w:t xml:space="preserve"> also indicates insufficient inventory. </w:t>
      </w:r>
      <w:r w:rsidR="00DA1696">
        <w:t xml:space="preserve"> </w:t>
      </w:r>
      <w:r w:rsidR="00BF0852">
        <w:t xml:space="preserve">The return on assets is the metric that measures the profitability of a business in relation to its total assets.  The ratio for return on assets for Amazon sharply declined from 9.0 in 2021 to 0.62 in 2022. The higher return in 2021 was associated with company’s productivity and efficiency in utilizing resources. </w:t>
      </w:r>
      <w:r w:rsidR="000C7382">
        <w:t>The substantial decline in 2022 was associated with Amazo</w:t>
      </w:r>
      <w:r w:rsidR="005A4B90">
        <w:t>n</w:t>
      </w:r>
      <w:r w:rsidR="000C7382">
        <w:t xml:space="preserve"> not obtaining the expected benefits and ultimately Amazon was generating losses. </w:t>
      </w:r>
      <w:r w:rsidR="005A4B90">
        <w:t>However</w:t>
      </w:r>
      <w:r w:rsidR="000C7382">
        <w:t xml:space="preserve">, the low return on assets could be linked  to a </w:t>
      </w:r>
      <w:r w:rsidR="000C7382" w:rsidRPr="000C7382">
        <w:rPr>
          <w:rFonts w:cstheme="minorHAnsi"/>
        </w:rPr>
        <w:t xml:space="preserve">disproportionate growth in adjusted net income and adjusted net assets brought about by </w:t>
      </w:r>
      <w:r w:rsidR="000C7382">
        <w:rPr>
          <w:rFonts w:cstheme="minorHAnsi"/>
        </w:rPr>
        <w:t xml:space="preserve">Amazon’s </w:t>
      </w:r>
      <w:r w:rsidR="000C7382" w:rsidRPr="000C7382">
        <w:rPr>
          <w:rFonts w:cstheme="minorHAnsi"/>
        </w:rPr>
        <w:t>numerous acquisitions and aggressive reinvestments</w:t>
      </w:r>
      <w:r w:rsidR="000C7382" w:rsidRPr="000C7382">
        <w:rPr>
          <w:rFonts w:cstheme="minorHAnsi"/>
          <w:shd w:val="clear" w:color="auto" w:fill="FFFFFF"/>
        </w:rPr>
        <w:t>.</w:t>
      </w:r>
      <w:r w:rsidR="000C7382">
        <w:rPr>
          <w:rFonts w:cstheme="minorHAnsi"/>
          <w:shd w:val="clear" w:color="auto" w:fill="FFFFFF"/>
        </w:rPr>
        <w:t xml:space="preserve"> </w:t>
      </w:r>
    </w:p>
    <w:p w14:paraId="0E1BD91E" w14:textId="77777777" w:rsidR="00EB064F" w:rsidRDefault="00EB064F" w:rsidP="00CB6A86"/>
    <w:p w14:paraId="5EA9A170" w14:textId="77777777" w:rsidR="00B03841" w:rsidRDefault="00B03841" w:rsidP="00CB6A86"/>
    <w:p w14:paraId="6E9F61C6" w14:textId="77777777" w:rsidR="001756E0" w:rsidRPr="004962A1" w:rsidRDefault="001756E0" w:rsidP="001756E0">
      <w:pPr>
        <w:jc w:val="both"/>
      </w:pPr>
      <w:r w:rsidRPr="00950996">
        <w:rPr>
          <w:highlight w:val="green"/>
        </w:rPr>
        <w:t>Amazon has a large portion of goodwill in its asset base, where the Fixed asset turnover is almost three times higher than the total asset turnover. The goodwill and intangibles are manly as a result of acquisitions in addition to the increased R&amp;D spending on AWS which we will have to closely watch for future profitability.</w:t>
      </w:r>
    </w:p>
    <w:p w14:paraId="09BB072F" w14:textId="77777777" w:rsidR="00B03841" w:rsidRDefault="00B03841" w:rsidP="00CB6A86"/>
    <w:p w14:paraId="4FEFFE9E" w14:textId="77777777" w:rsidR="00B03841" w:rsidRDefault="00B03841" w:rsidP="00CB6A86"/>
    <w:p w14:paraId="18373C84" w14:textId="1B1696D7" w:rsidR="00CB6A86" w:rsidRPr="00191764" w:rsidRDefault="00CB6A86" w:rsidP="00CB6A86">
      <w:r>
        <w:lastRenderedPageBreak/>
        <w:t>Table 5: Asset utilization  of (Amazon)</w:t>
      </w:r>
    </w:p>
    <w:tbl>
      <w:tblPr>
        <w:tblStyle w:val="TableGrid"/>
        <w:tblW w:w="0" w:type="auto"/>
        <w:tblLook w:val="04A0" w:firstRow="1" w:lastRow="0" w:firstColumn="1" w:lastColumn="0" w:noHBand="0" w:noVBand="1"/>
      </w:tblPr>
      <w:tblGrid>
        <w:gridCol w:w="2547"/>
        <w:gridCol w:w="1961"/>
        <w:gridCol w:w="2254"/>
        <w:gridCol w:w="2254"/>
      </w:tblGrid>
      <w:tr w:rsidR="00CB6A86" w14:paraId="13B8DE81" w14:textId="77777777" w:rsidTr="003551F9">
        <w:tc>
          <w:tcPr>
            <w:tcW w:w="2547" w:type="dxa"/>
          </w:tcPr>
          <w:p w14:paraId="1A195BBD" w14:textId="77777777" w:rsidR="00CB6A86" w:rsidRDefault="00CB6A86" w:rsidP="003551F9">
            <w:r>
              <w:t>Ratio/Year</w:t>
            </w:r>
          </w:p>
        </w:tc>
        <w:tc>
          <w:tcPr>
            <w:tcW w:w="1961" w:type="dxa"/>
          </w:tcPr>
          <w:p w14:paraId="59E11596" w14:textId="77777777" w:rsidR="00CB6A86" w:rsidRPr="00191764" w:rsidRDefault="00CB6A86" w:rsidP="003551F9">
            <w:pPr>
              <w:rPr>
                <w:b/>
                <w:bCs/>
              </w:rPr>
            </w:pPr>
            <w:r w:rsidRPr="00191764">
              <w:rPr>
                <w:b/>
                <w:bCs/>
              </w:rPr>
              <w:t>2022</w:t>
            </w:r>
          </w:p>
        </w:tc>
        <w:tc>
          <w:tcPr>
            <w:tcW w:w="2254" w:type="dxa"/>
          </w:tcPr>
          <w:p w14:paraId="2B05F09D" w14:textId="77777777" w:rsidR="00CB6A86" w:rsidRPr="00191764" w:rsidRDefault="00CB6A86" w:rsidP="003551F9">
            <w:pPr>
              <w:rPr>
                <w:b/>
                <w:bCs/>
              </w:rPr>
            </w:pPr>
            <w:r w:rsidRPr="00191764">
              <w:rPr>
                <w:b/>
                <w:bCs/>
              </w:rPr>
              <w:t>2021</w:t>
            </w:r>
          </w:p>
        </w:tc>
        <w:tc>
          <w:tcPr>
            <w:tcW w:w="2254" w:type="dxa"/>
          </w:tcPr>
          <w:p w14:paraId="1DEC77B3" w14:textId="77777777" w:rsidR="00CB6A86" w:rsidRPr="00191764" w:rsidRDefault="00CB6A86" w:rsidP="003551F9">
            <w:pPr>
              <w:rPr>
                <w:b/>
                <w:bCs/>
              </w:rPr>
            </w:pPr>
            <w:r w:rsidRPr="00191764">
              <w:rPr>
                <w:b/>
                <w:bCs/>
              </w:rPr>
              <w:t>2020</w:t>
            </w:r>
          </w:p>
        </w:tc>
      </w:tr>
      <w:tr w:rsidR="00CB6A86" w14:paraId="06C6FA3A" w14:textId="77777777" w:rsidTr="003551F9">
        <w:tc>
          <w:tcPr>
            <w:tcW w:w="2547" w:type="dxa"/>
          </w:tcPr>
          <w:p w14:paraId="363CB17D" w14:textId="3006BB0F" w:rsidR="00CB6A86" w:rsidRPr="00191764" w:rsidRDefault="00CB6A86" w:rsidP="003551F9">
            <w:pPr>
              <w:rPr>
                <w:b/>
                <w:bCs/>
              </w:rPr>
            </w:pPr>
            <w:r>
              <w:rPr>
                <w:b/>
                <w:bCs/>
              </w:rPr>
              <w:t>Total asset turnover</w:t>
            </w:r>
          </w:p>
        </w:tc>
        <w:tc>
          <w:tcPr>
            <w:tcW w:w="1961" w:type="dxa"/>
          </w:tcPr>
          <w:p w14:paraId="5171CBD8" w14:textId="5265E5AC" w:rsidR="00CB6A86" w:rsidRDefault="00CB6A86" w:rsidP="003551F9">
            <w:r>
              <w:t>3.33</w:t>
            </w:r>
          </w:p>
        </w:tc>
        <w:tc>
          <w:tcPr>
            <w:tcW w:w="2254" w:type="dxa"/>
          </w:tcPr>
          <w:p w14:paraId="15A60998" w14:textId="2A04153F" w:rsidR="00CB6A86" w:rsidRDefault="00CB6A86" w:rsidP="003551F9">
            <w:r>
              <w:t>3.19</w:t>
            </w:r>
          </w:p>
        </w:tc>
        <w:tc>
          <w:tcPr>
            <w:tcW w:w="2254" w:type="dxa"/>
          </w:tcPr>
          <w:p w14:paraId="1DCAC3D1" w14:textId="38542761" w:rsidR="00CB6A86" w:rsidRDefault="00CB6A86" w:rsidP="003551F9">
            <w:r>
              <w:t>2.91</w:t>
            </w:r>
          </w:p>
        </w:tc>
      </w:tr>
      <w:tr w:rsidR="00CB6A86" w14:paraId="1FCC1983" w14:textId="77777777" w:rsidTr="003551F9">
        <w:tc>
          <w:tcPr>
            <w:tcW w:w="2547" w:type="dxa"/>
          </w:tcPr>
          <w:p w14:paraId="581ADBA6" w14:textId="16C7D1B9" w:rsidR="00CB6A86" w:rsidRPr="00191764" w:rsidRDefault="00CB6A86" w:rsidP="003551F9">
            <w:pPr>
              <w:rPr>
                <w:b/>
                <w:bCs/>
              </w:rPr>
            </w:pPr>
            <w:r>
              <w:rPr>
                <w:b/>
                <w:bCs/>
              </w:rPr>
              <w:t>Inventory turnover</w:t>
            </w:r>
          </w:p>
        </w:tc>
        <w:tc>
          <w:tcPr>
            <w:tcW w:w="1961" w:type="dxa"/>
          </w:tcPr>
          <w:p w14:paraId="19694C25" w14:textId="00493E8C" w:rsidR="00CB6A86" w:rsidRDefault="00CB6A86" w:rsidP="003551F9">
            <w:r>
              <w:t>8.62</w:t>
            </w:r>
          </w:p>
        </w:tc>
        <w:tc>
          <w:tcPr>
            <w:tcW w:w="2254" w:type="dxa"/>
          </w:tcPr>
          <w:p w14:paraId="779ADCF0" w14:textId="18CD7C0B" w:rsidR="00CB6A86" w:rsidRDefault="00CB6A86" w:rsidP="003551F9">
            <w:r>
              <w:t>9.65</w:t>
            </w:r>
          </w:p>
        </w:tc>
        <w:tc>
          <w:tcPr>
            <w:tcW w:w="2254" w:type="dxa"/>
          </w:tcPr>
          <w:p w14:paraId="0B1AD78E" w14:textId="43C93470" w:rsidR="00CB6A86" w:rsidRDefault="00CB6A86" w:rsidP="003551F9">
            <w:r>
              <w:t>9.80</w:t>
            </w:r>
          </w:p>
        </w:tc>
      </w:tr>
      <w:tr w:rsidR="00CB6A86" w14:paraId="2D06918E" w14:textId="77777777" w:rsidTr="003551F9">
        <w:tc>
          <w:tcPr>
            <w:tcW w:w="2547" w:type="dxa"/>
          </w:tcPr>
          <w:p w14:paraId="73FB6F88" w14:textId="6AD989DD" w:rsidR="00CB6A86" w:rsidRPr="00191764" w:rsidRDefault="00171DBB" w:rsidP="003551F9">
            <w:pPr>
              <w:rPr>
                <w:b/>
                <w:bCs/>
              </w:rPr>
            </w:pPr>
            <w:r>
              <w:rPr>
                <w:b/>
                <w:bCs/>
              </w:rPr>
              <w:t>Return on assets</w:t>
            </w:r>
          </w:p>
        </w:tc>
        <w:tc>
          <w:tcPr>
            <w:tcW w:w="1961" w:type="dxa"/>
          </w:tcPr>
          <w:p w14:paraId="0FF2B669" w14:textId="756EEDE7" w:rsidR="00CB6A86" w:rsidRDefault="00171DBB" w:rsidP="003551F9">
            <w:r>
              <w:t>-0.62</w:t>
            </w:r>
          </w:p>
        </w:tc>
        <w:tc>
          <w:tcPr>
            <w:tcW w:w="2254" w:type="dxa"/>
          </w:tcPr>
          <w:p w14:paraId="6D4C9350" w14:textId="666CB9F6" w:rsidR="00CB6A86" w:rsidRDefault="00171DBB" w:rsidP="003551F9">
            <w:r>
              <w:t>9.0</w:t>
            </w:r>
          </w:p>
        </w:tc>
        <w:tc>
          <w:tcPr>
            <w:tcW w:w="2254" w:type="dxa"/>
          </w:tcPr>
          <w:p w14:paraId="2DBC549B" w14:textId="3C08CFDD" w:rsidR="00CB6A86" w:rsidRDefault="00171DBB" w:rsidP="003551F9">
            <w:r>
              <w:t>6.64</w:t>
            </w:r>
          </w:p>
        </w:tc>
      </w:tr>
    </w:tbl>
    <w:p w14:paraId="700AC6DB" w14:textId="77777777" w:rsidR="00CB6A86" w:rsidRDefault="00CB6A86" w:rsidP="00CB6A86"/>
    <w:p w14:paraId="12DA3A5F" w14:textId="04067EE6" w:rsidR="00F41C46" w:rsidRDefault="00F41C46" w:rsidP="00F41C46">
      <w:pPr>
        <w:jc w:val="center"/>
        <w:rPr>
          <w:rFonts w:cstheme="minorHAnsi"/>
          <w:b/>
          <w:bCs/>
          <w:color w:val="000000"/>
        </w:rPr>
      </w:pPr>
      <w:r>
        <w:rPr>
          <w:rFonts w:cstheme="minorHAnsi"/>
          <w:b/>
          <w:bCs/>
          <w:color w:val="000000"/>
        </w:rPr>
        <w:t>Investor/ Market Analysis</w:t>
      </w:r>
    </w:p>
    <w:p w14:paraId="6D83F886" w14:textId="77CF69CD" w:rsidR="000C7382" w:rsidRPr="00255F1D" w:rsidRDefault="00A31AA9" w:rsidP="00B03841">
      <w:pPr>
        <w:spacing w:line="360" w:lineRule="auto"/>
        <w:jc w:val="both"/>
      </w:pPr>
      <w:r>
        <w:t xml:space="preserve">Amazon’s price to equity dropped to the negative territory in 2022 indicating that the company has a negative earnings or is losing money. This particular ratio became imperative to investors as they can understand if the stock is overvalued or undervalued. Amazon’s price to equity in 2021 was 51.44 compared to 63.92 in 2020. </w:t>
      </w:r>
      <w:r w:rsidR="00255F1D" w:rsidRPr="00255F1D">
        <w:rPr>
          <w:rFonts w:cstheme="minorHAnsi"/>
          <w:shd w:val="clear" w:color="auto" w:fill="FFFFFF"/>
        </w:rPr>
        <w:t>In general, stocks with P/E ratios of </w:t>
      </w:r>
      <w:r w:rsidR="00255F1D" w:rsidRPr="00255F1D">
        <w:rPr>
          <w:rFonts w:cstheme="minorHAnsi"/>
        </w:rPr>
        <w:t>below 15 are considered cheap</w:t>
      </w:r>
      <w:r w:rsidR="00255F1D" w:rsidRPr="00255F1D">
        <w:rPr>
          <w:rFonts w:cstheme="minorHAnsi"/>
          <w:shd w:val="clear" w:color="auto" w:fill="FFFFFF"/>
        </w:rPr>
        <w:t xml:space="preserve">, while stocks above about 18 are thought of as overpriced. </w:t>
      </w:r>
      <w:r w:rsidR="00255F1D">
        <w:rPr>
          <w:rFonts w:cstheme="minorHAnsi"/>
          <w:shd w:val="clear" w:color="auto" w:fill="FFFFFF"/>
        </w:rPr>
        <w:t>Amazon’s Earnings per share ratio was negative in 2022</w:t>
      </w:r>
      <w:r w:rsidR="005A4B90">
        <w:rPr>
          <w:rFonts w:cstheme="minorHAnsi"/>
          <w:shd w:val="clear" w:color="auto" w:fill="FFFFFF"/>
        </w:rPr>
        <w:t>,</w:t>
      </w:r>
      <w:r w:rsidR="00255F1D">
        <w:rPr>
          <w:rFonts w:cstheme="minorHAnsi"/>
          <w:shd w:val="clear" w:color="auto" w:fill="FFFFFF"/>
        </w:rPr>
        <w:t xml:space="preserve"> which means that company was losing money or they were spending more than their earnings. </w:t>
      </w:r>
      <w:r w:rsidR="00255F1D" w:rsidRPr="00255F1D">
        <w:rPr>
          <w:rFonts w:cstheme="minorHAnsi"/>
          <w:shd w:val="clear" w:color="auto" w:fill="FFFFFF"/>
        </w:rPr>
        <w:t>Amazon</w:t>
      </w:r>
      <w:r w:rsidR="00255F1D">
        <w:rPr>
          <w:rFonts w:cstheme="minorHAnsi"/>
          <w:shd w:val="clear" w:color="auto" w:fill="FFFFFF"/>
        </w:rPr>
        <w:t>’s</w:t>
      </w:r>
      <w:r w:rsidR="00255F1D" w:rsidRPr="00255F1D">
        <w:rPr>
          <w:rFonts w:cstheme="minorHAnsi"/>
          <w:shd w:val="clear" w:color="auto" w:fill="FFFFFF"/>
        </w:rPr>
        <w:t xml:space="preserve"> 2022 annual EPS was </w:t>
      </w:r>
      <w:r w:rsidR="00255F1D" w:rsidRPr="00255F1D">
        <w:rPr>
          <w:rFonts w:cstheme="minorHAnsi"/>
        </w:rPr>
        <w:t>$-0.27</w:t>
      </w:r>
      <w:r w:rsidR="00255F1D" w:rsidRPr="00255F1D">
        <w:rPr>
          <w:rFonts w:cstheme="minorHAnsi"/>
          <w:shd w:val="clear" w:color="auto" w:fill="FFFFFF"/>
        </w:rPr>
        <w:t>, a 108.33% decline from 2021.</w:t>
      </w:r>
      <w:r w:rsidR="00255F1D">
        <w:rPr>
          <w:rFonts w:cstheme="minorHAnsi"/>
          <w:shd w:val="clear" w:color="auto" w:fill="FFFFFF"/>
        </w:rPr>
        <w:t xml:space="preserve"> </w:t>
      </w:r>
    </w:p>
    <w:p w14:paraId="4D126333" w14:textId="77777777" w:rsidR="000C7382" w:rsidRDefault="000C7382" w:rsidP="00CC1BF6"/>
    <w:p w14:paraId="6585220F" w14:textId="19A656ED" w:rsidR="00EB064F" w:rsidRPr="00191764" w:rsidRDefault="002F2C58" w:rsidP="00EB064F">
      <w:r>
        <w:t xml:space="preserve"> </w:t>
      </w:r>
      <w:r w:rsidR="00EB064F">
        <w:t>Table 6: Investor/ market ratios  of (Amazon)</w:t>
      </w:r>
    </w:p>
    <w:tbl>
      <w:tblPr>
        <w:tblStyle w:val="TableGrid"/>
        <w:tblW w:w="0" w:type="auto"/>
        <w:tblLook w:val="04A0" w:firstRow="1" w:lastRow="0" w:firstColumn="1" w:lastColumn="0" w:noHBand="0" w:noVBand="1"/>
      </w:tblPr>
      <w:tblGrid>
        <w:gridCol w:w="2689"/>
        <w:gridCol w:w="1819"/>
        <w:gridCol w:w="2254"/>
        <w:gridCol w:w="2254"/>
      </w:tblGrid>
      <w:tr w:rsidR="00EB064F" w14:paraId="257B21A6" w14:textId="77777777" w:rsidTr="00EB064F">
        <w:trPr>
          <w:trHeight w:val="310"/>
        </w:trPr>
        <w:tc>
          <w:tcPr>
            <w:tcW w:w="2689" w:type="dxa"/>
          </w:tcPr>
          <w:p w14:paraId="3F7896BB" w14:textId="77777777" w:rsidR="00EB064F" w:rsidRDefault="00EB064F" w:rsidP="009E050F">
            <w:r>
              <w:t>Ratio/Year</w:t>
            </w:r>
          </w:p>
        </w:tc>
        <w:tc>
          <w:tcPr>
            <w:tcW w:w="1819" w:type="dxa"/>
          </w:tcPr>
          <w:p w14:paraId="103B5263" w14:textId="77777777" w:rsidR="00EB064F" w:rsidRPr="00191764" w:rsidRDefault="00EB064F" w:rsidP="009E050F">
            <w:pPr>
              <w:rPr>
                <w:b/>
                <w:bCs/>
              </w:rPr>
            </w:pPr>
            <w:r w:rsidRPr="00191764">
              <w:rPr>
                <w:b/>
                <w:bCs/>
              </w:rPr>
              <w:t>2022</w:t>
            </w:r>
          </w:p>
        </w:tc>
        <w:tc>
          <w:tcPr>
            <w:tcW w:w="2254" w:type="dxa"/>
          </w:tcPr>
          <w:p w14:paraId="4ED45A42" w14:textId="77777777" w:rsidR="00EB064F" w:rsidRPr="00191764" w:rsidRDefault="00EB064F" w:rsidP="009E050F">
            <w:pPr>
              <w:rPr>
                <w:b/>
                <w:bCs/>
              </w:rPr>
            </w:pPr>
            <w:r w:rsidRPr="00191764">
              <w:rPr>
                <w:b/>
                <w:bCs/>
              </w:rPr>
              <w:t>2021</w:t>
            </w:r>
          </w:p>
        </w:tc>
        <w:tc>
          <w:tcPr>
            <w:tcW w:w="2254" w:type="dxa"/>
          </w:tcPr>
          <w:p w14:paraId="43977BF4" w14:textId="77777777" w:rsidR="00EB064F" w:rsidRPr="00191764" w:rsidRDefault="00EB064F" w:rsidP="009E050F">
            <w:pPr>
              <w:rPr>
                <w:b/>
                <w:bCs/>
              </w:rPr>
            </w:pPr>
            <w:r w:rsidRPr="00191764">
              <w:rPr>
                <w:b/>
                <w:bCs/>
              </w:rPr>
              <w:t>2020</w:t>
            </w:r>
          </w:p>
        </w:tc>
      </w:tr>
      <w:tr w:rsidR="00EB064F" w14:paraId="33BA4777" w14:textId="77777777" w:rsidTr="00EB064F">
        <w:tc>
          <w:tcPr>
            <w:tcW w:w="2689" w:type="dxa"/>
          </w:tcPr>
          <w:p w14:paraId="7FC6A741" w14:textId="19B6B67B" w:rsidR="00EB064F" w:rsidRPr="00191764" w:rsidRDefault="00EB064F" w:rsidP="009E050F">
            <w:pPr>
              <w:rPr>
                <w:b/>
                <w:bCs/>
              </w:rPr>
            </w:pPr>
            <w:r>
              <w:rPr>
                <w:b/>
                <w:bCs/>
              </w:rPr>
              <w:t>Price to equity</w:t>
            </w:r>
          </w:p>
        </w:tc>
        <w:tc>
          <w:tcPr>
            <w:tcW w:w="1819" w:type="dxa"/>
          </w:tcPr>
          <w:p w14:paraId="030B7389" w14:textId="78AA7803" w:rsidR="00EB064F" w:rsidRDefault="00EB064F" w:rsidP="009E050F">
            <w:r>
              <w:t>-606</w:t>
            </w:r>
          </w:p>
        </w:tc>
        <w:tc>
          <w:tcPr>
            <w:tcW w:w="2254" w:type="dxa"/>
          </w:tcPr>
          <w:p w14:paraId="695BF940" w14:textId="0D7D622E" w:rsidR="00EB064F" w:rsidRDefault="00EB064F" w:rsidP="009E050F">
            <w:r>
              <w:t>51.44</w:t>
            </w:r>
          </w:p>
        </w:tc>
        <w:tc>
          <w:tcPr>
            <w:tcW w:w="2254" w:type="dxa"/>
          </w:tcPr>
          <w:p w14:paraId="08760C15" w14:textId="23D15EE2" w:rsidR="00EB064F" w:rsidRDefault="00EB064F" w:rsidP="009E050F">
            <w:r>
              <w:t>63.92</w:t>
            </w:r>
          </w:p>
        </w:tc>
      </w:tr>
      <w:tr w:rsidR="00EB064F" w14:paraId="3CF6FB14" w14:textId="77777777" w:rsidTr="00EB064F">
        <w:tc>
          <w:tcPr>
            <w:tcW w:w="2689" w:type="dxa"/>
          </w:tcPr>
          <w:p w14:paraId="0C545ECD" w14:textId="3F821970" w:rsidR="00EB064F" w:rsidRPr="00191764" w:rsidRDefault="00EB064F" w:rsidP="009E050F">
            <w:pPr>
              <w:rPr>
                <w:b/>
                <w:bCs/>
              </w:rPr>
            </w:pPr>
            <w:r>
              <w:rPr>
                <w:b/>
                <w:bCs/>
              </w:rPr>
              <w:t>Earnings per share</w:t>
            </w:r>
          </w:p>
        </w:tc>
        <w:tc>
          <w:tcPr>
            <w:tcW w:w="1819" w:type="dxa"/>
          </w:tcPr>
          <w:p w14:paraId="1BC5854A" w14:textId="15844D19" w:rsidR="00EB064F" w:rsidRDefault="00EB064F" w:rsidP="009E050F">
            <w:r>
              <w:t>-0.27</w:t>
            </w:r>
          </w:p>
        </w:tc>
        <w:tc>
          <w:tcPr>
            <w:tcW w:w="2254" w:type="dxa"/>
          </w:tcPr>
          <w:p w14:paraId="03971ECF" w14:textId="0AC8B9F3" w:rsidR="00EB064F" w:rsidRDefault="00EB064F" w:rsidP="009E050F">
            <w:r>
              <w:t>3.24</w:t>
            </w:r>
          </w:p>
        </w:tc>
        <w:tc>
          <w:tcPr>
            <w:tcW w:w="2254" w:type="dxa"/>
          </w:tcPr>
          <w:p w14:paraId="5785A425" w14:textId="4645A572" w:rsidR="00EB064F" w:rsidRDefault="00EB064F" w:rsidP="009E050F">
            <w:r>
              <w:t>2.09</w:t>
            </w:r>
          </w:p>
        </w:tc>
      </w:tr>
      <w:tr w:rsidR="00EB064F" w14:paraId="0160E842" w14:textId="77777777" w:rsidTr="00EB064F">
        <w:tc>
          <w:tcPr>
            <w:tcW w:w="2689" w:type="dxa"/>
          </w:tcPr>
          <w:p w14:paraId="36D5E422" w14:textId="79A19B46" w:rsidR="00EB064F" w:rsidRPr="00191764" w:rsidRDefault="00EB064F" w:rsidP="009E050F">
            <w:pPr>
              <w:rPr>
                <w:b/>
                <w:bCs/>
              </w:rPr>
            </w:pPr>
            <w:r>
              <w:rPr>
                <w:b/>
                <w:bCs/>
              </w:rPr>
              <w:t>Enterprise value to EBITDA</w:t>
            </w:r>
          </w:p>
        </w:tc>
        <w:tc>
          <w:tcPr>
            <w:tcW w:w="1819" w:type="dxa"/>
          </w:tcPr>
          <w:p w14:paraId="469DCE35" w14:textId="38602EC5" w:rsidR="00EB064F" w:rsidRDefault="00EB064F" w:rsidP="009E050F">
            <w:r>
              <w:t>35.32</w:t>
            </w:r>
          </w:p>
        </w:tc>
        <w:tc>
          <w:tcPr>
            <w:tcW w:w="2254" w:type="dxa"/>
          </w:tcPr>
          <w:p w14:paraId="2EFCA9A3" w14:textId="59491D25" w:rsidR="00EB064F" w:rsidRDefault="00EB064F" w:rsidP="009E050F">
            <w:r>
              <w:t>33</w:t>
            </w:r>
          </w:p>
        </w:tc>
        <w:tc>
          <w:tcPr>
            <w:tcW w:w="2254" w:type="dxa"/>
          </w:tcPr>
          <w:p w14:paraId="2E0498A6" w14:textId="12A086B1" w:rsidR="00EB064F" w:rsidRDefault="00EB064F" w:rsidP="009E050F">
            <w:r>
              <w:t>32.22</w:t>
            </w:r>
          </w:p>
        </w:tc>
      </w:tr>
    </w:tbl>
    <w:p w14:paraId="7DBAD82E" w14:textId="77777777" w:rsidR="00EB064F" w:rsidRDefault="00EB064F" w:rsidP="00EB064F"/>
    <w:p w14:paraId="74DD72B4" w14:textId="77777777" w:rsidR="00B03841" w:rsidRDefault="00B03841" w:rsidP="00EB064F"/>
    <w:p w14:paraId="3B731E7A" w14:textId="01DD0307" w:rsidR="00B03841" w:rsidRPr="00B03841" w:rsidRDefault="00B03841" w:rsidP="00B03841">
      <w:pPr>
        <w:pStyle w:val="NormalWeb"/>
        <w:shd w:val="clear" w:color="auto" w:fill="FFFFFF"/>
        <w:spacing w:before="0" w:beforeAutospacing="0" w:after="192" w:afterAutospacing="0" w:line="360" w:lineRule="auto"/>
        <w:jc w:val="both"/>
        <w:rPr>
          <w:rFonts w:asciiTheme="minorHAnsi" w:hAnsiTheme="minorHAnsi" w:cstheme="minorHAnsi"/>
          <w:sz w:val="22"/>
          <w:szCs w:val="22"/>
        </w:rPr>
      </w:pPr>
      <w:r w:rsidRPr="00B03841">
        <w:rPr>
          <w:rFonts w:asciiTheme="minorHAnsi" w:hAnsiTheme="minorHAnsi" w:cstheme="minorHAnsi"/>
          <w:sz w:val="22"/>
          <w:szCs w:val="22"/>
        </w:rPr>
        <w:t>Further</w:t>
      </w:r>
      <w:r w:rsidR="005A4B90">
        <w:rPr>
          <w:rFonts w:asciiTheme="minorHAnsi" w:hAnsiTheme="minorHAnsi" w:cstheme="minorHAnsi"/>
          <w:sz w:val="22"/>
          <w:szCs w:val="22"/>
        </w:rPr>
        <w:t xml:space="preserve"> all</w:t>
      </w:r>
      <w:r w:rsidRPr="00B03841">
        <w:rPr>
          <w:rFonts w:asciiTheme="minorHAnsi" w:hAnsiTheme="minorHAnsi" w:cstheme="minorHAnsi"/>
          <w:sz w:val="22"/>
          <w:szCs w:val="22"/>
        </w:rPr>
        <w:t xml:space="preserve">, in 2022 </w:t>
      </w:r>
      <w:r w:rsidR="00D8026C">
        <w:rPr>
          <w:rFonts w:asciiTheme="minorHAnsi" w:hAnsiTheme="minorHAnsi" w:cstheme="minorHAnsi"/>
          <w:sz w:val="22"/>
          <w:szCs w:val="22"/>
        </w:rPr>
        <w:t xml:space="preserve"> </w:t>
      </w:r>
      <w:r w:rsidRPr="00B03841">
        <w:rPr>
          <w:rFonts w:asciiTheme="minorHAnsi" w:hAnsiTheme="minorHAnsi" w:cstheme="minorHAnsi"/>
          <w:sz w:val="22"/>
          <w:szCs w:val="22"/>
        </w:rPr>
        <w:t xml:space="preserve">Amazon reported a net loss of $2.7 billion, tying off a tough year for Amazon. That loss is </w:t>
      </w:r>
      <w:r w:rsidR="00D8026C">
        <w:rPr>
          <w:rFonts w:asciiTheme="minorHAnsi" w:hAnsiTheme="minorHAnsi" w:cstheme="minorHAnsi"/>
          <w:sz w:val="22"/>
          <w:szCs w:val="22"/>
        </w:rPr>
        <w:t>imperative</w:t>
      </w:r>
      <w:r w:rsidRPr="00B03841">
        <w:rPr>
          <w:rFonts w:asciiTheme="minorHAnsi" w:hAnsiTheme="minorHAnsi" w:cstheme="minorHAnsi"/>
          <w:sz w:val="22"/>
          <w:szCs w:val="22"/>
        </w:rPr>
        <w:t xml:space="preserve"> </w:t>
      </w:r>
      <w:r>
        <w:rPr>
          <w:rFonts w:asciiTheme="minorHAnsi" w:hAnsiTheme="minorHAnsi" w:cstheme="minorHAnsi"/>
          <w:sz w:val="22"/>
          <w:szCs w:val="22"/>
        </w:rPr>
        <w:t xml:space="preserve">as it was </w:t>
      </w:r>
      <w:r w:rsidR="00D8026C">
        <w:rPr>
          <w:rFonts w:asciiTheme="minorHAnsi" w:hAnsiTheme="minorHAnsi" w:cstheme="minorHAnsi"/>
          <w:sz w:val="22"/>
          <w:szCs w:val="22"/>
        </w:rPr>
        <w:t>the company’s</w:t>
      </w:r>
      <w:r w:rsidRPr="00B03841">
        <w:rPr>
          <w:rFonts w:asciiTheme="minorHAnsi" w:hAnsiTheme="minorHAnsi" w:cstheme="minorHAnsi"/>
          <w:sz w:val="22"/>
          <w:szCs w:val="22"/>
        </w:rPr>
        <w:t xml:space="preserve"> first</w:t>
      </w:r>
      <w:r w:rsidR="00D8026C">
        <w:rPr>
          <w:rFonts w:asciiTheme="minorHAnsi" w:hAnsiTheme="minorHAnsi" w:cstheme="minorHAnsi"/>
          <w:sz w:val="22"/>
          <w:szCs w:val="22"/>
        </w:rPr>
        <w:t xml:space="preserve"> loss</w:t>
      </w:r>
      <w:r w:rsidRPr="00B03841">
        <w:rPr>
          <w:rFonts w:asciiTheme="minorHAnsi" w:hAnsiTheme="minorHAnsi" w:cstheme="minorHAnsi"/>
          <w:sz w:val="22"/>
          <w:szCs w:val="22"/>
        </w:rPr>
        <w:t xml:space="preserve"> </w:t>
      </w:r>
      <w:r w:rsidR="00D8026C">
        <w:rPr>
          <w:rFonts w:asciiTheme="minorHAnsi" w:hAnsiTheme="minorHAnsi" w:cstheme="minorHAnsi"/>
          <w:sz w:val="22"/>
          <w:szCs w:val="22"/>
        </w:rPr>
        <w:t xml:space="preserve">encountered </w:t>
      </w:r>
      <w:r w:rsidRPr="00B03841">
        <w:rPr>
          <w:rFonts w:asciiTheme="minorHAnsi" w:hAnsiTheme="minorHAnsi" w:cstheme="minorHAnsi"/>
          <w:sz w:val="22"/>
          <w:szCs w:val="22"/>
        </w:rPr>
        <w:t xml:space="preserve">since 2014 and  the company's largest </w:t>
      </w:r>
      <w:r w:rsidRPr="001756E0">
        <w:rPr>
          <w:rFonts w:asciiTheme="minorHAnsi" w:hAnsiTheme="minorHAnsi" w:cstheme="minorHAnsi"/>
          <w:sz w:val="22"/>
          <w:szCs w:val="22"/>
          <w:highlight w:val="cyan"/>
        </w:rPr>
        <w:t xml:space="preserve">annual loss on-record. Over the course of 2022, the company's shares declined about 47% amid the much-discussed digital advertising slowdown, high inflation, and rising interest rates. The company had grown rapidly during </w:t>
      </w:r>
      <w:r w:rsidR="00D8026C" w:rsidRPr="001756E0">
        <w:rPr>
          <w:rFonts w:asciiTheme="minorHAnsi" w:hAnsiTheme="minorHAnsi" w:cstheme="minorHAnsi"/>
          <w:sz w:val="22"/>
          <w:szCs w:val="22"/>
          <w:highlight w:val="cyan"/>
        </w:rPr>
        <w:t xml:space="preserve">the </w:t>
      </w:r>
      <w:r w:rsidRPr="001756E0">
        <w:rPr>
          <w:rFonts w:asciiTheme="minorHAnsi" w:hAnsiTheme="minorHAnsi" w:cstheme="minorHAnsi"/>
          <w:sz w:val="22"/>
          <w:szCs w:val="22"/>
          <w:highlight w:val="cyan"/>
        </w:rPr>
        <w:t>pandemic, at a time when demand skyrocketed whil</w:t>
      </w:r>
      <w:r w:rsidR="00D8026C" w:rsidRPr="001756E0">
        <w:rPr>
          <w:rFonts w:asciiTheme="minorHAnsi" w:hAnsiTheme="minorHAnsi" w:cstheme="minorHAnsi"/>
          <w:sz w:val="22"/>
          <w:szCs w:val="22"/>
          <w:highlight w:val="cyan"/>
        </w:rPr>
        <w:t>e</w:t>
      </w:r>
      <w:r w:rsidRPr="001756E0">
        <w:rPr>
          <w:rFonts w:asciiTheme="minorHAnsi" w:hAnsiTheme="minorHAnsi" w:cstheme="minorHAnsi"/>
          <w:sz w:val="22"/>
          <w:szCs w:val="22"/>
          <w:highlight w:val="cyan"/>
        </w:rPr>
        <w:t xml:space="preserve"> consumers were at home. However, the far-reaching economic uncertainty of 2022 sent Amazon revenue to the negative </w:t>
      </w:r>
      <w:bookmarkStart w:id="1" w:name="_GoBack"/>
      <w:commentRangeStart w:id="2"/>
      <w:r w:rsidRPr="001756E0">
        <w:rPr>
          <w:rFonts w:asciiTheme="minorHAnsi" w:hAnsiTheme="minorHAnsi" w:cstheme="minorHAnsi"/>
          <w:sz w:val="22"/>
          <w:szCs w:val="22"/>
          <w:highlight w:val="cyan"/>
        </w:rPr>
        <w:t>territory</w:t>
      </w:r>
      <w:bookmarkEnd w:id="1"/>
      <w:commentRangeEnd w:id="2"/>
      <w:r w:rsidR="001756E0">
        <w:rPr>
          <w:rStyle w:val="CommentReference"/>
          <w:rFonts w:asciiTheme="minorHAnsi" w:eastAsiaTheme="minorHAnsi" w:hAnsiTheme="minorHAnsi" w:cstheme="minorBidi"/>
          <w:kern w:val="2"/>
          <w:lang w:eastAsia="en-US"/>
          <w14:ligatures w14:val="standardContextual"/>
        </w:rPr>
        <w:commentReference w:id="2"/>
      </w:r>
      <w:r w:rsidRPr="001756E0">
        <w:rPr>
          <w:rFonts w:asciiTheme="minorHAnsi" w:hAnsiTheme="minorHAnsi" w:cstheme="minorHAnsi"/>
          <w:sz w:val="22"/>
          <w:szCs w:val="22"/>
          <w:highlight w:val="cyan"/>
        </w:rPr>
        <w:t>.</w:t>
      </w:r>
    </w:p>
    <w:p w14:paraId="348CCD0E" w14:textId="77777777" w:rsidR="001756E0" w:rsidRPr="004962A1" w:rsidRDefault="001756E0" w:rsidP="001756E0">
      <w:pPr>
        <w:jc w:val="both"/>
      </w:pPr>
      <w:r w:rsidRPr="007F68D6">
        <w:rPr>
          <w:highlight w:val="green"/>
        </w:rPr>
        <w:t xml:space="preserve">ROE, ROA and ROCE all are within the health territory, </w:t>
      </w:r>
      <w:r>
        <w:rPr>
          <w:highlight w:val="green"/>
        </w:rPr>
        <w:t xml:space="preserve">however, have declined </w:t>
      </w:r>
      <w:r w:rsidRPr="007F68D6">
        <w:rPr>
          <w:highlight w:val="green"/>
        </w:rPr>
        <w:t>compared to previous year. Furthermore, given Amazon’s valuations, one would expect the ratios to be better as there are many other smaller companies with better returns than Amazon, however, it is notable that these valuations are backed by Amazon’s expansion</w:t>
      </w:r>
    </w:p>
    <w:p w14:paraId="18A35719" w14:textId="77777777" w:rsidR="001756E0" w:rsidRPr="00275908" w:rsidRDefault="001756E0" w:rsidP="001756E0"/>
    <w:p w14:paraId="245A28E7" w14:textId="0404635D" w:rsidR="00CC1BF6" w:rsidRPr="00CC1BF6" w:rsidRDefault="00CC1BF6" w:rsidP="00B03841">
      <w:pPr>
        <w:jc w:val="both"/>
      </w:pPr>
    </w:p>
    <w:sectPr w:rsidR="00CC1BF6" w:rsidRPr="00CC1BF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9-30T00:44:00Z" w:initials="Ma">
    <w:p w14:paraId="4B2CADE6" w14:textId="7B44D22E" w:rsidR="001756E0" w:rsidRDefault="001756E0">
      <w:pPr>
        <w:pStyle w:val="CommentText"/>
      </w:pPr>
      <w:r>
        <w:rPr>
          <w:rStyle w:val="CommentReference"/>
        </w:rPr>
        <w:annotationRef/>
      </w:r>
      <w:r>
        <w:t>Good observation</w:t>
      </w:r>
    </w:p>
  </w:comment>
  <w:comment w:id="2" w:author="Microsoft account" w:date="2023-09-30T00:46:00Z" w:initials="Ma">
    <w:p w14:paraId="4D5118B9" w14:textId="77A1E59A" w:rsidR="001756E0" w:rsidRDefault="001756E0">
      <w:pPr>
        <w:pStyle w:val="CommentText"/>
      </w:pPr>
      <w:r>
        <w:rPr>
          <w:rStyle w:val="CommentReference"/>
        </w:rPr>
        <w:annotationRef/>
      </w:r>
      <w:r>
        <w:t>Very good observation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2CADE6" w15:done="0"/>
  <w15:commentEx w15:paraId="4D5118B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F"/>
    <w:rsid w:val="00031AF8"/>
    <w:rsid w:val="0006626D"/>
    <w:rsid w:val="000914B3"/>
    <w:rsid w:val="000C29EF"/>
    <w:rsid w:val="000C7382"/>
    <w:rsid w:val="000D668D"/>
    <w:rsid w:val="000E0F42"/>
    <w:rsid w:val="000F40D6"/>
    <w:rsid w:val="00133AF7"/>
    <w:rsid w:val="0016589D"/>
    <w:rsid w:val="00171DBB"/>
    <w:rsid w:val="001756E0"/>
    <w:rsid w:val="00191764"/>
    <w:rsid w:val="0019268C"/>
    <w:rsid w:val="001B61A1"/>
    <w:rsid w:val="002156C5"/>
    <w:rsid w:val="00255F1D"/>
    <w:rsid w:val="00263848"/>
    <w:rsid w:val="0027116B"/>
    <w:rsid w:val="002A2856"/>
    <w:rsid w:val="002A3F71"/>
    <w:rsid w:val="002E1C9C"/>
    <w:rsid w:val="002F2C58"/>
    <w:rsid w:val="00344938"/>
    <w:rsid w:val="003B7C49"/>
    <w:rsid w:val="003C4798"/>
    <w:rsid w:val="003D6779"/>
    <w:rsid w:val="00443EEE"/>
    <w:rsid w:val="00447F5E"/>
    <w:rsid w:val="004D252D"/>
    <w:rsid w:val="00525511"/>
    <w:rsid w:val="00575CE4"/>
    <w:rsid w:val="00587D54"/>
    <w:rsid w:val="005A4B90"/>
    <w:rsid w:val="005B3ED9"/>
    <w:rsid w:val="005D2E6B"/>
    <w:rsid w:val="005F09EF"/>
    <w:rsid w:val="005F181D"/>
    <w:rsid w:val="00621A31"/>
    <w:rsid w:val="00691FAA"/>
    <w:rsid w:val="00754BF6"/>
    <w:rsid w:val="007C4909"/>
    <w:rsid w:val="007F485F"/>
    <w:rsid w:val="008B2BDA"/>
    <w:rsid w:val="008D6303"/>
    <w:rsid w:val="00942842"/>
    <w:rsid w:val="00995F86"/>
    <w:rsid w:val="009F1F5C"/>
    <w:rsid w:val="00A31AA9"/>
    <w:rsid w:val="00A53780"/>
    <w:rsid w:val="00AA5E59"/>
    <w:rsid w:val="00B03841"/>
    <w:rsid w:val="00B516F6"/>
    <w:rsid w:val="00B9318A"/>
    <w:rsid w:val="00BF054A"/>
    <w:rsid w:val="00BF0852"/>
    <w:rsid w:val="00C10562"/>
    <w:rsid w:val="00C942EC"/>
    <w:rsid w:val="00C96C12"/>
    <w:rsid w:val="00CB6A86"/>
    <w:rsid w:val="00CC1BF6"/>
    <w:rsid w:val="00D223F5"/>
    <w:rsid w:val="00D8026C"/>
    <w:rsid w:val="00D840A0"/>
    <w:rsid w:val="00DA1696"/>
    <w:rsid w:val="00DB6B29"/>
    <w:rsid w:val="00DD1D54"/>
    <w:rsid w:val="00DE1271"/>
    <w:rsid w:val="00E117E3"/>
    <w:rsid w:val="00E21DD3"/>
    <w:rsid w:val="00E44654"/>
    <w:rsid w:val="00E5327E"/>
    <w:rsid w:val="00E90222"/>
    <w:rsid w:val="00EB064F"/>
    <w:rsid w:val="00EB69E1"/>
    <w:rsid w:val="00F41C46"/>
    <w:rsid w:val="00F820DC"/>
    <w:rsid w:val="00F8788A"/>
    <w:rsid w:val="00F91FFD"/>
    <w:rsid w:val="00FB52B7"/>
    <w:rsid w:val="00FC76F0"/>
    <w:rsid w:val="00FD21A7"/>
    <w:rsid w:val="00FE3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730D"/>
  <w15:chartTrackingRefBased/>
  <w15:docId w15:val="{7E5C4A54-8BD3-43CB-B98C-6EA1FAC2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2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384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B03841"/>
    <w:rPr>
      <w:color w:val="0000FF"/>
      <w:u w:val="single"/>
    </w:rPr>
  </w:style>
  <w:style w:type="character" w:styleId="CommentReference">
    <w:name w:val="annotation reference"/>
    <w:basedOn w:val="DefaultParagraphFont"/>
    <w:uiPriority w:val="99"/>
    <w:semiHidden/>
    <w:unhideWhenUsed/>
    <w:rsid w:val="001756E0"/>
    <w:rPr>
      <w:sz w:val="16"/>
      <w:szCs w:val="16"/>
    </w:rPr>
  </w:style>
  <w:style w:type="paragraph" w:styleId="CommentText">
    <w:name w:val="annotation text"/>
    <w:basedOn w:val="Normal"/>
    <w:link w:val="CommentTextChar"/>
    <w:uiPriority w:val="99"/>
    <w:semiHidden/>
    <w:unhideWhenUsed/>
    <w:rsid w:val="001756E0"/>
    <w:pPr>
      <w:spacing w:line="240" w:lineRule="auto"/>
    </w:pPr>
    <w:rPr>
      <w:sz w:val="20"/>
      <w:szCs w:val="20"/>
    </w:rPr>
  </w:style>
  <w:style w:type="character" w:customStyle="1" w:styleId="CommentTextChar">
    <w:name w:val="Comment Text Char"/>
    <w:basedOn w:val="DefaultParagraphFont"/>
    <w:link w:val="CommentText"/>
    <w:uiPriority w:val="99"/>
    <w:semiHidden/>
    <w:rsid w:val="001756E0"/>
    <w:rPr>
      <w:sz w:val="20"/>
      <w:szCs w:val="20"/>
    </w:rPr>
  </w:style>
  <w:style w:type="paragraph" w:styleId="CommentSubject">
    <w:name w:val="annotation subject"/>
    <w:basedOn w:val="CommentText"/>
    <w:next w:val="CommentText"/>
    <w:link w:val="CommentSubjectChar"/>
    <w:uiPriority w:val="99"/>
    <w:semiHidden/>
    <w:unhideWhenUsed/>
    <w:rsid w:val="001756E0"/>
    <w:rPr>
      <w:b/>
      <w:bCs/>
    </w:rPr>
  </w:style>
  <w:style w:type="character" w:customStyle="1" w:styleId="CommentSubjectChar">
    <w:name w:val="Comment Subject Char"/>
    <w:basedOn w:val="CommentTextChar"/>
    <w:link w:val="CommentSubject"/>
    <w:uiPriority w:val="99"/>
    <w:semiHidden/>
    <w:rsid w:val="001756E0"/>
    <w:rPr>
      <w:b/>
      <w:bCs/>
      <w:sz w:val="20"/>
      <w:szCs w:val="20"/>
    </w:rPr>
  </w:style>
  <w:style w:type="paragraph" w:styleId="BalloonText">
    <w:name w:val="Balloon Text"/>
    <w:basedOn w:val="Normal"/>
    <w:link w:val="BalloonTextChar"/>
    <w:uiPriority w:val="99"/>
    <w:semiHidden/>
    <w:unhideWhenUsed/>
    <w:rsid w:val="00175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26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Szkodzik, Thomas (Student)</dc:creator>
  <cp:keywords/>
  <dc:description/>
  <cp:lastModifiedBy>Microsoft account</cp:lastModifiedBy>
  <cp:revision>2</cp:revision>
  <dcterms:created xsi:type="dcterms:W3CDTF">2023-09-29T20:47:00Z</dcterms:created>
  <dcterms:modified xsi:type="dcterms:W3CDTF">2023-09-29T20:47:00Z</dcterms:modified>
</cp:coreProperties>
</file>